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27A5" w14:textId="77777777" w:rsidR="00E905AF" w:rsidRDefault="00E905AF" w:rsidP="00E905AF">
      <w:pPr>
        <w:pStyle w:val="Heading3"/>
        <w:rPr>
          <w:rFonts w:eastAsia="Times New Roman"/>
          <w:sz w:val="28"/>
          <w:szCs w:val="28"/>
        </w:rPr>
      </w:pPr>
      <w:r>
        <w:rPr>
          <w:rFonts w:eastAsia="Times New Roman"/>
          <w:sz w:val="28"/>
          <w:szCs w:val="28"/>
        </w:rPr>
        <w:t>Principles for the employment of Conditionally Accredited Teachers</w:t>
      </w:r>
    </w:p>
    <w:p w14:paraId="59789E17" w14:textId="6C162E89" w:rsidR="00E905AF" w:rsidRPr="00E905AF" w:rsidRDefault="00E905AF" w:rsidP="00E905AF">
      <w:pPr>
        <w:pStyle w:val="Heading3"/>
        <w:rPr>
          <w:rFonts w:eastAsia="Times New Roman"/>
          <w:sz w:val="24"/>
        </w:rPr>
      </w:pPr>
      <w:r w:rsidRPr="00E905AF">
        <w:rPr>
          <w:rFonts w:cs="Arial"/>
          <w:sz w:val="24"/>
        </w:rPr>
        <w:t>Preamble</w:t>
      </w:r>
    </w:p>
    <w:p w14:paraId="0355CE12" w14:textId="77777777" w:rsidR="00E905AF" w:rsidRDefault="00E905AF" w:rsidP="00E905AF">
      <w:pPr>
        <w:spacing w:after="0" w:line="240" w:lineRule="auto"/>
        <w:rPr>
          <w:rFonts w:ascii="Arial" w:hAnsi="Arial" w:cs="Arial"/>
        </w:rPr>
      </w:pPr>
    </w:p>
    <w:p w14:paraId="0DCF49BB" w14:textId="2BDAE0D2" w:rsidR="00E905AF" w:rsidRPr="00E905AF" w:rsidRDefault="00E905AF" w:rsidP="00E905AF">
      <w:pPr>
        <w:spacing w:after="0" w:line="240" w:lineRule="auto"/>
        <w:rPr>
          <w:rFonts w:asciiTheme="majorHAnsi" w:hAnsiTheme="majorHAnsi" w:cstheme="majorHAnsi"/>
          <w:sz w:val="24"/>
          <w:szCs w:val="24"/>
        </w:rPr>
      </w:pPr>
      <w:r w:rsidRPr="00E905AF">
        <w:rPr>
          <w:rFonts w:asciiTheme="majorHAnsi" w:hAnsiTheme="majorHAnsi" w:cstheme="majorHAnsi"/>
          <w:sz w:val="24"/>
          <w:szCs w:val="24"/>
        </w:rPr>
        <w:t xml:space="preserve">These principles </w:t>
      </w:r>
      <w:r>
        <w:rPr>
          <w:rFonts w:asciiTheme="majorHAnsi" w:hAnsiTheme="majorHAnsi" w:cstheme="majorHAnsi"/>
          <w:sz w:val="24"/>
          <w:szCs w:val="24"/>
        </w:rPr>
        <w:t>have been</w:t>
      </w:r>
      <w:r w:rsidRPr="00E905AF">
        <w:rPr>
          <w:rFonts w:asciiTheme="majorHAnsi" w:hAnsiTheme="majorHAnsi" w:cstheme="majorHAnsi"/>
          <w:sz w:val="24"/>
          <w:szCs w:val="24"/>
        </w:rPr>
        <w:t xml:space="preserve"> designed to support quality practice in the utilisation of the Conditional Accreditation provisions described in Section 31 of the </w:t>
      </w:r>
      <w:r w:rsidRPr="00E905AF">
        <w:rPr>
          <w:rFonts w:asciiTheme="majorHAnsi" w:hAnsiTheme="majorHAnsi" w:cstheme="majorHAnsi"/>
          <w:i/>
          <w:iCs/>
          <w:sz w:val="24"/>
          <w:szCs w:val="24"/>
        </w:rPr>
        <w:t>Teacher Accreditation Act</w:t>
      </w:r>
      <w:r w:rsidRPr="00E905AF">
        <w:rPr>
          <w:rFonts w:asciiTheme="majorHAnsi" w:hAnsiTheme="majorHAnsi" w:cstheme="majorHAnsi"/>
          <w:sz w:val="24"/>
          <w:szCs w:val="24"/>
        </w:rPr>
        <w:t xml:space="preserve"> 2004, while acknowledging that issues of employment and remuneration are the remit of the employers i.e., schools. </w:t>
      </w:r>
    </w:p>
    <w:p w14:paraId="644C3F75" w14:textId="77777777" w:rsidR="00E905AF" w:rsidRPr="00E905AF" w:rsidRDefault="00E905AF" w:rsidP="00E905AF">
      <w:pPr>
        <w:spacing w:after="0" w:line="240" w:lineRule="auto"/>
        <w:rPr>
          <w:rFonts w:asciiTheme="majorHAnsi" w:hAnsiTheme="majorHAnsi" w:cstheme="majorHAnsi"/>
          <w:sz w:val="24"/>
          <w:szCs w:val="24"/>
        </w:rPr>
      </w:pPr>
    </w:p>
    <w:p w14:paraId="5C2B5201" w14:textId="77777777" w:rsidR="00E905AF" w:rsidRPr="00E905AF" w:rsidRDefault="00E905AF" w:rsidP="00E905AF">
      <w:pPr>
        <w:spacing w:after="0" w:line="240" w:lineRule="auto"/>
        <w:rPr>
          <w:rFonts w:asciiTheme="majorHAnsi" w:hAnsiTheme="majorHAnsi" w:cstheme="majorHAnsi"/>
          <w:sz w:val="24"/>
          <w:szCs w:val="24"/>
        </w:rPr>
      </w:pPr>
      <w:r w:rsidRPr="00E905AF">
        <w:rPr>
          <w:rFonts w:asciiTheme="majorHAnsi" w:hAnsiTheme="majorHAnsi" w:cstheme="majorHAnsi"/>
          <w:sz w:val="24"/>
          <w:szCs w:val="24"/>
        </w:rPr>
        <w:t>Conditional Accreditation is normally granted by the NSW Education Standards Authority (NESA) when initial teacher education (ITE) students enter the final year of their accredited teaching degree. ITE students who have been studying full-time therefore are faced with balancing full-time study and employment or negotiating with their ITE provide to alter their intended pattern of study in the final year, although the timing of any offer of employment in the academic semester may prevent this.</w:t>
      </w:r>
    </w:p>
    <w:p w14:paraId="04F5DCCA" w14:textId="77777777" w:rsidR="00E905AF" w:rsidRPr="00E905AF" w:rsidRDefault="00E905AF" w:rsidP="00E905AF">
      <w:pPr>
        <w:spacing w:after="0" w:line="240" w:lineRule="auto"/>
        <w:rPr>
          <w:rFonts w:asciiTheme="majorHAnsi" w:hAnsiTheme="majorHAnsi" w:cstheme="majorHAnsi"/>
          <w:sz w:val="24"/>
          <w:szCs w:val="24"/>
        </w:rPr>
      </w:pPr>
    </w:p>
    <w:p w14:paraId="6723DE7D" w14:textId="551B391D" w:rsidR="00E905AF" w:rsidRPr="00E905AF" w:rsidRDefault="00E905AF" w:rsidP="00E905AF">
      <w:pPr>
        <w:spacing w:after="0" w:line="240" w:lineRule="auto"/>
        <w:rPr>
          <w:rFonts w:asciiTheme="majorHAnsi" w:hAnsiTheme="majorHAnsi" w:cstheme="majorHAnsi"/>
          <w:sz w:val="24"/>
          <w:szCs w:val="24"/>
        </w:rPr>
      </w:pPr>
      <w:r w:rsidRPr="00E905AF">
        <w:rPr>
          <w:rFonts w:asciiTheme="majorHAnsi" w:hAnsiTheme="majorHAnsi" w:cstheme="majorHAnsi"/>
          <w:sz w:val="24"/>
          <w:szCs w:val="24"/>
        </w:rPr>
        <w:t xml:space="preserve">The employment of Conditionally Accredited teachers places responsibilities on them, their employers and their ITE providers. These principles are an attempt to acknowledge the critical role that both initial and </w:t>
      </w:r>
      <w:r w:rsidR="000A11E9" w:rsidRPr="00E905AF">
        <w:rPr>
          <w:rFonts w:asciiTheme="majorHAnsi" w:hAnsiTheme="majorHAnsi" w:cstheme="majorHAnsi"/>
          <w:sz w:val="24"/>
          <w:szCs w:val="24"/>
        </w:rPr>
        <w:t>school-based teacher educators</w:t>
      </w:r>
      <w:r w:rsidR="000A11E9" w:rsidRPr="00E905AF">
        <w:rPr>
          <w:rFonts w:asciiTheme="majorHAnsi" w:hAnsiTheme="majorHAnsi" w:cstheme="majorHAnsi"/>
          <w:sz w:val="24"/>
          <w:szCs w:val="24"/>
        </w:rPr>
        <w:t xml:space="preserve"> </w:t>
      </w:r>
      <w:r w:rsidRPr="00E905AF">
        <w:rPr>
          <w:rFonts w:asciiTheme="majorHAnsi" w:hAnsiTheme="majorHAnsi" w:cstheme="majorHAnsi"/>
          <w:sz w:val="24"/>
          <w:szCs w:val="24"/>
        </w:rPr>
        <w:t>(</w:t>
      </w:r>
      <w:r w:rsidR="002F0385">
        <w:rPr>
          <w:rFonts w:asciiTheme="majorHAnsi" w:hAnsiTheme="majorHAnsi" w:cstheme="majorHAnsi"/>
          <w:sz w:val="24"/>
          <w:szCs w:val="24"/>
        </w:rPr>
        <w:t>also</w:t>
      </w:r>
      <w:r w:rsidRPr="00E905AF">
        <w:rPr>
          <w:rFonts w:asciiTheme="majorHAnsi" w:hAnsiTheme="majorHAnsi" w:cstheme="majorHAnsi"/>
          <w:sz w:val="24"/>
          <w:szCs w:val="24"/>
        </w:rPr>
        <w:t xml:space="preserve"> referred to as </w:t>
      </w:r>
      <w:r w:rsidR="000A11E9" w:rsidRPr="00E905AF">
        <w:rPr>
          <w:rFonts w:asciiTheme="majorHAnsi" w:hAnsiTheme="majorHAnsi" w:cstheme="majorHAnsi"/>
          <w:sz w:val="24"/>
          <w:szCs w:val="24"/>
        </w:rPr>
        <w:t>supervising teachers</w:t>
      </w:r>
      <w:r w:rsidRPr="00E905AF">
        <w:rPr>
          <w:rFonts w:asciiTheme="majorHAnsi" w:hAnsiTheme="majorHAnsi" w:cstheme="majorHAnsi"/>
          <w:sz w:val="24"/>
          <w:szCs w:val="24"/>
        </w:rPr>
        <w:t xml:space="preserve">) play in the development of ITE students, and specifically those who have Conditional Accreditation and are employed. </w:t>
      </w:r>
    </w:p>
    <w:p w14:paraId="661B4896" w14:textId="77777777" w:rsidR="00E905AF" w:rsidRPr="00E905AF" w:rsidRDefault="00E905AF" w:rsidP="00E905AF">
      <w:pPr>
        <w:spacing w:after="0" w:line="240" w:lineRule="auto"/>
        <w:rPr>
          <w:rFonts w:asciiTheme="majorHAnsi" w:hAnsiTheme="majorHAnsi" w:cstheme="majorHAnsi"/>
          <w:sz w:val="24"/>
          <w:szCs w:val="24"/>
        </w:rPr>
      </w:pPr>
    </w:p>
    <w:p w14:paraId="3FBC80E7" w14:textId="77777777" w:rsidR="00E905AF" w:rsidRPr="00E905AF" w:rsidRDefault="00E905AF" w:rsidP="00E905AF">
      <w:pPr>
        <w:spacing w:after="0" w:line="240" w:lineRule="auto"/>
        <w:rPr>
          <w:rFonts w:asciiTheme="majorHAnsi" w:hAnsiTheme="majorHAnsi" w:cstheme="majorHAnsi"/>
          <w:sz w:val="24"/>
          <w:szCs w:val="24"/>
        </w:rPr>
      </w:pPr>
      <w:r w:rsidRPr="00E905AF">
        <w:rPr>
          <w:rFonts w:asciiTheme="majorHAnsi" w:hAnsiTheme="majorHAnsi" w:cstheme="majorHAnsi"/>
          <w:sz w:val="24"/>
          <w:szCs w:val="24"/>
        </w:rPr>
        <w:t>These principles also attempt to define the dual position that conditionally accredited teachers who are employed assume i.e., that of early career teacher and teacher education student simultaneously. This cohort of teachers should be assisted with developing strategies to maintain personal wellbeing and the ability to make judgements about the balance of work and study to best support their longer-term efficacy as a teacher.</w:t>
      </w:r>
    </w:p>
    <w:p w14:paraId="3DA9F2AA" w14:textId="77777777" w:rsidR="00E905AF" w:rsidRPr="00E905AF" w:rsidRDefault="00E905AF" w:rsidP="00E905AF">
      <w:pPr>
        <w:spacing w:after="0" w:line="240" w:lineRule="auto"/>
        <w:rPr>
          <w:rFonts w:asciiTheme="majorHAnsi" w:hAnsiTheme="majorHAnsi" w:cstheme="majorHAnsi"/>
          <w:sz w:val="24"/>
          <w:szCs w:val="24"/>
        </w:rPr>
      </w:pPr>
    </w:p>
    <w:p w14:paraId="3BCF27F1" w14:textId="77777777" w:rsidR="00E905AF" w:rsidRPr="00E905AF" w:rsidRDefault="00E905AF" w:rsidP="00E905AF">
      <w:pPr>
        <w:spacing w:after="0" w:line="240" w:lineRule="auto"/>
        <w:rPr>
          <w:rFonts w:asciiTheme="majorHAnsi" w:hAnsiTheme="majorHAnsi" w:cstheme="majorHAnsi"/>
          <w:sz w:val="24"/>
          <w:szCs w:val="24"/>
        </w:rPr>
      </w:pPr>
      <w:r w:rsidRPr="00E905AF">
        <w:rPr>
          <w:rFonts w:asciiTheme="majorHAnsi" w:hAnsiTheme="majorHAnsi" w:cstheme="majorHAnsi"/>
          <w:sz w:val="24"/>
          <w:szCs w:val="24"/>
        </w:rPr>
        <w:t xml:space="preserve">This professional collaboration </w:t>
      </w:r>
      <w:r w:rsidRPr="00E905AF">
        <w:rPr>
          <w:rFonts w:asciiTheme="majorHAnsi" w:hAnsiTheme="majorHAnsi" w:cstheme="majorHAnsi"/>
          <w:color w:val="000000"/>
          <w:sz w:val="24"/>
          <w:szCs w:val="24"/>
        </w:rPr>
        <w:t>between schools and ITE providers</w:t>
      </w:r>
      <w:r w:rsidRPr="00E905AF">
        <w:rPr>
          <w:rFonts w:asciiTheme="majorHAnsi" w:hAnsiTheme="majorHAnsi" w:cstheme="majorHAnsi"/>
          <w:sz w:val="24"/>
          <w:szCs w:val="24"/>
        </w:rPr>
        <w:t xml:space="preserve"> could also help to </w:t>
      </w:r>
      <w:r w:rsidRPr="00E905AF">
        <w:rPr>
          <w:rFonts w:asciiTheme="majorHAnsi" w:hAnsiTheme="majorHAnsi" w:cstheme="majorHAnsi"/>
          <w:color w:val="000000"/>
          <w:sz w:val="24"/>
          <w:szCs w:val="24"/>
        </w:rPr>
        <w:t>reconcile academic and practitioner knowledge for initial teacher education and help to establish and support sustainable research partnerships between schools and ITE providers.</w:t>
      </w:r>
      <w:r w:rsidRPr="00E905AF">
        <w:rPr>
          <w:rFonts w:asciiTheme="majorHAnsi" w:hAnsiTheme="majorHAnsi" w:cstheme="majorHAnsi"/>
          <w:sz w:val="24"/>
          <w:szCs w:val="24"/>
        </w:rPr>
        <w:t xml:space="preserve"> Ongoing and committed collaboration, innovation, and effective communication between ITE providers, sectors and schools will be needed to ensure a shared confidence with classroom readiness and high-quality outcomes for Conditionally Accredited teachers who are employed at any point in their ITE degree including during the final professional experience (PEX) placement.</w:t>
      </w:r>
    </w:p>
    <w:p w14:paraId="153C2DA2" w14:textId="77777777" w:rsidR="00E905AF" w:rsidRPr="00F858DB" w:rsidRDefault="00E905AF" w:rsidP="00E905AF">
      <w:pPr>
        <w:spacing w:after="0" w:line="240" w:lineRule="auto"/>
        <w:rPr>
          <w:rFonts w:ascii="Arial" w:hAnsi="Arial" w:cs="Arial"/>
        </w:rPr>
      </w:pPr>
    </w:p>
    <w:p w14:paraId="6CF2BC05" w14:textId="77777777" w:rsidR="002F0385" w:rsidRDefault="002F0385" w:rsidP="00E905AF">
      <w:pPr>
        <w:pStyle w:val="Heading3"/>
        <w:rPr>
          <w:rFonts w:cs="Arial"/>
        </w:rPr>
      </w:pPr>
    </w:p>
    <w:p w14:paraId="214D6CFE" w14:textId="3ED78414" w:rsidR="00E905AF" w:rsidRPr="00E905AF" w:rsidRDefault="00E905AF" w:rsidP="00E905AF">
      <w:pPr>
        <w:pStyle w:val="Heading3"/>
        <w:rPr>
          <w:rFonts w:eastAsia="Times New Roman"/>
          <w:sz w:val="24"/>
        </w:rPr>
      </w:pPr>
      <w:r w:rsidRPr="00E905AF">
        <w:rPr>
          <w:rFonts w:cs="Arial"/>
          <w:sz w:val="24"/>
        </w:rPr>
        <w:lastRenderedPageBreak/>
        <w:t>Pr</w:t>
      </w:r>
      <w:r>
        <w:rPr>
          <w:rFonts w:cs="Arial"/>
          <w:sz w:val="24"/>
        </w:rPr>
        <w:t>inciples</w:t>
      </w:r>
    </w:p>
    <w:p w14:paraId="325B05F8" w14:textId="51FF2D52" w:rsidR="00E905AF" w:rsidRPr="00422373" w:rsidRDefault="00E905AF" w:rsidP="00E905AF">
      <w:pPr>
        <w:pStyle w:val="ListParagraph"/>
        <w:numPr>
          <w:ilvl w:val="0"/>
          <w:numId w:val="8"/>
        </w:numPr>
        <w:spacing w:after="0"/>
        <w:ind w:left="426" w:hanging="426"/>
        <w:rPr>
          <w:rFonts w:asciiTheme="majorHAnsi" w:hAnsiTheme="majorHAnsi" w:cstheme="majorHAnsi"/>
        </w:rPr>
      </w:pPr>
      <w:r w:rsidRPr="00422373">
        <w:rPr>
          <w:rFonts w:asciiTheme="majorHAnsi" w:hAnsiTheme="majorHAnsi" w:cstheme="majorHAnsi"/>
        </w:rPr>
        <w:t xml:space="preserve">ITE providers and employing schools are encouraged to collaborate to establish a formal process for the identification of and reporting on Conditionally Accredited teachers who are employed by a school at any point (including during the final PEX placement). A copy of this documentation should be retained by both the ITE provider and the school. </w:t>
      </w:r>
      <w:r w:rsidR="002F0385">
        <w:rPr>
          <w:rFonts w:asciiTheme="majorHAnsi" w:hAnsiTheme="majorHAnsi" w:cstheme="majorHAnsi"/>
        </w:rPr>
        <w:t>In the case of a final PEX placement t</w:t>
      </w:r>
      <w:r w:rsidRPr="00422373">
        <w:rPr>
          <w:rFonts w:asciiTheme="majorHAnsi" w:hAnsiTheme="majorHAnsi" w:cstheme="majorHAnsi"/>
        </w:rPr>
        <w:t xml:space="preserve">his process would be established after the formal application </w:t>
      </w:r>
      <w:r w:rsidR="000A11E9">
        <w:rPr>
          <w:rFonts w:asciiTheme="majorHAnsi" w:hAnsiTheme="majorHAnsi" w:cstheme="majorHAnsi"/>
        </w:rPr>
        <w:t>(</w:t>
      </w:r>
      <w:r w:rsidR="000A11E9" w:rsidRPr="00422373">
        <w:rPr>
          <w:rFonts w:asciiTheme="majorHAnsi" w:hAnsiTheme="majorHAnsi" w:cstheme="majorHAnsi"/>
        </w:rPr>
        <w:t>approved by NESA</w:t>
      </w:r>
      <w:r w:rsidR="000A11E9">
        <w:rPr>
          <w:rFonts w:asciiTheme="majorHAnsi" w:hAnsiTheme="majorHAnsi" w:cstheme="majorHAnsi"/>
        </w:rPr>
        <w:t xml:space="preserve">) </w:t>
      </w:r>
      <w:r w:rsidRPr="00422373">
        <w:rPr>
          <w:rFonts w:asciiTheme="majorHAnsi" w:hAnsiTheme="majorHAnsi" w:cstheme="majorHAnsi"/>
        </w:rPr>
        <w:t xml:space="preserve">for a waiver of Appendix B of the NESA </w:t>
      </w:r>
      <w:r w:rsidRPr="00422373">
        <w:rPr>
          <w:rFonts w:asciiTheme="majorHAnsi" w:hAnsiTheme="majorHAnsi" w:cstheme="majorHAnsi"/>
          <w:i/>
          <w:iCs/>
        </w:rPr>
        <w:t>Professional Experience in Initial Teacher Education Policy</w:t>
      </w:r>
      <w:r w:rsidR="002F0385">
        <w:rPr>
          <w:rFonts w:asciiTheme="majorHAnsi" w:hAnsiTheme="majorHAnsi" w:cstheme="majorHAnsi"/>
          <w:i/>
          <w:iCs/>
        </w:rPr>
        <w:t>,</w:t>
      </w:r>
      <w:r w:rsidRPr="00422373">
        <w:rPr>
          <w:rFonts w:asciiTheme="majorHAnsi" w:hAnsiTheme="majorHAnsi" w:cstheme="majorHAnsi"/>
        </w:rPr>
        <w:t xml:space="preserve"> and prior to the commencement of the final PEX placement.</w:t>
      </w:r>
    </w:p>
    <w:p w14:paraId="6900CFB0" w14:textId="77777777" w:rsidR="00E905AF" w:rsidRPr="00422373" w:rsidRDefault="00E905AF" w:rsidP="00E905AF">
      <w:pPr>
        <w:pStyle w:val="ListParagraph"/>
        <w:numPr>
          <w:ilvl w:val="0"/>
          <w:numId w:val="0"/>
        </w:numPr>
        <w:spacing w:after="0"/>
        <w:ind w:left="426"/>
        <w:rPr>
          <w:rFonts w:asciiTheme="majorHAnsi" w:hAnsiTheme="majorHAnsi" w:cstheme="majorHAnsi"/>
        </w:rPr>
      </w:pPr>
    </w:p>
    <w:p w14:paraId="5F2C6F8C" w14:textId="77777777" w:rsidR="00E905AF" w:rsidRPr="00422373" w:rsidRDefault="00E905AF" w:rsidP="00E905AF">
      <w:pPr>
        <w:pStyle w:val="ListParagraph"/>
        <w:numPr>
          <w:ilvl w:val="0"/>
          <w:numId w:val="7"/>
        </w:numPr>
        <w:spacing w:after="0"/>
        <w:ind w:left="426" w:hanging="426"/>
        <w:rPr>
          <w:rFonts w:asciiTheme="majorHAnsi" w:hAnsiTheme="majorHAnsi" w:cstheme="majorHAnsi"/>
        </w:rPr>
      </w:pPr>
      <w:r w:rsidRPr="00422373">
        <w:rPr>
          <w:rFonts w:asciiTheme="majorHAnsi" w:hAnsiTheme="majorHAnsi" w:cstheme="majorHAnsi"/>
        </w:rPr>
        <w:t>Conditionally Accredited teachers who undertake periods of teacher employment should share details about their ITE course demands and course assessment obligations, including the Teaching Performance Assessment (TPA), with the principals/schools seeking to employ them, prior to finalising any offer of employment. Conditionally Accredited teachers must also notify their ITE providers and provider staff when they undertake any Conditionally Accredited employment as a teacher and identify any potential impact on meeting their coursework and course assessment obligations.</w:t>
      </w:r>
    </w:p>
    <w:p w14:paraId="46C03B2E" w14:textId="3FC68BFC" w:rsidR="00E905AF" w:rsidRPr="00422373" w:rsidRDefault="00E905AF" w:rsidP="00E905AF">
      <w:pPr>
        <w:pStyle w:val="ListParagraph"/>
        <w:numPr>
          <w:ilvl w:val="0"/>
          <w:numId w:val="0"/>
        </w:numPr>
        <w:spacing w:after="0"/>
        <w:ind w:left="426"/>
        <w:rPr>
          <w:rFonts w:asciiTheme="majorHAnsi" w:hAnsiTheme="majorHAnsi" w:cstheme="majorHAnsi"/>
        </w:rPr>
      </w:pPr>
    </w:p>
    <w:p w14:paraId="57AB2E13" w14:textId="625DFC5D" w:rsidR="00E905AF" w:rsidRPr="00422373" w:rsidRDefault="00E905AF" w:rsidP="00E905AF">
      <w:pPr>
        <w:pStyle w:val="ListParagraph"/>
        <w:numPr>
          <w:ilvl w:val="0"/>
          <w:numId w:val="7"/>
        </w:numPr>
        <w:spacing w:after="0"/>
        <w:ind w:left="426" w:hanging="426"/>
        <w:rPr>
          <w:rFonts w:asciiTheme="majorHAnsi" w:hAnsiTheme="majorHAnsi" w:cstheme="majorHAnsi"/>
        </w:rPr>
      </w:pPr>
      <w:r w:rsidRPr="00422373">
        <w:rPr>
          <w:rFonts w:asciiTheme="majorHAnsi" w:hAnsiTheme="majorHAnsi" w:cstheme="majorHAnsi"/>
        </w:rPr>
        <w:t>As much as possible, Conditionally Accredited teachers being employed should be offered a teaching load</w:t>
      </w:r>
      <w:r w:rsidR="001A3D0B">
        <w:rPr>
          <w:rFonts w:asciiTheme="majorHAnsi" w:hAnsiTheme="majorHAnsi" w:cstheme="majorHAnsi"/>
        </w:rPr>
        <w:t xml:space="preserve"> and </w:t>
      </w:r>
      <w:r w:rsidRPr="00422373">
        <w:rPr>
          <w:rFonts w:asciiTheme="majorHAnsi" w:hAnsiTheme="majorHAnsi" w:cstheme="majorHAnsi"/>
        </w:rPr>
        <w:t>duties that provide them with adequate time to give attention to ITE coursework and course assessment obligations including the TPA. A suggested arrangement where Conditionally Accredited teachers are studying full-time is 0.6 FTE, although this may be difficult to sustain in some courses and in any ongoing manner. Where possible schools are encouraged to consider alternative and innovative models of staffing and employment to acknowledge and support the development of the Conditionally Accredited teacher e.g., job sharing between two Conditionally Accredited teachers.</w:t>
      </w:r>
      <w:r w:rsidRPr="00422373">
        <w:rPr>
          <w:rFonts w:asciiTheme="majorHAnsi" w:hAnsiTheme="majorHAnsi" w:cstheme="majorHAnsi"/>
        </w:rPr>
        <w:br/>
      </w:r>
    </w:p>
    <w:p w14:paraId="5D136AFD" w14:textId="35A67602" w:rsidR="00E905AF" w:rsidRPr="00422373" w:rsidRDefault="00E905AF" w:rsidP="00E905AF">
      <w:pPr>
        <w:pStyle w:val="ListParagraph"/>
        <w:numPr>
          <w:ilvl w:val="0"/>
          <w:numId w:val="7"/>
        </w:numPr>
        <w:spacing w:after="0"/>
        <w:ind w:left="426" w:hanging="426"/>
        <w:rPr>
          <w:rFonts w:asciiTheme="majorHAnsi" w:hAnsiTheme="majorHAnsi" w:cstheme="majorHAnsi"/>
        </w:rPr>
      </w:pPr>
      <w:r w:rsidRPr="00422373">
        <w:rPr>
          <w:rFonts w:asciiTheme="majorHAnsi" w:hAnsiTheme="majorHAnsi" w:cstheme="majorHAnsi"/>
        </w:rPr>
        <w:t xml:space="preserve">School-based teacher educators (also referred to as </w:t>
      </w:r>
      <w:r w:rsidR="002F0385">
        <w:rPr>
          <w:rFonts w:asciiTheme="majorHAnsi" w:hAnsiTheme="majorHAnsi" w:cstheme="majorHAnsi"/>
        </w:rPr>
        <w:t>s</w:t>
      </w:r>
      <w:r w:rsidRPr="00422373">
        <w:rPr>
          <w:rFonts w:asciiTheme="majorHAnsi" w:hAnsiTheme="majorHAnsi" w:cstheme="majorHAnsi"/>
        </w:rPr>
        <w:t xml:space="preserve">upervising </w:t>
      </w:r>
      <w:r w:rsidR="002F0385">
        <w:rPr>
          <w:rFonts w:asciiTheme="majorHAnsi" w:hAnsiTheme="majorHAnsi" w:cstheme="majorHAnsi"/>
        </w:rPr>
        <w:t>t</w:t>
      </w:r>
      <w:r w:rsidRPr="00422373">
        <w:rPr>
          <w:rFonts w:asciiTheme="majorHAnsi" w:hAnsiTheme="majorHAnsi" w:cstheme="majorHAnsi"/>
        </w:rPr>
        <w:t xml:space="preserve">eachers) should provide mentoring support to all Conditionally Accredited teachers who are employed during the final PEX placement e.g., </w:t>
      </w:r>
      <w:r w:rsidRPr="00422373">
        <w:rPr>
          <w:rFonts w:asciiTheme="majorHAnsi" w:eastAsia="Times New Roman" w:hAnsiTheme="majorHAnsi" w:cstheme="majorHAnsi"/>
        </w:rPr>
        <w:t>regular meetings, and the provision of written and verbal feedback during the placement period.</w:t>
      </w:r>
    </w:p>
    <w:p w14:paraId="4CFC4ED1" w14:textId="77777777" w:rsidR="00E905AF" w:rsidRPr="00422373" w:rsidRDefault="00E905AF" w:rsidP="00E905AF">
      <w:pPr>
        <w:pStyle w:val="ListParagraph"/>
        <w:numPr>
          <w:ilvl w:val="0"/>
          <w:numId w:val="0"/>
        </w:numPr>
        <w:spacing w:after="0"/>
        <w:ind w:left="426"/>
        <w:rPr>
          <w:rFonts w:asciiTheme="majorHAnsi" w:hAnsiTheme="majorHAnsi" w:cstheme="majorHAnsi"/>
        </w:rPr>
      </w:pPr>
    </w:p>
    <w:p w14:paraId="066878C7" w14:textId="296B3220" w:rsidR="00E905AF" w:rsidRPr="00422373" w:rsidRDefault="00E905AF" w:rsidP="00E905AF">
      <w:pPr>
        <w:pStyle w:val="ListParagraph"/>
        <w:numPr>
          <w:ilvl w:val="0"/>
          <w:numId w:val="7"/>
        </w:numPr>
        <w:spacing w:after="0"/>
        <w:ind w:left="426" w:hanging="426"/>
        <w:rPr>
          <w:rFonts w:asciiTheme="majorHAnsi" w:hAnsiTheme="majorHAnsi" w:cstheme="majorHAnsi"/>
        </w:rPr>
      </w:pPr>
      <w:r w:rsidRPr="00422373">
        <w:rPr>
          <w:rFonts w:asciiTheme="majorHAnsi" w:hAnsiTheme="majorHAnsi" w:cstheme="majorHAnsi"/>
        </w:rPr>
        <w:t xml:space="preserve">ITE provider-based mentoring support (tertiary mentors/liaison officers) should continue </w:t>
      </w:r>
      <w:r w:rsidR="001E3E80">
        <w:rPr>
          <w:rFonts w:asciiTheme="majorHAnsi" w:hAnsiTheme="majorHAnsi" w:cstheme="majorHAnsi"/>
        </w:rPr>
        <w:t xml:space="preserve">for </w:t>
      </w:r>
      <w:r w:rsidRPr="00422373">
        <w:rPr>
          <w:rFonts w:asciiTheme="majorHAnsi" w:hAnsiTheme="majorHAnsi" w:cstheme="majorHAnsi"/>
        </w:rPr>
        <w:t xml:space="preserve">all Conditionally Accredited teachers who are employed during the final PEX placement </w:t>
      </w:r>
      <w:r w:rsidR="001E3E80" w:rsidRPr="00422373">
        <w:rPr>
          <w:rFonts w:asciiTheme="majorHAnsi" w:eastAsia="Times New Roman" w:hAnsiTheme="majorHAnsi" w:cstheme="majorHAnsi"/>
        </w:rPr>
        <w:t>and</w:t>
      </w:r>
      <w:r w:rsidR="001E3E80">
        <w:rPr>
          <w:rFonts w:asciiTheme="majorHAnsi" w:eastAsia="Times New Roman" w:hAnsiTheme="majorHAnsi" w:cstheme="majorHAnsi"/>
        </w:rPr>
        <w:t xml:space="preserve"> </w:t>
      </w:r>
      <w:r w:rsidRPr="00422373">
        <w:rPr>
          <w:rFonts w:asciiTheme="majorHAnsi" w:eastAsia="Times New Roman" w:hAnsiTheme="majorHAnsi" w:cstheme="majorHAnsi"/>
        </w:rPr>
        <w:t>support TPA requirements.</w:t>
      </w:r>
    </w:p>
    <w:p w14:paraId="70EE1D64" w14:textId="77777777" w:rsidR="00E905AF" w:rsidRPr="00422373" w:rsidRDefault="00E905AF" w:rsidP="00E905AF">
      <w:pPr>
        <w:pStyle w:val="ListParagraph"/>
        <w:numPr>
          <w:ilvl w:val="0"/>
          <w:numId w:val="0"/>
        </w:numPr>
        <w:spacing w:after="0"/>
        <w:ind w:left="426"/>
        <w:rPr>
          <w:rFonts w:asciiTheme="majorHAnsi" w:hAnsiTheme="majorHAnsi" w:cstheme="majorHAnsi"/>
        </w:rPr>
      </w:pPr>
    </w:p>
    <w:p w14:paraId="79EA80E2" w14:textId="77777777" w:rsidR="00E905AF" w:rsidRPr="00422373" w:rsidRDefault="00E905AF" w:rsidP="00E905AF">
      <w:pPr>
        <w:pStyle w:val="ListParagraph"/>
        <w:numPr>
          <w:ilvl w:val="0"/>
          <w:numId w:val="7"/>
        </w:numPr>
        <w:spacing w:after="0"/>
        <w:ind w:left="426" w:hanging="426"/>
        <w:rPr>
          <w:rFonts w:asciiTheme="majorHAnsi" w:hAnsiTheme="majorHAnsi" w:cstheme="majorHAnsi"/>
        </w:rPr>
      </w:pPr>
      <w:r w:rsidRPr="00422373">
        <w:rPr>
          <w:rFonts w:asciiTheme="majorHAnsi" w:hAnsiTheme="majorHAnsi" w:cstheme="majorHAnsi"/>
        </w:rPr>
        <w:t>Conditionally Accredited teachers who are employed at any point (including the final PEX placement) should be provided with planned and structured school-based professional learning opportunities by schools whilst acknowledging that university commitments are also a priority for the teacher education student.</w:t>
      </w:r>
    </w:p>
    <w:p w14:paraId="345F4C2C" w14:textId="77777777" w:rsidR="00E905AF" w:rsidRPr="00422373" w:rsidRDefault="00E905AF" w:rsidP="00E905AF">
      <w:pPr>
        <w:spacing w:after="0" w:line="240" w:lineRule="auto"/>
        <w:rPr>
          <w:rFonts w:asciiTheme="majorHAnsi" w:hAnsiTheme="majorHAnsi" w:cstheme="majorHAnsi"/>
        </w:rPr>
      </w:pPr>
    </w:p>
    <w:p w14:paraId="46FA0761" w14:textId="77777777" w:rsidR="00E905AF" w:rsidRPr="00422373" w:rsidRDefault="00E905AF" w:rsidP="00E905AF">
      <w:pPr>
        <w:pStyle w:val="ListParagraph"/>
        <w:numPr>
          <w:ilvl w:val="0"/>
          <w:numId w:val="7"/>
        </w:numPr>
        <w:spacing w:after="0"/>
        <w:ind w:left="426" w:hanging="426"/>
        <w:rPr>
          <w:rFonts w:asciiTheme="majorHAnsi" w:hAnsiTheme="majorHAnsi" w:cstheme="majorHAnsi"/>
        </w:rPr>
      </w:pPr>
      <w:r w:rsidRPr="00422373">
        <w:rPr>
          <w:rFonts w:asciiTheme="majorHAnsi" w:hAnsiTheme="majorHAnsi" w:cstheme="majorHAnsi"/>
        </w:rPr>
        <w:t>ITE provider-based guidance regarding coursework and assessment would be valuable as a provision to all Conditionally Accredited teachers who are employed at any point (including the final PEX placement).</w:t>
      </w:r>
    </w:p>
    <w:p w14:paraId="00F9F473" w14:textId="77777777" w:rsidR="00E905AF" w:rsidRPr="00422373" w:rsidRDefault="00E905AF" w:rsidP="00E905AF">
      <w:pPr>
        <w:spacing w:after="0" w:line="240" w:lineRule="auto"/>
        <w:rPr>
          <w:rFonts w:asciiTheme="majorHAnsi" w:hAnsiTheme="majorHAnsi" w:cstheme="majorHAnsi"/>
        </w:rPr>
      </w:pPr>
    </w:p>
    <w:p w14:paraId="10239BF3" w14:textId="77777777" w:rsidR="00E905AF" w:rsidRPr="00422373" w:rsidRDefault="00E905AF" w:rsidP="00E905AF">
      <w:pPr>
        <w:pStyle w:val="ListParagraph"/>
        <w:numPr>
          <w:ilvl w:val="0"/>
          <w:numId w:val="7"/>
        </w:numPr>
        <w:spacing w:after="0"/>
        <w:ind w:left="426" w:hanging="426"/>
        <w:rPr>
          <w:rFonts w:asciiTheme="majorHAnsi" w:hAnsiTheme="majorHAnsi" w:cstheme="majorHAnsi"/>
        </w:rPr>
      </w:pPr>
      <w:r w:rsidRPr="00422373">
        <w:rPr>
          <w:rFonts w:asciiTheme="majorHAnsi" w:hAnsiTheme="majorHAnsi" w:cstheme="majorHAnsi"/>
        </w:rPr>
        <w:t>Where possible ITE providers should offer alternative access to coursework including remote/online or intensive modes of study to Conditionally Accredited teachers who are employed at any point.</w:t>
      </w:r>
    </w:p>
    <w:p w14:paraId="79533726" w14:textId="77777777" w:rsidR="002F0385" w:rsidRDefault="002F0385" w:rsidP="00A94F7F">
      <w:pPr>
        <w:pStyle w:val="BodyText"/>
        <w:rPr>
          <w:rFonts w:asciiTheme="majorHAnsi" w:hAnsiTheme="majorHAnsi" w:cstheme="majorHAnsi"/>
        </w:rPr>
      </w:pPr>
    </w:p>
    <w:p w14:paraId="1A73EBDE" w14:textId="3723F3F8" w:rsidR="00422373" w:rsidRPr="00422373" w:rsidRDefault="00422373" w:rsidP="00A94F7F">
      <w:pPr>
        <w:pStyle w:val="BodyText"/>
        <w:rPr>
          <w:rFonts w:asciiTheme="majorHAnsi" w:hAnsiTheme="majorHAnsi" w:cstheme="majorHAnsi"/>
          <w:i/>
          <w:iCs/>
        </w:rPr>
      </w:pPr>
      <w:r>
        <w:rPr>
          <w:rFonts w:asciiTheme="majorHAnsi" w:hAnsiTheme="majorHAnsi" w:cstheme="majorHAnsi"/>
        </w:rPr>
        <w:br/>
      </w:r>
      <w:r w:rsidRPr="00422373">
        <w:rPr>
          <w:rFonts w:asciiTheme="majorHAnsi" w:hAnsiTheme="majorHAnsi" w:cstheme="majorHAnsi"/>
          <w:i/>
          <w:iCs/>
        </w:rPr>
        <w:t>April 2022</w:t>
      </w:r>
    </w:p>
    <w:sectPr w:rsidR="00422373" w:rsidRPr="00422373" w:rsidSect="008A5205">
      <w:footerReference w:type="default" r:id="rId8"/>
      <w:headerReference w:type="first" r:id="rId9"/>
      <w:footerReference w:type="first" r:id="rId10"/>
      <w:type w:val="continuous"/>
      <w:pgSz w:w="11907" w:h="16840"/>
      <w:pgMar w:top="1440" w:right="1440" w:bottom="1440" w:left="1440"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34BF" w14:textId="77777777" w:rsidR="006B13CE" w:rsidRDefault="006B13CE" w:rsidP="00156BAF">
      <w:r>
        <w:separator/>
      </w:r>
    </w:p>
  </w:endnote>
  <w:endnote w:type="continuationSeparator" w:id="0">
    <w:p w14:paraId="56E566CF" w14:textId="77777777" w:rsidR="006B13CE" w:rsidRDefault="006B13CE"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188A" w14:textId="77777777" w:rsidR="00E905AF" w:rsidRDefault="00E905AF" w:rsidP="00866A43">
    <w:pPr>
      <w:pStyle w:val="Footer"/>
    </w:pPr>
    <w:r>
      <w:rPr>
        <w:noProof/>
        <w:lang w:eastAsia="en-AU"/>
      </w:rPr>
      <mc:AlternateContent>
        <mc:Choice Requires="wps">
          <w:drawing>
            <wp:anchor distT="0" distB="0" distL="114300" distR="114300" simplePos="0" relativeHeight="251661312" behindDoc="0" locked="0" layoutInCell="1" allowOverlap="1" wp14:anchorId="30B3708A" wp14:editId="6EF12BD5">
              <wp:simplePos x="0" y="0"/>
              <wp:positionH relativeFrom="column">
                <wp:posOffset>2095</wp:posOffset>
              </wp:positionH>
              <wp:positionV relativeFrom="paragraph">
                <wp:posOffset>123627</wp:posOffset>
              </wp:positionV>
              <wp:extent cx="5807033"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807033" cy="0"/>
                      </a:xfrm>
                      <a:prstGeom prst="line">
                        <a:avLst/>
                      </a:prstGeom>
                      <a:ln w="3175">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6207708"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75pt" to="45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" strokecolor="#280070" strokeweight=".25pt"/>
          </w:pict>
        </mc:Fallback>
      </mc:AlternateContent>
    </w:r>
  </w:p>
  <w:p w14:paraId="14604478" w14:textId="77777777" w:rsidR="00E905AF" w:rsidRPr="00A81F74" w:rsidRDefault="00E905AF" w:rsidP="00866A43">
    <w:pPr>
      <w:pStyle w:val="Footer"/>
    </w:pPr>
    <w:r w:rsidRPr="00F24587">
      <w:t xml:space="preserve">Page </w:t>
    </w:r>
    <w:r w:rsidRPr="00F24587">
      <w:fldChar w:fldCharType="begin"/>
    </w:r>
    <w:r w:rsidRPr="00F24587">
      <w:instrText xml:space="preserve"> PAGE  \* Arabic  \* MERGEFORMAT </w:instrText>
    </w:r>
    <w:r w:rsidRPr="00F24587">
      <w:fldChar w:fldCharType="separate"/>
    </w:r>
    <w:r>
      <w:rPr>
        <w:noProof/>
      </w:rPr>
      <w:t>2</w:t>
    </w:r>
    <w:r w:rsidRPr="00F24587">
      <w:fldChar w:fldCharType="end"/>
    </w:r>
    <w:r w:rsidRPr="00F24587">
      <w:t xml:space="preserve"> of </w:t>
    </w:r>
    <w:r w:rsidR="006B13CE">
      <w:fldChar w:fldCharType="begin"/>
    </w:r>
    <w:r w:rsidR="006B13CE">
      <w:instrText xml:space="preserve"> NUMPAGES  \* Arabic  \* MERGEFORMAT </w:instrText>
    </w:r>
    <w:r w:rsidR="006B13CE">
      <w:fldChar w:fldCharType="separate"/>
    </w:r>
    <w:r>
      <w:rPr>
        <w:noProof/>
      </w:rPr>
      <w:t>1</w:t>
    </w:r>
    <w:r w:rsidR="006B13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0C61" w14:textId="77777777" w:rsidR="00E905AF" w:rsidRDefault="00E905AF" w:rsidP="00866A43">
    <w:pPr>
      <w:pStyle w:val="Footer"/>
    </w:pPr>
    <w:r>
      <w:rPr>
        <w:noProof/>
        <w:lang w:eastAsia="en-AU"/>
      </w:rPr>
      <mc:AlternateContent>
        <mc:Choice Requires="wps">
          <w:drawing>
            <wp:anchor distT="0" distB="0" distL="114300" distR="114300" simplePos="0" relativeHeight="251659264" behindDoc="0" locked="0" layoutInCell="1" allowOverlap="1" wp14:anchorId="2B4F4BAF" wp14:editId="1C17368B">
              <wp:simplePos x="0" y="0"/>
              <wp:positionH relativeFrom="margin">
                <wp:posOffset>-19050</wp:posOffset>
              </wp:positionH>
              <wp:positionV relativeFrom="paragraph">
                <wp:posOffset>125730</wp:posOffset>
              </wp:positionV>
              <wp:extent cx="5796000"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796000" cy="0"/>
                      </a:xfrm>
                      <a:prstGeom prst="line">
                        <a:avLst/>
                      </a:prstGeom>
                      <a:ln w="6350">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F49CBC4" id="Straight Connector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9.9pt" to="45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" strokecolor="#280070" strokeweight=".5pt">
              <w10:wrap anchorx="margin"/>
            </v:line>
          </w:pict>
        </mc:Fallback>
      </mc:AlternateContent>
    </w:r>
  </w:p>
  <w:p w14:paraId="72CB9950" w14:textId="77777777" w:rsidR="00E905AF" w:rsidRPr="00B1312A" w:rsidRDefault="00E905AF" w:rsidP="00B1312A">
    <w:pPr>
      <w:pStyle w:val="Footer"/>
    </w:pPr>
    <w:r w:rsidRPr="00B1312A">
      <w:t xml:space="preserve">Page </w:t>
    </w:r>
    <w:r w:rsidRPr="00B1312A">
      <w:fldChar w:fldCharType="begin"/>
    </w:r>
    <w:r w:rsidRPr="00B1312A">
      <w:instrText xml:space="preserve"> PAGE  \* Arabic  \* MERGEFORMAT </w:instrText>
    </w:r>
    <w:r w:rsidRPr="00B1312A">
      <w:fldChar w:fldCharType="separate"/>
    </w:r>
    <w:r>
      <w:rPr>
        <w:noProof/>
      </w:rPr>
      <w:t>1</w:t>
    </w:r>
    <w:r w:rsidRPr="00B1312A">
      <w:fldChar w:fldCharType="end"/>
    </w:r>
    <w:r w:rsidRPr="00B1312A">
      <w:t xml:space="preserve"> of </w:t>
    </w:r>
    <w:r w:rsidR="006B13CE">
      <w:fldChar w:fldCharType="begin"/>
    </w:r>
    <w:r w:rsidR="006B13CE">
      <w:instrText xml:space="preserve"> NUMPAGES  \* Arabic  \* MERGEFORMAT </w:instrText>
    </w:r>
    <w:r w:rsidR="006B13CE">
      <w:fldChar w:fldCharType="separate"/>
    </w:r>
    <w:r>
      <w:rPr>
        <w:noProof/>
      </w:rPr>
      <w:t>1</w:t>
    </w:r>
    <w:r w:rsidR="006B13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68A38" w14:textId="77777777" w:rsidR="006B13CE" w:rsidRPr="00325CBF" w:rsidRDefault="006B13CE" w:rsidP="00325CBF">
      <w:pPr>
        <w:spacing w:line="240" w:lineRule="auto"/>
        <w:rPr>
          <w:color w:val="280070"/>
        </w:rPr>
      </w:pPr>
      <w:r w:rsidRPr="00325CBF">
        <w:rPr>
          <w:color w:val="280070"/>
        </w:rPr>
        <w:separator/>
      </w:r>
    </w:p>
  </w:footnote>
  <w:footnote w:type="continuationSeparator" w:id="0">
    <w:p w14:paraId="17D61A2A" w14:textId="77777777" w:rsidR="006B13CE" w:rsidRDefault="006B13CE" w:rsidP="0015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SATable"/>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91"/>
      <w:gridCol w:w="4536"/>
    </w:tblGrid>
    <w:tr w:rsidR="00E905AF" w14:paraId="0EE3F3E5" w14:textId="77777777" w:rsidTr="008A5205">
      <w:trPr>
        <w:trHeight w:val="1012"/>
      </w:trPr>
      <w:tc>
        <w:tcPr>
          <w:tcW w:w="4791" w:type="dxa"/>
          <w:vAlign w:val="center"/>
        </w:tcPr>
        <w:p w14:paraId="54E96DD1" w14:textId="77777777" w:rsidR="00E905AF" w:rsidRPr="001700FC" w:rsidRDefault="00E905AF" w:rsidP="00030AF7">
          <w:pPr>
            <w:pStyle w:val="BodyText"/>
            <w:spacing w:after="120"/>
            <w:ind w:left="0" w:right="0"/>
            <w:rPr>
              <w:b/>
            </w:rPr>
          </w:pPr>
          <w:r>
            <w:rPr>
              <w:noProof/>
            </w:rPr>
            <mc:AlternateContent>
              <mc:Choice Requires="wps">
                <w:drawing>
                  <wp:anchor distT="0" distB="0" distL="114300" distR="114300" simplePos="0" relativeHeight="251663360" behindDoc="0" locked="0" layoutInCell="1" allowOverlap="1" wp14:anchorId="352B7215" wp14:editId="5EC45217">
                    <wp:simplePos x="0" y="0"/>
                    <wp:positionH relativeFrom="leftMargin">
                      <wp:posOffset>53975</wp:posOffset>
                    </wp:positionH>
                    <wp:positionV relativeFrom="paragraph">
                      <wp:posOffset>1025525</wp:posOffset>
                    </wp:positionV>
                    <wp:extent cx="579600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96000" cy="0"/>
                            </a:xfrm>
                            <a:prstGeom prst="line">
                              <a:avLst/>
                            </a:prstGeom>
                            <a:ln w="6350">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2051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pt,80.75pt" to="460.6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" strokecolor="#280070" strokeweight=".5pt">
                    <w10:wrap anchorx="margin"/>
                  </v:line>
                </w:pict>
              </mc:Fallback>
            </mc:AlternateContent>
          </w:r>
          <w:r>
            <w:rPr>
              <w:b/>
              <w:noProof/>
            </w:rPr>
            <w:drawing>
              <wp:inline distT="0" distB="0" distL="0" distR="0" wp14:anchorId="2C8E1A9E" wp14:editId="629FE634">
                <wp:extent cx="2077200" cy="943200"/>
                <wp:effectExtent l="0" t="0" r="0" b="0"/>
                <wp:docPr id="1" name="Picture 1" title="NSW Government -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A_Regular_RGB_60mm.png"/>
                        <pic:cNvPicPr/>
                      </pic:nvPicPr>
                      <pic:blipFill>
                        <a:blip r:embed="rId1">
                          <a:extLst>
                            <a:ext uri="{28A0092B-C50C-407E-A947-70E740481C1C}">
                              <a14:useLocalDpi xmlns:a14="http://schemas.microsoft.com/office/drawing/2010/main" val="0"/>
                            </a:ext>
                          </a:extLst>
                        </a:blip>
                        <a:stretch>
                          <a:fillRect/>
                        </a:stretch>
                      </pic:blipFill>
                      <pic:spPr>
                        <a:xfrm>
                          <a:off x="0" y="0"/>
                          <a:ext cx="2077200" cy="943200"/>
                        </a:xfrm>
                        <a:prstGeom prst="rect">
                          <a:avLst/>
                        </a:prstGeom>
                      </pic:spPr>
                    </pic:pic>
                  </a:graphicData>
                </a:graphic>
              </wp:inline>
            </w:drawing>
          </w:r>
        </w:p>
      </w:tc>
      <w:tc>
        <w:tcPr>
          <w:tcW w:w="4536" w:type="dxa"/>
        </w:tcPr>
        <w:p w14:paraId="1A26CFA2" w14:textId="77777777" w:rsidR="00E905AF" w:rsidRPr="00945FC1" w:rsidRDefault="00E905AF" w:rsidP="00634BDB">
          <w:pPr>
            <w:pStyle w:val="BodyText"/>
            <w:spacing w:after="0"/>
            <w:jc w:val="right"/>
            <w:rPr>
              <w:sz w:val="10"/>
              <w:szCs w:val="10"/>
            </w:rPr>
          </w:pPr>
        </w:p>
        <w:p w14:paraId="5DF8321F" w14:textId="77777777" w:rsidR="00E905AF" w:rsidRPr="00945FC1" w:rsidRDefault="00E905AF" w:rsidP="00E905AF">
          <w:pPr>
            <w:pStyle w:val="BodyText"/>
            <w:spacing w:before="60" w:after="0"/>
            <w:jc w:val="right"/>
            <w:rPr>
              <w:sz w:val="17"/>
              <w:szCs w:val="17"/>
            </w:rPr>
          </w:pPr>
          <w:r w:rsidRPr="00945FC1">
            <w:rPr>
              <w:sz w:val="17"/>
              <w:szCs w:val="17"/>
            </w:rPr>
            <w:t>117 Clarence Street, Sydney NSW 2000</w:t>
          </w:r>
        </w:p>
        <w:p w14:paraId="15A7B8EA" w14:textId="77777777" w:rsidR="00E905AF" w:rsidRPr="00945FC1" w:rsidRDefault="00E905AF" w:rsidP="00E905AF">
          <w:pPr>
            <w:pStyle w:val="BodyText"/>
            <w:spacing w:before="60" w:after="0"/>
            <w:jc w:val="right"/>
            <w:rPr>
              <w:sz w:val="17"/>
              <w:szCs w:val="17"/>
            </w:rPr>
          </w:pPr>
          <w:r w:rsidRPr="00945FC1">
            <w:rPr>
              <w:sz w:val="17"/>
              <w:szCs w:val="17"/>
            </w:rPr>
            <w:t>GPO Box 5300, Sydney NSW 2001, Australia</w:t>
          </w:r>
        </w:p>
        <w:p w14:paraId="5E6DA0D4" w14:textId="77777777" w:rsidR="00E905AF" w:rsidRPr="00945FC1" w:rsidRDefault="00E905AF" w:rsidP="00E905AF">
          <w:pPr>
            <w:pStyle w:val="Header"/>
            <w:spacing w:before="60" w:after="0"/>
            <w:jc w:val="right"/>
            <w:rPr>
              <w:sz w:val="17"/>
              <w:szCs w:val="17"/>
            </w:rPr>
          </w:pPr>
          <w:r w:rsidRPr="00945FC1">
            <w:rPr>
              <w:b/>
              <w:color w:val="280070"/>
              <w:sz w:val="17"/>
              <w:szCs w:val="17"/>
            </w:rPr>
            <w:t>T</w:t>
          </w:r>
          <w:r w:rsidRPr="00945FC1">
            <w:rPr>
              <w:sz w:val="17"/>
              <w:szCs w:val="17"/>
            </w:rPr>
            <w:t xml:space="preserve"> +61 2 9367 8111    </w:t>
          </w:r>
          <w:r w:rsidRPr="00945FC1">
            <w:rPr>
              <w:b/>
              <w:color w:val="280070"/>
              <w:sz w:val="17"/>
              <w:szCs w:val="17"/>
            </w:rPr>
            <w:t>F</w:t>
          </w:r>
          <w:r w:rsidRPr="00945FC1">
            <w:rPr>
              <w:sz w:val="17"/>
              <w:szCs w:val="17"/>
            </w:rPr>
            <w:t xml:space="preserve"> +61 2 9367 8484</w:t>
          </w:r>
        </w:p>
        <w:p w14:paraId="2EBFCB38" w14:textId="77777777" w:rsidR="00E905AF" w:rsidRPr="001700FC" w:rsidRDefault="00E905AF" w:rsidP="00E905AF">
          <w:pPr>
            <w:pStyle w:val="Header"/>
            <w:jc w:val="right"/>
            <w:rPr>
              <w:b/>
              <w:color w:val="280070"/>
              <w:sz w:val="18"/>
              <w:szCs w:val="18"/>
            </w:rPr>
          </w:pPr>
          <w:r>
            <w:rPr>
              <w:b/>
              <w:color w:val="280070"/>
              <w:sz w:val="17"/>
              <w:szCs w:val="17"/>
            </w:rPr>
            <w:t>education</w:t>
          </w:r>
          <w:r w:rsidRPr="00945FC1">
            <w:rPr>
              <w:b/>
              <w:color w:val="280070"/>
              <w:sz w:val="17"/>
              <w:szCs w:val="17"/>
            </w:rPr>
            <w:t>standards.nsw.edu.au</w:t>
          </w:r>
        </w:p>
      </w:tc>
    </w:tr>
  </w:tbl>
  <w:p w14:paraId="5A1055C8" w14:textId="77777777" w:rsidR="00E905AF" w:rsidRDefault="00E905AF" w:rsidP="006A3718">
    <w:pPr>
      <w:pStyle w:val="Footer"/>
      <w:tabs>
        <w:tab w:val="left" w:pos="718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B1947"/>
    <w:multiLevelType w:val="hybridMultilevel"/>
    <w:tmpl w:val="FFEA82FE"/>
    <w:lvl w:ilvl="0" w:tplc="C4CE9184">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 w15:restartNumberingAfterBreak="0">
    <w:nsid w:val="5D7B0F30"/>
    <w:multiLevelType w:val="multilevel"/>
    <w:tmpl w:val="DE02A66C"/>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3" w15:restartNumberingAfterBreak="0">
    <w:nsid w:val="622F6F57"/>
    <w:multiLevelType w:val="hybridMultilevel"/>
    <w:tmpl w:val="6C3EE882"/>
    <w:lvl w:ilvl="0" w:tplc="F3AA4E1C">
      <w:start w:val="1"/>
      <w:numFmt w:val="bullet"/>
      <w:lvlText w:val=""/>
      <w:lvlJc w:val="left"/>
      <w:pPr>
        <w:ind w:left="360" w:hanging="360"/>
      </w:pPr>
      <w:rPr>
        <w:rFonts w:ascii="Wingdings" w:hAnsi="Wingdings" w:hint="default"/>
        <w:color w:val="28007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98"/>
    <w:rsid w:val="00000873"/>
    <w:rsid w:val="00001D46"/>
    <w:rsid w:val="00004DC3"/>
    <w:rsid w:val="00007D84"/>
    <w:rsid w:val="00010BF5"/>
    <w:rsid w:val="000166F6"/>
    <w:rsid w:val="00027706"/>
    <w:rsid w:val="00030AF7"/>
    <w:rsid w:val="00031307"/>
    <w:rsid w:val="000323B6"/>
    <w:rsid w:val="0003590E"/>
    <w:rsid w:val="00041281"/>
    <w:rsid w:val="00041F1B"/>
    <w:rsid w:val="00042CA5"/>
    <w:rsid w:val="00043EFB"/>
    <w:rsid w:val="000449C9"/>
    <w:rsid w:val="00044FDD"/>
    <w:rsid w:val="00044FFB"/>
    <w:rsid w:val="0004523B"/>
    <w:rsid w:val="0005157C"/>
    <w:rsid w:val="00053B78"/>
    <w:rsid w:val="00055234"/>
    <w:rsid w:val="00057164"/>
    <w:rsid w:val="00062C23"/>
    <w:rsid w:val="00071A1C"/>
    <w:rsid w:val="00076786"/>
    <w:rsid w:val="00077566"/>
    <w:rsid w:val="00077D42"/>
    <w:rsid w:val="00084192"/>
    <w:rsid w:val="00084237"/>
    <w:rsid w:val="00085BF5"/>
    <w:rsid w:val="00087AAE"/>
    <w:rsid w:val="00090A7A"/>
    <w:rsid w:val="000926D0"/>
    <w:rsid w:val="00092F87"/>
    <w:rsid w:val="00094778"/>
    <w:rsid w:val="000A11E9"/>
    <w:rsid w:val="000A28AB"/>
    <w:rsid w:val="000A44AD"/>
    <w:rsid w:val="000A5C8E"/>
    <w:rsid w:val="000A6514"/>
    <w:rsid w:val="000B4C09"/>
    <w:rsid w:val="000D3F86"/>
    <w:rsid w:val="000D46BF"/>
    <w:rsid w:val="000D51F5"/>
    <w:rsid w:val="000E4AE6"/>
    <w:rsid w:val="000F2F05"/>
    <w:rsid w:val="00102241"/>
    <w:rsid w:val="00105C3F"/>
    <w:rsid w:val="00110A70"/>
    <w:rsid w:val="001118F6"/>
    <w:rsid w:val="00121D6C"/>
    <w:rsid w:val="001243DC"/>
    <w:rsid w:val="00124DA6"/>
    <w:rsid w:val="001273DB"/>
    <w:rsid w:val="00130F01"/>
    <w:rsid w:val="00133E23"/>
    <w:rsid w:val="0013580E"/>
    <w:rsid w:val="00140F42"/>
    <w:rsid w:val="001420F1"/>
    <w:rsid w:val="00142BF2"/>
    <w:rsid w:val="00153A9A"/>
    <w:rsid w:val="00153F6E"/>
    <w:rsid w:val="00156BAF"/>
    <w:rsid w:val="00164164"/>
    <w:rsid w:val="00164529"/>
    <w:rsid w:val="00166858"/>
    <w:rsid w:val="00167C47"/>
    <w:rsid w:val="00171A6E"/>
    <w:rsid w:val="00173787"/>
    <w:rsid w:val="0017403B"/>
    <w:rsid w:val="00176E73"/>
    <w:rsid w:val="00177183"/>
    <w:rsid w:val="0018195C"/>
    <w:rsid w:val="00183D29"/>
    <w:rsid w:val="00183F1F"/>
    <w:rsid w:val="001862C6"/>
    <w:rsid w:val="0018730D"/>
    <w:rsid w:val="00187448"/>
    <w:rsid w:val="00194BBC"/>
    <w:rsid w:val="001968AD"/>
    <w:rsid w:val="00196C9B"/>
    <w:rsid w:val="0019715F"/>
    <w:rsid w:val="001A3D0B"/>
    <w:rsid w:val="001A6CD7"/>
    <w:rsid w:val="001A7233"/>
    <w:rsid w:val="001B2107"/>
    <w:rsid w:val="001B2D8C"/>
    <w:rsid w:val="001B76C9"/>
    <w:rsid w:val="001C1A89"/>
    <w:rsid w:val="001C3F63"/>
    <w:rsid w:val="001C6DD1"/>
    <w:rsid w:val="001D023C"/>
    <w:rsid w:val="001E3E80"/>
    <w:rsid w:val="001E617F"/>
    <w:rsid w:val="00203F08"/>
    <w:rsid w:val="00205BFC"/>
    <w:rsid w:val="002109F6"/>
    <w:rsid w:val="00210EC3"/>
    <w:rsid w:val="0021508F"/>
    <w:rsid w:val="002168B6"/>
    <w:rsid w:val="00217BA8"/>
    <w:rsid w:val="00217E24"/>
    <w:rsid w:val="00222EC4"/>
    <w:rsid w:val="00226E2A"/>
    <w:rsid w:val="0023186D"/>
    <w:rsid w:val="00237F9F"/>
    <w:rsid w:val="002577B7"/>
    <w:rsid w:val="00257E79"/>
    <w:rsid w:val="002605D1"/>
    <w:rsid w:val="00267071"/>
    <w:rsid w:val="002719D0"/>
    <w:rsid w:val="00271FF3"/>
    <w:rsid w:val="00275472"/>
    <w:rsid w:val="002A20BF"/>
    <w:rsid w:val="002B3DDE"/>
    <w:rsid w:val="002B6499"/>
    <w:rsid w:val="002C004B"/>
    <w:rsid w:val="002C023F"/>
    <w:rsid w:val="002C0B5F"/>
    <w:rsid w:val="002C74C5"/>
    <w:rsid w:val="002D003B"/>
    <w:rsid w:val="002D0E7E"/>
    <w:rsid w:val="002E4320"/>
    <w:rsid w:val="002E5C02"/>
    <w:rsid w:val="002E6920"/>
    <w:rsid w:val="002F0385"/>
    <w:rsid w:val="002F7DD2"/>
    <w:rsid w:val="00306D63"/>
    <w:rsid w:val="003132AD"/>
    <w:rsid w:val="00321F77"/>
    <w:rsid w:val="00322ED9"/>
    <w:rsid w:val="00324178"/>
    <w:rsid w:val="00325CBF"/>
    <w:rsid w:val="00334861"/>
    <w:rsid w:val="00336996"/>
    <w:rsid w:val="00337AF6"/>
    <w:rsid w:val="00340958"/>
    <w:rsid w:val="00350158"/>
    <w:rsid w:val="00350883"/>
    <w:rsid w:val="003536D9"/>
    <w:rsid w:val="00357E61"/>
    <w:rsid w:val="00361257"/>
    <w:rsid w:val="003638A5"/>
    <w:rsid w:val="00375598"/>
    <w:rsid w:val="003764F5"/>
    <w:rsid w:val="00380BA5"/>
    <w:rsid w:val="00380FBF"/>
    <w:rsid w:val="0038202C"/>
    <w:rsid w:val="00385244"/>
    <w:rsid w:val="003952EC"/>
    <w:rsid w:val="003A1600"/>
    <w:rsid w:val="003A22D4"/>
    <w:rsid w:val="003B419B"/>
    <w:rsid w:val="003B6FA8"/>
    <w:rsid w:val="003C1329"/>
    <w:rsid w:val="003C251D"/>
    <w:rsid w:val="003C5075"/>
    <w:rsid w:val="003D79BC"/>
    <w:rsid w:val="003E336A"/>
    <w:rsid w:val="003E3EA2"/>
    <w:rsid w:val="003F3A00"/>
    <w:rsid w:val="003F461D"/>
    <w:rsid w:val="003F5BF2"/>
    <w:rsid w:val="00402E7A"/>
    <w:rsid w:val="00414EBA"/>
    <w:rsid w:val="0041588C"/>
    <w:rsid w:val="00421662"/>
    <w:rsid w:val="00422373"/>
    <w:rsid w:val="0043082F"/>
    <w:rsid w:val="00434D36"/>
    <w:rsid w:val="00450305"/>
    <w:rsid w:val="00451E10"/>
    <w:rsid w:val="0045328B"/>
    <w:rsid w:val="00456EFD"/>
    <w:rsid w:val="004576D6"/>
    <w:rsid w:val="004620BA"/>
    <w:rsid w:val="004642AD"/>
    <w:rsid w:val="00487366"/>
    <w:rsid w:val="004875BB"/>
    <w:rsid w:val="00491EC2"/>
    <w:rsid w:val="004970CF"/>
    <w:rsid w:val="004971AE"/>
    <w:rsid w:val="004A3CC6"/>
    <w:rsid w:val="004A57F6"/>
    <w:rsid w:val="004B066D"/>
    <w:rsid w:val="004B18DE"/>
    <w:rsid w:val="004B4F60"/>
    <w:rsid w:val="004C18AB"/>
    <w:rsid w:val="004C5056"/>
    <w:rsid w:val="004D597B"/>
    <w:rsid w:val="004E11C2"/>
    <w:rsid w:val="004E3C96"/>
    <w:rsid w:val="004E43BE"/>
    <w:rsid w:val="004F50CF"/>
    <w:rsid w:val="004F696A"/>
    <w:rsid w:val="00500243"/>
    <w:rsid w:val="00500EFB"/>
    <w:rsid w:val="005050BA"/>
    <w:rsid w:val="00510381"/>
    <w:rsid w:val="00525CE2"/>
    <w:rsid w:val="0053351D"/>
    <w:rsid w:val="005426DC"/>
    <w:rsid w:val="00542B06"/>
    <w:rsid w:val="00546BDC"/>
    <w:rsid w:val="00547B8C"/>
    <w:rsid w:val="00556CBB"/>
    <w:rsid w:val="00566E9E"/>
    <w:rsid w:val="00572B20"/>
    <w:rsid w:val="0057311F"/>
    <w:rsid w:val="00575D2F"/>
    <w:rsid w:val="00582453"/>
    <w:rsid w:val="00585643"/>
    <w:rsid w:val="00590154"/>
    <w:rsid w:val="005B1402"/>
    <w:rsid w:val="005C443A"/>
    <w:rsid w:val="005D4817"/>
    <w:rsid w:val="005D63B1"/>
    <w:rsid w:val="005E4019"/>
    <w:rsid w:val="005E46E6"/>
    <w:rsid w:val="005E558C"/>
    <w:rsid w:val="005E55A8"/>
    <w:rsid w:val="005F26F0"/>
    <w:rsid w:val="00611397"/>
    <w:rsid w:val="00613418"/>
    <w:rsid w:val="00616031"/>
    <w:rsid w:val="00620553"/>
    <w:rsid w:val="00620814"/>
    <w:rsid w:val="00624DD7"/>
    <w:rsid w:val="0063187C"/>
    <w:rsid w:val="00632C73"/>
    <w:rsid w:val="00634826"/>
    <w:rsid w:val="00634BDB"/>
    <w:rsid w:val="00635FFE"/>
    <w:rsid w:val="00636618"/>
    <w:rsid w:val="006416CE"/>
    <w:rsid w:val="00645FB7"/>
    <w:rsid w:val="00647098"/>
    <w:rsid w:val="0065035A"/>
    <w:rsid w:val="00652013"/>
    <w:rsid w:val="00661EA3"/>
    <w:rsid w:val="0066452E"/>
    <w:rsid w:val="006667AC"/>
    <w:rsid w:val="0066796C"/>
    <w:rsid w:val="006715E2"/>
    <w:rsid w:val="00680045"/>
    <w:rsid w:val="00683868"/>
    <w:rsid w:val="00683FD2"/>
    <w:rsid w:val="00685D60"/>
    <w:rsid w:val="0069071C"/>
    <w:rsid w:val="0069231F"/>
    <w:rsid w:val="006A12D6"/>
    <w:rsid w:val="006A3718"/>
    <w:rsid w:val="006B13CE"/>
    <w:rsid w:val="006C5D5F"/>
    <w:rsid w:val="006D61CD"/>
    <w:rsid w:val="007000D0"/>
    <w:rsid w:val="00732A4E"/>
    <w:rsid w:val="00733686"/>
    <w:rsid w:val="0073785A"/>
    <w:rsid w:val="0074021F"/>
    <w:rsid w:val="00742CB1"/>
    <w:rsid w:val="00743DD5"/>
    <w:rsid w:val="0075236F"/>
    <w:rsid w:val="00752755"/>
    <w:rsid w:val="007555B7"/>
    <w:rsid w:val="00756F4D"/>
    <w:rsid w:val="00764B2B"/>
    <w:rsid w:val="00764EC2"/>
    <w:rsid w:val="00765155"/>
    <w:rsid w:val="00766F86"/>
    <w:rsid w:val="0077405A"/>
    <w:rsid w:val="00774C89"/>
    <w:rsid w:val="007764C2"/>
    <w:rsid w:val="007778E1"/>
    <w:rsid w:val="00786371"/>
    <w:rsid w:val="0079373A"/>
    <w:rsid w:val="00796C68"/>
    <w:rsid w:val="007A299A"/>
    <w:rsid w:val="007A35B2"/>
    <w:rsid w:val="007A582E"/>
    <w:rsid w:val="007C4B8C"/>
    <w:rsid w:val="007C4D04"/>
    <w:rsid w:val="007C5A90"/>
    <w:rsid w:val="007D0CB5"/>
    <w:rsid w:val="007D6704"/>
    <w:rsid w:val="007E1BD1"/>
    <w:rsid w:val="007E2011"/>
    <w:rsid w:val="007E5D99"/>
    <w:rsid w:val="00804704"/>
    <w:rsid w:val="008057C6"/>
    <w:rsid w:val="00810499"/>
    <w:rsid w:val="00813041"/>
    <w:rsid w:val="00814547"/>
    <w:rsid w:val="00817311"/>
    <w:rsid w:val="00823764"/>
    <w:rsid w:val="0082376D"/>
    <w:rsid w:val="00823E33"/>
    <w:rsid w:val="0082686C"/>
    <w:rsid w:val="00833F6C"/>
    <w:rsid w:val="00834CCE"/>
    <w:rsid w:val="00834D8B"/>
    <w:rsid w:val="008372DA"/>
    <w:rsid w:val="00847AE8"/>
    <w:rsid w:val="00852F1B"/>
    <w:rsid w:val="0086128C"/>
    <w:rsid w:val="008622E1"/>
    <w:rsid w:val="00866A43"/>
    <w:rsid w:val="0086754F"/>
    <w:rsid w:val="00872A6C"/>
    <w:rsid w:val="008763AF"/>
    <w:rsid w:val="008849A3"/>
    <w:rsid w:val="0088663E"/>
    <w:rsid w:val="008867AC"/>
    <w:rsid w:val="0088789E"/>
    <w:rsid w:val="0089254E"/>
    <w:rsid w:val="008925E1"/>
    <w:rsid w:val="00893748"/>
    <w:rsid w:val="00896AC8"/>
    <w:rsid w:val="008A4227"/>
    <w:rsid w:val="008A5205"/>
    <w:rsid w:val="008B3619"/>
    <w:rsid w:val="008B41C2"/>
    <w:rsid w:val="008B4275"/>
    <w:rsid w:val="008D13F2"/>
    <w:rsid w:val="008D703E"/>
    <w:rsid w:val="008D7CE9"/>
    <w:rsid w:val="008E55DA"/>
    <w:rsid w:val="008F0BD6"/>
    <w:rsid w:val="009115D5"/>
    <w:rsid w:val="00914324"/>
    <w:rsid w:val="00923BD1"/>
    <w:rsid w:val="00927266"/>
    <w:rsid w:val="00936DC6"/>
    <w:rsid w:val="00941626"/>
    <w:rsid w:val="00943370"/>
    <w:rsid w:val="0094435C"/>
    <w:rsid w:val="00956BC1"/>
    <w:rsid w:val="00960A63"/>
    <w:rsid w:val="00961F67"/>
    <w:rsid w:val="00967F2B"/>
    <w:rsid w:val="00971F33"/>
    <w:rsid w:val="009724AA"/>
    <w:rsid w:val="009821BF"/>
    <w:rsid w:val="00984ED5"/>
    <w:rsid w:val="0098528B"/>
    <w:rsid w:val="00986147"/>
    <w:rsid w:val="00986BA0"/>
    <w:rsid w:val="009B5B89"/>
    <w:rsid w:val="009C085E"/>
    <w:rsid w:val="009C0A21"/>
    <w:rsid w:val="009C75BA"/>
    <w:rsid w:val="009D7C14"/>
    <w:rsid w:val="009E6927"/>
    <w:rsid w:val="009F21F1"/>
    <w:rsid w:val="009F3C2D"/>
    <w:rsid w:val="009F416A"/>
    <w:rsid w:val="009F4907"/>
    <w:rsid w:val="009F5ABD"/>
    <w:rsid w:val="009F6CF2"/>
    <w:rsid w:val="009F7FFD"/>
    <w:rsid w:val="00A04971"/>
    <w:rsid w:val="00A159E1"/>
    <w:rsid w:val="00A1705C"/>
    <w:rsid w:val="00A20555"/>
    <w:rsid w:val="00A225F0"/>
    <w:rsid w:val="00A23A36"/>
    <w:rsid w:val="00A2526F"/>
    <w:rsid w:val="00A2589A"/>
    <w:rsid w:val="00A30C5A"/>
    <w:rsid w:val="00A30C73"/>
    <w:rsid w:val="00A31E35"/>
    <w:rsid w:val="00A31F49"/>
    <w:rsid w:val="00A34FBF"/>
    <w:rsid w:val="00A35A95"/>
    <w:rsid w:val="00A44E75"/>
    <w:rsid w:val="00A51A27"/>
    <w:rsid w:val="00A6311C"/>
    <w:rsid w:val="00A63340"/>
    <w:rsid w:val="00A63C2D"/>
    <w:rsid w:val="00A65645"/>
    <w:rsid w:val="00A67024"/>
    <w:rsid w:val="00A70977"/>
    <w:rsid w:val="00A80B1E"/>
    <w:rsid w:val="00A81F74"/>
    <w:rsid w:val="00A94F7F"/>
    <w:rsid w:val="00AA46BD"/>
    <w:rsid w:val="00AA494D"/>
    <w:rsid w:val="00AB14D9"/>
    <w:rsid w:val="00AB1FC1"/>
    <w:rsid w:val="00AB49A1"/>
    <w:rsid w:val="00AB4D91"/>
    <w:rsid w:val="00AC0093"/>
    <w:rsid w:val="00AD01EE"/>
    <w:rsid w:val="00AD20D2"/>
    <w:rsid w:val="00AD3F6F"/>
    <w:rsid w:val="00AD3FA7"/>
    <w:rsid w:val="00AE0F5E"/>
    <w:rsid w:val="00AE5926"/>
    <w:rsid w:val="00AF253D"/>
    <w:rsid w:val="00AF3897"/>
    <w:rsid w:val="00AF3A98"/>
    <w:rsid w:val="00B06562"/>
    <w:rsid w:val="00B06C94"/>
    <w:rsid w:val="00B07667"/>
    <w:rsid w:val="00B1312A"/>
    <w:rsid w:val="00B1619F"/>
    <w:rsid w:val="00B252A1"/>
    <w:rsid w:val="00B256EC"/>
    <w:rsid w:val="00B26D04"/>
    <w:rsid w:val="00B27ACB"/>
    <w:rsid w:val="00B3016F"/>
    <w:rsid w:val="00B35269"/>
    <w:rsid w:val="00B42D46"/>
    <w:rsid w:val="00B461AA"/>
    <w:rsid w:val="00B60069"/>
    <w:rsid w:val="00B62AC2"/>
    <w:rsid w:val="00B65E11"/>
    <w:rsid w:val="00B66832"/>
    <w:rsid w:val="00B674E7"/>
    <w:rsid w:val="00B77D41"/>
    <w:rsid w:val="00B808EF"/>
    <w:rsid w:val="00B83C85"/>
    <w:rsid w:val="00B86187"/>
    <w:rsid w:val="00B87158"/>
    <w:rsid w:val="00BA457F"/>
    <w:rsid w:val="00BA5CF7"/>
    <w:rsid w:val="00BA5EE2"/>
    <w:rsid w:val="00BA679B"/>
    <w:rsid w:val="00BB29BA"/>
    <w:rsid w:val="00BC2412"/>
    <w:rsid w:val="00BC26B4"/>
    <w:rsid w:val="00BC27B7"/>
    <w:rsid w:val="00BC5832"/>
    <w:rsid w:val="00BD5056"/>
    <w:rsid w:val="00BE31B9"/>
    <w:rsid w:val="00BE5F08"/>
    <w:rsid w:val="00BF413F"/>
    <w:rsid w:val="00C052B1"/>
    <w:rsid w:val="00C113FE"/>
    <w:rsid w:val="00C115E8"/>
    <w:rsid w:val="00C139E5"/>
    <w:rsid w:val="00C14A7B"/>
    <w:rsid w:val="00C1510B"/>
    <w:rsid w:val="00C16F3A"/>
    <w:rsid w:val="00C2063C"/>
    <w:rsid w:val="00C22F85"/>
    <w:rsid w:val="00C35024"/>
    <w:rsid w:val="00C40EBC"/>
    <w:rsid w:val="00C45F8B"/>
    <w:rsid w:val="00C511E3"/>
    <w:rsid w:val="00C561D1"/>
    <w:rsid w:val="00C623A8"/>
    <w:rsid w:val="00C6558E"/>
    <w:rsid w:val="00C80715"/>
    <w:rsid w:val="00C82497"/>
    <w:rsid w:val="00C84583"/>
    <w:rsid w:val="00C86521"/>
    <w:rsid w:val="00C930CF"/>
    <w:rsid w:val="00C93C6F"/>
    <w:rsid w:val="00C94C3E"/>
    <w:rsid w:val="00C96B33"/>
    <w:rsid w:val="00CA3B00"/>
    <w:rsid w:val="00CA7A0A"/>
    <w:rsid w:val="00CB3EC5"/>
    <w:rsid w:val="00CB5EC5"/>
    <w:rsid w:val="00CC0980"/>
    <w:rsid w:val="00CC33C6"/>
    <w:rsid w:val="00CD1DB8"/>
    <w:rsid w:val="00CD6BC9"/>
    <w:rsid w:val="00CE566A"/>
    <w:rsid w:val="00CF0EDD"/>
    <w:rsid w:val="00D02786"/>
    <w:rsid w:val="00D04101"/>
    <w:rsid w:val="00D074C9"/>
    <w:rsid w:val="00D10B3A"/>
    <w:rsid w:val="00D10D97"/>
    <w:rsid w:val="00D14500"/>
    <w:rsid w:val="00D16654"/>
    <w:rsid w:val="00D207F6"/>
    <w:rsid w:val="00D23F6C"/>
    <w:rsid w:val="00D3324D"/>
    <w:rsid w:val="00D40790"/>
    <w:rsid w:val="00D42C74"/>
    <w:rsid w:val="00D436C3"/>
    <w:rsid w:val="00D50066"/>
    <w:rsid w:val="00D63DDA"/>
    <w:rsid w:val="00D71DF9"/>
    <w:rsid w:val="00D73783"/>
    <w:rsid w:val="00D770F6"/>
    <w:rsid w:val="00D80847"/>
    <w:rsid w:val="00D8421C"/>
    <w:rsid w:val="00D84312"/>
    <w:rsid w:val="00D8542D"/>
    <w:rsid w:val="00D92B7A"/>
    <w:rsid w:val="00D937C3"/>
    <w:rsid w:val="00D93C7A"/>
    <w:rsid w:val="00DA1E1E"/>
    <w:rsid w:val="00DA2871"/>
    <w:rsid w:val="00DA2DDA"/>
    <w:rsid w:val="00DA560F"/>
    <w:rsid w:val="00DA5EA9"/>
    <w:rsid w:val="00DB012A"/>
    <w:rsid w:val="00DB0CC8"/>
    <w:rsid w:val="00DB668C"/>
    <w:rsid w:val="00DB699F"/>
    <w:rsid w:val="00DC3CAF"/>
    <w:rsid w:val="00DC6800"/>
    <w:rsid w:val="00DC7062"/>
    <w:rsid w:val="00DD07EF"/>
    <w:rsid w:val="00DD3D85"/>
    <w:rsid w:val="00DD4A7A"/>
    <w:rsid w:val="00DD5386"/>
    <w:rsid w:val="00DD5F94"/>
    <w:rsid w:val="00DD731C"/>
    <w:rsid w:val="00DD7852"/>
    <w:rsid w:val="00DF2C13"/>
    <w:rsid w:val="00DF2D80"/>
    <w:rsid w:val="00E104E7"/>
    <w:rsid w:val="00E11D41"/>
    <w:rsid w:val="00E11E27"/>
    <w:rsid w:val="00E1468F"/>
    <w:rsid w:val="00E3318E"/>
    <w:rsid w:val="00E36DE6"/>
    <w:rsid w:val="00E42331"/>
    <w:rsid w:val="00E42831"/>
    <w:rsid w:val="00E47308"/>
    <w:rsid w:val="00E52499"/>
    <w:rsid w:val="00E53235"/>
    <w:rsid w:val="00E53F8A"/>
    <w:rsid w:val="00E54ADD"/>
    <w:rsid w:val="00E57C1D"/>
    <w:rsid w:val="00E603DD"/>
    <w:rsid w:val="00E61BD6"/>
    <w:rsid w:val="00E65198"/>
    <w:rsid w:val="00E669A6"/>
    <w:rsid w:val="00E715F3"/>
    <w:rsid w:val="00E74354"/>
    <w:rsid w:val="00E905AF"/>
    <w:rsid w:val="00E917AB"/>
    <w:rsid w:val="00E91D23"/>
    <w:rsid w:val="00E926D2"/>
    <w:rsid w:val="00E9278C"/>
    <w:rsid w:val="00E94A55"/>
    <w:rsid w:val="00E94BF0"/>
    <w:rsid w:val="00E95532"/>
    <w:rsid w:val="00E965CF"/>
    <w:rsid w:val="00E97C10"/>
    <w:rsid w:val="00EA1FC5"/>
    <w:rsid w:val="00EA22AB"/>
    <w:rsid w:val="00EA5B5F"/>
    <w:rsid w:val="00EB56D4"/>
    <w:rsid w:val="00ED189B"/>
    <w:rsid w:val="00ED3A6E"/>
    <w:rsid w:val="00ED7274"/>
    <w:rsid w:val="00EE128C"/>
    <w:rsid w:val="00EF075C"/>
    <w:rsid w:val="00EF3F58"/>
    <w:rsid w:val="00EF52CE"/>
    <w:rsid w:val="00F00DC8"/>
    <w:rsid w:val="00F04132"/>
    <w:rsid w:val="00F054CB"/>
    <w:rsid w:val="00F16169"/>
    <w:rsid w:val="00F2363E"/>
    <w:rsid w:val="00F245C2"/>
    <w:rsid w:val="00F31224"/>
    <w:rsid w:val="00F331EF"/>
    <w:rsid w:val="00F3457F"/>
    <w:rsid w:val="00F376C8"/>
    <w:rsid w:val="00F47555"/>
    <w:rsid w:val="00F5230E"/>
    <w:rsid w:val="00F64C6B"/>
    <w:rsid w:val="00F714DF"/>
    <w:rsid w:val="00F71ADE"/>
    <w:rsid w:val="00F721EE"/>
    <w:rsid w:val="00F773EC"/>
    <w:rsid w:val="00F81F84"/>
    <w:rsid w:val="00F9193A"/>
    <w:rsid w:val="00F95BB3"/>
    <w:rsid w:val="00F96333"/>
    <w:rsid w:val="00FA0A96"/>
    <w:rsid w:val="00FA15F5"/>
    <w:rsid w:val="00FA5658"/>
    <w:rsid w:val="00FA5858"/>
    <w:rsid w:val="00FA6DE2"/>
    <w:rsid w:val="00FB2721"/>
    <w:rsid w:val="00FB493C"/>
    <w:rsid w:val="00FD1ADC"/>
    <w:rsid w:val="00FD7BE2"/>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0A4C5"/>
  <w15:docId w15:val="{EB3F8839-2731-46D7-AAF3-4C3D9712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AF"/>
    <w:pPr>
      <w:spacing w:after="160" w:line="259" w:lineRule="auto"/>
    </w:pPr>
    <w:rPr>
      <w:rFonts w:eastAsiaTheme="minorHAnsi"/>
      <w:sz w:val="22"/>
      <w:szCs w:val="22"/>
    </w:rPr>
  </w:style>
  <w:style w:type="paragraph" w:styleId="Heading1">
    <w:name w:val="heading 1"/>
    <w:basedOn w:val="Normal"/>
    <w:link w:val="Heading1Char"/>
    <w:uiPriority w:val="9"/>
    <w:qFormat/>
    <w:rsid w:val="00DC6800"/>
    <w:pPr>
      <w:spacing w:before="320"/>
      <w:outlineLvl w:val="0"/>
    </w:pPr>
    <w:rPr>
      <w:rFonts w:cs="Calibri"/>
      <w:b/>
      <w:bCs/>
      <w:color w:val="280070"/>
      <w:sz w:val="40"/>
      <w:szCs w:val="40"/>
    </w:rPr>
  </w:style>
  <w:style w:type="paragraph" w:styleId="Heading2">
    <w:name w:val="heading 2"/>
    <w:basedOn w:val="Heading1"/>
    <w:link w:val="Heading2Char"/>
    <w:uiPriority w:val="1"/>
    <w:qFormat/>
    <w:rsid w:val="00DC6800"/>
    <w:pPr>
      <w:outlineLvl w:val="1"/>
    </w:pPr>
    <w:rPr>
      <w:sz w:val="30"/>
      <w:szCs w:val="28"/>
    </w:rPr>
  </w:style>
  <w:style w:type="paragraph" w:styleId="Heading3">
    <w:name w:val="heading 3"/>
    <w:next w:val="Normal"/>
    <w:link w:val="Heading3Char"/>
    <w:uiPriority w:val="9"/>
    <w:unhideWhenUsed/>
    <w:qFormat/>
    <w:rsid w:val="00DC6800"/>
    <w:pPr>
      <w:tabs>
        <w:tab w:val="left" w:pos="993"/>
      </w:tabs>
      <w:spacing w:before="320" w:after="160"/>
      <w:outlineLvl w:val="2"/>
    </w:pPr>
    <w:rPr>
      <w:rFonts w:ascii="Arial" w:eastAsia="Calibri" w:hAnsi="Arial" w:cs="Calibri"/>
      <w:b/>
      <w:bCs/>
      <w:color w:val="280070"/>
      <w:spacing w:val="-2"/>
      <w:sz w:val="26"/>
      <w:lang w:val="en-US"/>
    </w:rPr>
  </w:style>
  <w:style w:type="paragraph" w:styleId="Heading4">
    <w:name w:val="heading 4"/>
    <w:next w:val="Normal"/>
    <w:link w:val="Heading4Char"/>
    <w:uiPriority w:val="9"/>
    <w:unhideWhenUsed/>
    <w:qFormat/>
    <w:rsid w:val="00BD5056"/>
    <w:pPr>
      <w:spacing w:after="80"/>
      <w:outlineLvl w:val="3"/>
    </w:pPr>
    <w:rPr>
      <w:rFonts w:ascii="Arial" w:eastAsia="Calibri" w:hAnsi="Arial" w:cs="Calibri"/>
      <w:b/>
      <w:bCs/>
      <w:color w:val="280070"/>
      <w:spacing w:val="-2"/>
      <w:szCs w:val="22"/>
      <w:lang w:val="en-US"/>
    </w:rPr>
  </w:style>
  <w:style w:type="paragraph" w:styleId="Heading5">
    <w:name w:val="heading 5"/>
    <w:basedOn w:val="Heading4"/>
    <w:next w:val="Normal"/>
    <w:link w:val="Heading5Char"/>
    <w:uiPriority w:val="9"/>
    <w:unhideWhenUsed/>
    <w:qFormat/>
    <w:rsid w:val="00BD5056"/>
    <w:pPr>
      <w:spacing w:after="0"/>
      <w:outlineLvl w:val="4"/>
    </w:pPr>
    <w:rPr>
      <w:sz w:val="22"/>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800"/>
    <w:rPr>
      <w:rFonts w:ascii="Arial" w:eastAsia="Calibri" w:hAnsi="Arial" w:cs="Calibri"/>
      <w:b/>
      <w:bCs/>
      <w:color w:val="280070"/>
      <w:spacing w:val="-2"/>
      <w:sz w:val="40"/>
      <w:szCs w:val="40"/>
    </w:rPr>
  </w:style>
  <w:style w:type="character" w:customStyle="1" w:styleId="Heading2Char">
    <w:name w:val="Heading 2 Char"/>
    <w:basedOn w:val="DefaultParagraphFont"/>
    <w:link w:val="Heading2"/>
    <w:uiPriority w:val="1"/>
    <w:rsid w:val="00DC6800"/>
    <w:rPr>
      <w:rFonts w:ascii="Arial" w:eastAsia="Calibri" w:hAnsi="Arial" w:cs="Calibri"/>
      <w:b/>
      <w:bCs/>
      <w:color w:val="280070"/>
      <w:spacing w:val="-2"/>
      <w:sz w:val="30"/>
      <w:szCs w:val="28"/>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F16169"/>
    <w:pPr>
      <w:tabs>
        <w:tab w:val="right" w:leader="dot" w:pos="8789"/>
      </w:tabs>
      <w:spacing w:before="120"/>
      <w:ind w:left="709" w:right="380" w:hanging="425"/>
    </w:pPr>
    <w:rPr>
      <w:rFonts w:cs="Arial"/>
      <w:noProof/>
      <w:sz w:val="20"/>
    </w:rPr>
  </w:style>
  <w:style w:type="paragraph" w:styleId="TOC3">
    <w:name w:val="toc 3"/>
    <w:basedOn w:val="TOC2"/>
    <w:uiPriority w:val="39"/>
    <w:qFormat/>
    <w:rsid w:val="00057164"/>
    <w:pPr>
      <w:ind w:left="1134" w:hanging="567"/>
    </w:pPr>
  </w:style>
  <w:style w:type="paragraph" w:styleId="TOC4">
    <w:name w:val="toc 4"/>
    <w:basedOn w:val="Normal"/>
    <w:uiPriority w:val="39"/>
    <w:rsid w:val="00E926D2"/>
    <w:pPr>
      <w:pBdr>
        <w:between w:val="double" w:sz="6" w:space="0" w:color="auto"/>
      </w:pBdr>
      <w:spacing w:after="0"/>
      <w:ind w:left="440"/>
    </w:pPr>
    <w:rPr>
      <w:sz w:val="20"/>
      <w:szCs w:val="20"/>
    </w:rPr>
  </w:style>
  <w:style w:type="paragraph" w:styleId="BodyText">
    <w:name w:val="Body Text"/>
    <w:basedOn w:val="NoSpacing"/>
    <w:link w:val="BodyTextChar"/>
    <w:uiPriority w:val="1"/>
    <w:qFormat/>
    <w:rsid w:val="00177183"/>
    <w:pPr>
      <w:spacing w:after="160"/>
    </w:pPr>
    <w:rPr>
      <w:i w:val="0"/>
    </w:rPr>
  </w:style>
  <w:style w:type="character" w:customStyle="1" w:styleId="BodyTextChar">
    <w:name w:val="Body Text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aliases w:val="Bulleted list"/>
    <w:basedOn w:val="Normal"/>
    <w:autoRedefine/>
    <w:uiPriority w:val="34"/>
    <w:qFormat/>
    <w:rsid w:val="00C40EBC"/>
    <w:pPr>
      <w:numPr>
        <w:numId w:val="1"/>
      </w:numPr>
      <w:spacing w:after="120" w:line="240" w:lineRule="auto"/>
    </w:pPr>
    <w:rPr>
      <w:lang w:eastAsia="en-AU"/>
    </w:rPr>
  </w:style>
  <w:style w:type="paragraph" w:customStyle="1" w:styleId="TableParagraph">
    <w:name w:val="Table Paragraph"/>
    <w:basedOn w:val="Normal"/>
    <w:uiPriority w:val="1"/>
    <w:qFormat/>
    <w:rsid w:val="0053351D"/>
    <w:pPr>
      <w:spacing w:before="40" w:after="0"/>
      <w:ind w:left="40" w:right="40"/>
    </w:pPr>
    <w:rPr>
      <w:sz w:val="20"/>
      <w:lang w:eastAsia="en-AU"/>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041F1B"/>
    <w:pPr>
      <w:spacing w:after="320"/>
    </w:pPr>
    <w:rPr>
      <w:rFonts w:cs="Arial"/>
      <w:noProof/>
      <w:sz w:val="40"/>
    </w:rPr>
  </w:style>
  <w:style w:type="paragraph" w:styleId="TOC5">
    <w:name w:val="toc 5"/>
    <w:basedOn w:val="Normal"/>
    <w:next w:val="Normal"/>
    <w:autoRedefine/>
    <w:uiPriority w:val="39"/>
    <w:unhideWhenUsed/>
    <w:rsid w:val="00E926D2"/>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456EFD"/>
    <w:pPr>
      <w:keepLines/>
      <w:ind w:right="34"/>
    </w:pPr>
    <w:rPr>
      <w:rFonts w:cs="Calibri"/>
      <w:b/>
      <w:bCs/>
      <w:color w:val="280070"/>
      <w:sz w:val="48"/>
      <w:szCs w:val="56"/>
    </w:rPr>
  </w:style>
  <w:style w:type="character" w:customStyle="1" w:styleId="TitleChar">
    <w:name w:val="Title Char"/>
    <w:basedOn w:val="DefaultParagraphFont"/>
    <w:link w:val="Title"/>
    <w:uiPriority w:val="10"/>
    <w:rsid w:val="00456EFD"/>
    <w:rPr>
      <w:rFonts w:ascii="Arial" w:eastAsia="Calibri" w:hAnsi="Arial" w:cs="Calibri"/>
      <w:b/>
      <w:bCs/>
      <w:color w:val="280070"/>
      <w:spacing w:val="-2"/>
      <w:sz w:val="48"/>
      <w:szCs w:val="56"/>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866A43"/>
    <w:pPr>
      <w:jc w:val="right"/>
    </w:pPr>
    <w:rPr>
      <w:rFonts w:cs="Arial"/>
      <w:color w:val="280070"/>
      <w:sz w:val="18"/>
      <w:szCs w:val="20"/>
    </w:rPr>
  </w:style>
  <w:style w:type="character" w:customStyle="1" w:styleId="FooterChar">
    <w:name w:val="Footer Char"/>
    <w:basedOn w:val="DefaultParagraphFont"/>
    <w:link w:val="Footer"/>
    <w:uiPriority w:val="99"/>
    <w:rsid w:val="00866A43"/>
    <w:rPr>
      <w:rFonts w:ascii="Arial" w:eastAsia="Calibri" w:hAnsi="Arial" w:cs="Arial"/>
      <w:color w:val="280070"/>
      <w:spacing w:val="-2"/>
      <w:sz w:val="18"/>
      <w:szCs w:val="20"/>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DC6800"/>
    <w:rPr>
      <w:rFonts w:ascii="Arial" w:eastAsia="Calibri" w:hAnsi="Arial" w:cs="Calibri"/>
      <w:b/>
      <w:bCs/>
      <w:color w:val="280070"/>
      <w:spacing w:val="-2"/>
      <w:sz w:val="26"/>
      <w:lang w:val="en-US"/>
    </w:rPr>
  </w:style>
  <w:style w:type="character" w:customStyle="1" w:styleId="Heading4Char">
    <w:name w:val="Heading 4 Char"/>
    <w:basedOn w:val="DefaultParagraphFont"/>
    <w:link w:val="Heading4"/>
    <w:uiPriority w:val="9"/>
    <w:rsid w:val="00BD5056"/>
    <w:rPr>
      <w:rFonts w:ascii="Arial" w:eastAsia="Calibri" w:hAnsi="Arial" w:cs="Calibri"/>
      <w:b/>
      <w:bCs/>
      <w:color w:val="280070"/>
      <w:spacing w:val="-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Normal"/>
    <w:uiPriority w:val="99"/>
    <w:rsid w:val="00385244"/>
    <w:pPr>
      <w:ind w:left="40" w:right="40"/>
    </w:pPr>
    <w:rPr>
      <w:rFonts w:ascii="Arial" w:eastAsiaTheme="minorHAnsi" w:hAnsi="Arial"/>
      <w:sz w:val="20"/>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280070" w:themeFill="text2"/>
      </w:tcPr>
    </w:tblStylePr>
    <w:tblStylePr w:type="firstCol">
      <w:rPr>
        <w:b w:val="0"/>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rsid w:val="008763AF"/>
    <w:rPr>
      <w:rFonts w:ascii="Arial" w:hAnsi="Arial"/>
      <w:color w:val="280070"/>
      <w:sz w:val="16"/>
      <w:szCs w:val="16"/>
    </w:rPr>
  </w:style>
  <w:style w:type="table" w:styleId="LightShading-Accent6">
    <w:name w:val="Light Shading Accent 6"/>
    <w:basedOn w:val="TableNormal"/>
    <w:uiPriority w:val="60"/>
    <w:rsid w:val="000B4C09"/>
    <w:rPr>
      <w:color w:val="B30059" w:themeColor="accent6" w:themeShade="BF"/>
      <w:sz w:val="22"/>
      <w:szCs w:val="22"/>
      <w:lang w:eastAsia="en-AU"/>
    </w:rPr>
    <w:tblPr>
      <w:tblStyleRowBandSize w:val="1"/>
      <w:tblStyleColBandSize w:val="1"/>
      <w:tblBorders>
        <w:top w:val="single" w:sz="8" w:space="0" w:color="F00078" w:themeColor="accent6"/>
        <w:bottom w:val="single" w:sz="8" w:space="0" w:color="F00078" w:themeColor="accent6"/>
      </w:tblBorders>
    </w:tblPr>
    <w:tblStylePr w:type="firstRow">
      <w:pPr>
        <w:spacing w:before="0" w:after="0" w:line="240" w:lineRule="auto"/>
      </w:pPr>
      <w:rPr>
        <w:b/>
        <w:bCs/>
      </w:rPr>
      <w:tblPr/>
      <w:tcPr>
        <w:tcBorders>
          <w:top w:val="single" w:sz="8" w:space="0" w:color="F00078" w:themeColor="accent6"/>
          <w:left w:val="nil"/>
          <w:bottom w:val="single" w:sz="8" w:space="0" w:color="F00078" w:themeColor="accent6"/>
          <w:right w:val="nil"/>
          <w:insideH w:val="nil"/>
          <w:insideV w:val="nil"/>
        </w:tcBorders>
      </w:tcPr>
    </w:tblStylePr>
    <w:tblStylePr w:type="lastRow">
      <w:pPr>
        <w:spacing w:before="0" w:after="0" w:line="240" w:lineRule="auto"/>
      </w:pPr>
      <w:rPr>
        <w:b/>
        <w:bCs/>
      </w:rPr>
      <w:tblPr/>
      <w:tcPr>
        <w:tcBorders>
          <w:top w:val="single" w:sz="8" w:space="0" w:color="F00078" w:themeColor="accent6"/>
          <w:left w:val="nil"/>
          <w:bottom w:val="single" w:sz="8" w:space="0" w:color="F00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D" w:themeFill="accent6" w:themeFillTint="3F"/>
      </w:tcPr>
    </w:tblStylePr>
    <w:tblStylePr w:type="band1Horz">
      <w:tblPr/>
      <w:tcPr>
        <w:tcBorders>
          <w:left w:val="nil"/>
          <w:right w:val="nil"/>
          <w:insideH w:val="nil"/>
          <w:insideV w:val="nil"/>
        </w:tcBorders>
        <w:shd w:val="clear" w:color="auto" w:fill="FFBCDD" w:themeFill="accent6" w:themeFillTint="3F"/>
      </w:tcPr>
    </w:tblStylePr>
  </w:style>
  <w:style w:type="character" w:customStyle="1" w:styleId="Heading5Char">
    <w:name w:val="Heading 5 Char"/>
    <w:basedOn w:val="DefaultParagraphFont"/>
    <w:link w:val="Heading5"/>
    <w:uiPriority w:val="9"/>
    <w:rsid w:val="00BD5056"/>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autoRedefine/>
    <w:uiPriority w:val="1"/>
    <w:qFormat/>
    <w:rsid w:val="00500243"/>
    <w:pPr>
      <w:spacing w:before="40"/>
      <w:ind w:left="40" w:right="40"/>
    </w:pPr>
    <w:rPr>
      <w:rFonts w:cs="Arial"/>
      <w:b w:val="0"/>
      <w:color w:val="FFFFFF" w:themeColor="background1"/>
      <w:lang w:eastAsia="en-AU"/>
    </w:rPr>
  </w:style>
  <w:style w:type="paragraph" w:customStyle="1" w:styleId="Tableheaderrowfinancials">
    <w:name w:val="Table header row financials"/>
    <w:basedOn w:val="Heading5"/>
    <w:link w:val="TableheaderrowfinancialsChar"/>
    <w:uiPriority w:val="1"/>
    <w:rsid w:val="009F3C2D"/>
    <w:pPr>
      <w:jc w:val="right"/>
      <w:outlineLvl w:val="9"/>
    </w:pPr>
    <w:rPr>
      <w:i/>
      <w:color w:val="FFFFFF" w:themeColor="background1"/>
      <w:sz w:val="18"/>
      <w:lang w:eastAsia="en-AU"/>
    </w:rPr>
  </w:style>
  <w:style w:type="character" w:customStyle="1" w:styleId="TableheadingChar">
    <w:name w:val="Table heading Char"/>
    <w:basedOn w:val="Heading5Char"/>
    <w:link w:val="Tableheading"/>
    <w:uiPriority w:val="1"/>
    <w:rsid w:val="00500243"/>
    <w:rPr>
      <w:rFonts w:ascii="Arial" w:eastAsia="Calibri" w:hAnsi="Arial" w:cs="Arial"/>
      <w:b w:val="0"/>
      <w:bCs/>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C40EBC"/>
    <w:pPr>
      <w:numPr>
        <w:numId w:val="2"/>
      </w:numPr>
    </w:pPr>
  </w:style>
  <w:style w:type="paragraph" w:customStyle="1" w:styleId="Heading60">
    <w:name w:val="Heading6"/>
    <w:basedOn w:val="Heading5"/>
    <w:link w:val="Heading6Char0"/>
    <w:uiPriority w:val="1"/>
    <w:qFormat/>
    <w:rsid w:val="00D14500"/>
    <w:rPr>
      <w:i/>
    </w:rPr>
  </w:style>
  <w:style w:type="paragraph" w:customStyle="1" w:styleId="copyrighttext">
    <w:name w:val="copyright text"/>
    <w:basedOn w:val="BodyText"/>
    <w:link w:val="copyrighttextChar"/>
    <w:autoRedefine/>
    <w:uiPriority w:val="1"/>
    <w:qFormat/>
    <w:rsid w:val="00153F6E"/>
    <w:pPr>
      <w:spacing w:after="120" w:line="240" w:lineRule="auto"/>
    </w:pPr>
    <w:rPr>
      <w:sz w:val="20"/>
      <w:szCs w:val="20"/>
    </w:rPr>
  </w:style>
  <w:style w:type="character" w:customStyle="1" w:styleId="Heading6Char0">
    <w:name w:val="Heading6 Char"/>
    <w:basedOn w:val="Heading5Char"/>
    <w:link w:val="Heading60"/>
    <w:uiPriority w:val="1"/>
    <w:rsid w:val="00D14500"/>
    <w:rPr>
      <w:rFonts w:ascii="Arial" w:eastAsia="Calibri" w:hAnsi="Arial" w:cs="Calibri"/>
      <w:b/>
      <w:bCs/>
      <w:i/>
      <w:color w:val="280070"/>
      <w:spacing w:val="-2"/>
      <w:sz w:val="22"/>
      <w:szCs w:val="22"/>
      <w:lang w:val="en-US"/>
    </w:rPr>
  </w:style>
  <w:style w:type="paragraph" w:customStyle="1" w:styleId="Disclaimertext">
    <w:name w:val="Disclaimer text"/>
    <w:basedOn w:val="BodyText"/>
    <w:link w:val="DisclaimertextChar"/>
    <w:uiPriority w:val="1"/>
    <w:qFormat/>
    <w:rsid w:val="00217E24"/>
    <w:rPr>
      <w:color w:val="280070"/>
      <w:sz w:val="20"/>
      <w:szCs w:val="20"/>
    </w:rPr>
  </w:style>
  <w:style w:type="character" w:customStyle="1" w:styleId="copyrighttextChar">
    <w:name w:val="copyright text Char"/>
    <w:basedOn w:val="BodyTextChar"/>
    <w:link w:val="copyrighttext"/>
    <w:uiPriority w:val="1"/>
    <w:rsid w:val="00153F6E"/>
    <w:rPr>
      <w:rFonts w:ascii="Arial" w:eastAsia="Calibri" w:hAnsi="Arial" w:cs="Arial"/>
      <w:spacing w:val="-2"/>
      <w:sz w:val="20"/>
      <w:szCs w:val="20"/>
      <w:lang w:val="en-US"/>
    </w:rPr>
  </w:style>
  <w:style w:type="character" w:customStyle="1" w:styleId="DisclaimertextChar">
    <w:name w:val="Disclaimer text Char"/>
    <w:basedOn w:val="BodyTextChar"/>
    <w:link w:val="Disclaimertext"/>
    <w:uiPriority w:val="1"/>
    <w:rsid w:val="00217E24"/>
    <w:rPr>
      <w:rFonts w:ascii="Arial" w:eastAsia="Calibri" w:hAnsi="Arial" w:cs="Arial"/>
      <w:color w:val="280070"/>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805727">
      <w:bodyDiv w:val="1"/>
      <w:marLeft w:val="0"/>
      <w:marRight w:val="0"/>
      <w:marTop w:val="0"/>
      <w:marBottom w:val="0"/>
      <w:divBdr>
        <w:top w:val="none" w:sz="0" w:space="0" w:color="auto"/>
        <w:left w:val="none" w:sz="0" w:space="0" w:color="auto"/>
        <w:bottom w:val="none" w:sz="0" w:space="0" w:color="auto"/>
        <w:right w:val="none" w:sz="0" w:space="0" w:color="auto"/>
      </w:divBdr>
    </w:div>
    <w:div w:id="178634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tn\Documents\Custom%20Office%20Templates\NESA%20Letterhead-O2016.dotm" TargetMode="External"/></Relationships>
</file>

<file path=word/theme/theme1.xml><?xml version="1.0" encoding="utf-8"?>
<a:theme xmlns:a="http://schemas.openxmlformats.org/drawingml/2006/main" name="Office Theme">
  <a:themeElements>
    <a:clrScheme name="NESA colours">
      <a:dk1>
        <a:sysClr val="windowText" lastClr="000000"/>
      </a:dk1>
      <a:lt1>
        <a:sysClr val="window" lastClr="FFFFFF"/>
      </a:lt1>
      <a:dk2>
        <a:srgbClr val="280070"/>
      </a:dk2>
      <a:lt2>
        <a:srgbClr val="FFFFFF"/>
      </a:lt2>
      <a:accent1>
        <a:srgbClr val="B1E3E4"/>
      </a:accent1>
      <a:accent2>
        <a:srgbClr val="DDE5ED"/>
      </a:accent2>
      <a:accent3>
        <a:srgbClr val="92318E"/>
      </a:accent3>
      <a:accent4>
        <a:srgbClr val="009A44"/>
      </a:accent4>
      <a:accent5>
        <a:srgbClr val="26D07C"/>
      </a:accent5>
      <a:accent6>
        <a:srgbClr val="F00078"/>
      </a:accent6>
      <a:hlink>
        <a:srgbClr val="F00078"/>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A382-6FC6-4EC8-BB63-78A255C4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NESA Letterhead-O2016</Template>
  <TotalTime>36</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NESA Letterhead</vt:lpstr>
    </vt:vector>
  </TitlesOfParts>
  <Company>NSW Education Standards Authority</Company>
  <LinksUpToDate>false</LinksUpToDate>
  <CharactersWithSpaces>5476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Letterhead</dc:title>
  <dc:creator>Nicole Hart</dc:creator>
  <cp:lastModifiedBy>Nicole Hart</cp:lastModifiedBy>
  <cp:revision>6</cp:revision>
  <cp:lastPrinted>2018-05-29T02:32:00Z</cp:lastPrinted>
  <dcterms:created xsi:type="dcterms:W3CDTF">2022-04-27T21:35:00Z</dcterms:created>
  <dcterms:modified xsi:type="dcterms:W3CDTF">2022-04-28T13:15:00Z</dcterms:modified>
</cp:coreProperties>
</file>