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4F0BF" w14:textId="77777777" w:rsidR="00B1412E" w:rsidRPr="00B1412E" w:rsidRDefault="00B1412E" w:rsidP="00B1412E">
      <w:pPr>
        <w:pStyle w:val="Heading1"/>
        <w:rPr>
          <w:rFonts w:eastAsia="Times New Roman"/>
          <w:lang w:eastAsia="en-AU"/>
        </w:rPr>
      </w:pPr>
      <w:bookmarkStart w:id="0" w:name="_GoBack"/>
      <w:bookmarkEnd w:id="0"/>
      <w:r w:rsidRPr="00B1412E">
        <w:rPr>
          <w:rFonts w:eastAsia="Times New Roman"/>
          <w:lang w:eastAsia="en-AU"/>
        </w:rPr>
        <w:t>Bringing Books To Life – Wolven</w:t>
      </w:r>
    </w:p>
    <w:p w14:paraId="36B5B1F4" w14:textId="1988009A"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F46E3F">
        <w:rPr>
          <w:rStyle w:val="Strong"/>
          <w:b w:val="0"/>
        </w:rPr>
        <w:t>Friday</w:t>
      </w:r>
      <w:r w:rsidR="00250E49">
        <w:t xml:space="preserve"> </w:t>
      </w:r>
      <w:r w:rsidR="00F46E3F">
        <w:t>1 May</w:t>
      </w:r>
      <w:r w:rsidR="001B1604">
        <w:t>, 2020</w:t>
      </w:r>
      <w:r w:rsidR="00F87096">
        <w:t xml:space="preserve"> at</w:t>
      </w:r>
      <w:r w:rsidR="001B1604">
        <w:t xml:space="preserve"> </w:t>
      </w:r>
      <w:r w:rsidR="00F46E3F">
        <w:t>11:10</w:t>
      </w:r>
      <w:r w:rsidR="00250E49">
        <w:t>am</w:t>
      </w:r>
    </w:p>
    <w:p w14:paraId="7378AD49" w14:textId="346A45E3" w:rsidR="00E975B8" w:rsidRDefault="00E975B8" w:rsidP="00E975B8">
      <w:pPr>
        <w:pStyle w:val="FeatureBox"/>
      </w:pPr>
      <w:r>
        <w:t xml:space="preserve">This episode can also be viewed on </w:t>
      </w:r>
      <w:hyperlink r:id="rId8" w:history="1">
        <w:r w:rsidRPr="00F071CD">
          <w:rPr>
            <w:rStyle w:val="Hyperlink"/>
          </w:rPr>
          <w:t>ABC iView</w:t>
        </w:r>
      </w:hyperlink>
    </w:p>
    <w:p w14:paraId="779CCCF1" w14:textId="49D6754C" w:rsidR="008518D6" w:rsidRDefault="00F071CD" w:rsidP="008518D6">
      <w:pPr>
        <w:pStyle w:val="FeatureBox"/>
      </w:pPr>
      <w:r>
        <w:rPr>
          <w:rStyle w:val="Strong"/>
        </w:rPr>
        <w:t xml:space="preserve">Key learning areas: </w:t>
      </w:r>
      <w:r w:rsidR="00F46E3F">
        <w:t>English</w:t>
      </w:r>
    </w:p>
    <w:p w14:paraId="556F2A77" w14:textId="77777777" w:rsidR="008518D6" w:rsidRPr="008518D6" w:rsidRDefault="008518D6" w:rsidP="008518D6">
      <w:pPr>
        <w:pStyle w:val="FeatureBox"/>
      </w:pPr>
      <w:r w:rsidRPr="008518D6">
        <w:rPr>
          <w:rStyle w:val="Strong"/>
        </w:rPr>
        <w:t>Level:</w:t>
      </w:r>
      <w:r w:rsidR="0087639E">
        <w:t xml:space="preserve"> upper primary</w:t>
      </w:r>
    </w:p>
    <w:p w14:paraId="24BD0D3F" w14:textId="01D91D37" w:rsidR="00E975B8" w:rsidRDefault="005203DC" w:rsidP="00E975B8">
      <w:pPr>
        <w:pStyle w:val="FeatureBox"/>
      </w:pPr>
      <w:r w:rsidRPr="005203DC">
        <w:rPr>
          <w:rStyle w:val="Strong"/>
        </w:rPr>
        <w:t>About:</w:t>
      </w:r>
      <w:r>
        <w:rPr>
          <w:rStyle w:val="Strong"/>
        </w:rPr>
        <w:t xml:space="preserve"> </w:t>
      </w:r>
      <w:r w:rsidR="00F46E3F">
        <w:rPr>
          <w:color w:val="000000"/>
          <w:sz w:val="23"/>
          <w:szCs w:val="23"/>
        </w:rPr>
        <w:t>Presenter and actor Ceallach Spellman reads extracts from ‘Wolven’ by Di Toft. He explains why he loves the book, how it captured his imagination and why he enjoys reading.</w:t>
      </w:r>
    </w:p>
    <w:p w14:paraId="03B1E097" w14:textId="77777777" w:rsidR="00BE5959" w:rsidRDefault="00BE5959" w:rsidP="00E975B8">
      <w:pPr>
        <w:pStyle w:val="Heading2"/>
      </w:pPr>
      <w:r>
        <w:t>Before the episode</w:t>
      </w:r>
    </w:p>
    <w:p w14:paraId="405808BD" w14:textId="275C78CA" w:rsidR="00410572" w:rsidRPr="00410572" w:rsidRDefault="00410572" w:rsidP="00410572">
      <w:pPr>
        <w:pStyle w:val="ListNumber"/>
      </w:pPr>
      <w:r w:rsidRPr="00410572">
        <w:t>What types of characters have you enjoyed reading about? Name and draw the book characters that have become your favourites and sort them into the categories of hero (protagonist) or villain (antagonist).</w:t>
      </w:r>
    </w:p>
    <w:tbl>
      <w:tblPr>
        <w:tblStyle w:val="TableGrid"/>
        <w:tblW w:w="0" w:type="auto"/>
        <w:tblLook w:val="04A0" w:firstRow="1" w:lastRow="0" w:firstColumn="1" w:lastColumn="0" w:noHBand="0" w:noVBand="1"/>
      </w:tblPr>
      <w:tblGrid>
        <w:gridCol w:w="4811"/>
        <w:gridCol w:w="4811"/>
      </w:tblGrid>
      <w:tr w:rsidR="00410572" w14:paraId="543823E6" w14:textId="77777777" w:rsidTr="00C600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14:paraId="44BCE1A5" w14:textId="67F41C7D" w:rsidR="00410572" w:rsidRPr="0069603F" w:rsidRDefault="00410572" w:rsidP="00C6001E">
            <w:r>
              <w:t>Hero (protagonist)</w:t>
            </w:r>
          </w:p>
        </w:tc>
        <w:tc>
          <w:tcPr>
            <w:tcW w:w="4811" w:type="dxa"/>
          </w:tcPr>
          <w:p w14:paraId="1D294B3D" w14:textId="5CD93AD6" w:rsidR="00410572" w:rsidRPr="0069603F" w:rsidRDefault="00410572" w:rsidP="00C6001E">
            <w:pPr>
              <w:cnfStyle w:val="100000000000" w:firstRow="1" w:lastRow="0" w:firstColumn="0" w:lastColumn="0" w:oddVBand="0" w:evenVBand="0" w:oddHBand="0" w:evenHBand="0" w:firstRowFirstColumn="0" w:firstRowLastColumn="0" w:lastRowFirstColumn="0" w:lastRowLastColumn="0"/>
            </w:pPr>
            <w:r>
              <w:t>Villain (antagonist</w:t>
            </w:r>
          </w:p>
        </w:tc>
      </w:tr>
      <w:tr w:rsidR="00410572" w14:paraId="611178AC" w14:textId="77777777" w:rsidTr="00C600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4811" w:type="dxa"/>
          </w:tcPr>
          <w:p w14:paraId="08C60600" w14:textId="77777777" w:rsidR="00410572" w:rsidRPr="0069603F" w:rsidRDefault="00410572" w:rsidP="00C6001E"/>
        </w:tc>
        <w:tc>
          <w:tcPr>
            <w:tcW w:w="4811" w:type="dxa"/>
          </w:tcPr>
          <w:p w14:paraId="2FE0E081" w14:textId="77777777" w:rsidR="00410572" w:rsidRPr="0069603F" w:rsidRDefault="00410572" w:rsidP="00C6001E">
            <w:pPr>
              <w:cnfStyle w:val="000000100000" w:firstRow="0" w:lastRow="0" w:firstColumn="0" w:lastColumn="0" w:oddVBand="0" w:evenVBand="0" w:oddHBand="1" w:evenHBand="0" w:firstRowFirstColumn="0" w:firstRowLastColumn="0" w:lastRowFirstColumn="0" w:lastRowLastColumn="0"/>
            </w:pPr>
          </w:p>
        </w:tc>
      </w:tr>
    </w:tbl>
    <w:p w14:paraId="63BE9F7D" w14:textId="77777777" w:rsidR="00BE5959" w:rsidRDefault="00BE5959" w:rsidP="00AD7533">
      <w:pPr>
        <w:pStyle w:val="Heading2"/>
      </w:pPr>
      <w:r>
        <w:t>During</w:t>
      </w:r>
      <w:r w:rsidRPr="00BE5959">
        <w:t xml:space="preserve"> the episode</w:t>
      </w:r>
    </w:p>
    <w:p w14:paraId="55DA7CF8" w14:textId="124FB15A" w:rsidR="00BE5959" w:rsidRPr="00410572" w:rsidRDefault="00410572" w:rsidP="00410572">
      <w:pPr>
        <w:pStyle w:val="ListNumber"/>
        <w:numPr>
          <w:ilvl w:val="0"/>
          <w:numId w:val="38"/>
        </w:numPr>
      </w:pPr>
      <w:r w:rsidRPr="00410572">
        <w:t>Complete the story map below by writing or drawing what you learn about the book ‘Wolven’ by Di Toft.</w:t>
      </w:r>
      <w:r w:rsidR="00DD3D71" w:rsidRPr="00410572">
        <w:t>Think/List/Draw/Tell someone…</w:t>
      </w:r>
    </w:p>
    <w:tbl>
      <w:tblPr>
        <w:tblStyle w:val="TableGridLigh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63"/>
        <w:gridCol w:w="4763"/>
      </w:tblGrid>
      <w:tr w:rsidR="00410572" w14:paraId="49C98AD4" w14:textId="77777777" w:rsidTr="00410572">
        <w:trPr>
          <w:trHeight w:val="1722"/>
        </w:trPr>
        <w:tc>
          <w:tcPr>
            <w:tcW w:w="4763" w:type="dxa"/>
          </w:tcPr>
          <w:p w14:paraId="73401436" w14:textId="2A7CB425" w:rsidR="00410572" w:rsidRPr="00410572" w:rsidRDefault="00410572" w:rsidP="00BE5959">
            <w:pPr>
              <w:rPr>
                <w:rFonts w:ascii="Arial Rounded MT Bold" w:hAnsi="Arial Rounded MT Bold"/>
                <w:lang w:eastAsia="zh-CN"/>
              </w:rPr>
            </w:pPr>
            <w:r w:rsidRPr="00410572">
              <w:rPr>
                <w:rFonts w:ascii="Arial Rounded MT Bold" w:hAnsi="Arial Rounded MT Bold"/>
                <w:lang w:eastAsia="zh-CN"/>
              </w:rPr>
              <w:t>Main characters:</w:t>
            </w:r>
          </w:p>
        </w:tc>
        <w:tc>
          <w:tcPr>
            <w:tcW w:w="4763" w:type="dxa"/>
            <w:vMerge w:val="restart"/>
          </w:tcPr>
          <w:p w14:paraId="7C54518D" w14:textId="0BE48721" w:rsidR="00410572" w:rsidRPr="00410572" w:rsidRDefault="00410572" w:rsidP="00BE5959">
            <w:pPr>
              <w:rPr>
                <w:rFonts w:ascii="Arial Rounded MT Bold" w:hAnsi="Arial Rounded MT Bold"/>
                <w:lang w:eastAsia="zh-CN"/>
              </w:rPr>
            </w:pPr>
            <w:r w:rsidRPr="00410572">
              <w:rPr>
                <w:rFonts w:ascii="Arial Rounded MT Bold" w:hAnsi="Arial Rounded MT Bold"/>
                <w:lang w:eastAsia="zh-CN"/>
              </w:rPr>
              <w:t>Types of events/conflicts that occur in the text:</w:t>
            </w:r>
          </w:p>
        </w:tc>
      </w:tr>
      <w:tr w:rsidR="00410572" w14:paraId="0E308BE4" w14:textId="77777777" w:rsidTr="00410572">
        <w:trPr>
          <w:trHeight w:val="1663"/>
        </w:trPr>
        <w:tc>
          <w:tcPr>
            <w:tcW w:w="4763" w:type="dxa"/>
          </w:tcPr>
          <w:p w14:paraId="53DFC38D" w14:textId="3CB2553C" w:rsidR="00410572" w:rsidRPr="00410572" w:rsidRDefault="00410572" w:rsidP="00BE5959">
            <w:pPr>
              <w:rPr>
                <w:rFonts w:ascii="Arial Rounded MT Bold" w:hAnsi="Arial Rounded MT Bold"/>
                <w:lang w:eastAsia="zh-CN"/>
              </w:rPr>
            </w:pPr>
            <w:r w:rsidRPr="00410572">
              <w:rPr>
                <w:rFonts w:ascii="Arial Rounded MT Bold" w:hAnsi="Arial Rounded MT Bold"/>
                <w:lang w:eastAsia="zh-CN"/>
              </w:rPr>
              <w:t>Setting:</w:t>
            </w:r>
          </w:p>
        </w:tc>
        <w:tc>
          <w:tcPr>
            <w:tcW w:w="4763" w:type="dxa"/>
            <w:vMerge/>
          </w:tcPr>
          <w:p w14:paraId="4A5DDE93" w14:textId="77777777" w:rsidR="00410572" w:rsidRDefault="00410572" w:rsidP="00BE5959">
            <w:pPr>
              <w:rPr>
                <w:lang w:eastAsia="zh-CN"/>
              </w:rPr>
            </w:pPr>
          </w:p>
        </w:tc>
      </w:tr>
    </w:tbl>
    <w:p w14:paraId="358E503F" w14:textId="77777777" w:rsidR="00BE5959" w:rsidRDefault="00BE5959" w:rsidP="00BE5959">
      <w:pPr>
        <w:pStyle w:val="Heading2"/>
      </w:pPr>
      <w:r>
        <w:lastRenderedPageBreak/>
        <w:t>After the episode</w:t>
      </w:r>
    </w:p>
    <w:p w14:paraId="2EA922E1" w14:textId="0B566DF0" w:rsidR="0069603F" w:rsidRDefault="00410572" w:rsidP="00410572">
      <w:pPr>
        <w:pStyle w:val="ListNumber"/>
        <w:numPr>
          <w:ilvl w:val="0"/>
          <w:numId w:val="39"/>
        </w:numPr>
      </w:pPr>
      <w:r>
        <w:t>Character review: Using one of your favourite stories, reflect on how the author has constructed a main character and influenced how you feel about them. Use the chart below to find evidence of how the author has influenced your opinion about the character.</w:t>
      </w:r>
    </w:p>
    <w:tbl>
      <w:tblPr>
        <w:tblStyle w:val="TableGridLigh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5"/>
        <w:gridCol w:w="2387"/>
        <w:gridCol w:w="2385"/>
        <w:gridCol w:w="2387"/>
      </w:tblGrid>
      <w:tr w:rsidR="00410572" w:rsidRPr="00410572" w14:paraId="749E44B4" w14:textId="77777777" w:rsidTr="00410572">
        <w:trPr>
          <w:trHeight w:val="2976"/>
        </w:trPr>
        <w:tc>
          <w:tcPr>
            <w:tcW w:w="4772" w:type="dxa"/>
            <w:gridSpan w:val="2"/>
          </w:tcPr>
          <w:p w14:paraId="5DA437DC" w14:textId="380461CD" w:rsidR="00410572" w:rsidRPr="00410572" w:rsidRDefault="00410572" w:rsidP="00410572">
            <w:pPr>
              <w:spacing w:before="120"/>
              <w:rPr>
                <w:rFonts w:ascii="Arial Rounded MT Bold" w:hAnsi="Arial Rounded MT Bold"/>
              </w:rPr>
            </w:pPr>
            <w:r w:rsidRPr="00410572">
              <w:rPr>
                <w:rFonts w:ascii="Arial Rounded MT Bold" w:hAnsi="Arial Rounded MT Bold"/>
              </w:rPr>
              <w:t>Sayings:</w:t>
            </w:r>
          </w:p>
        </w:tc>
        <w:tc>
          <w:tcPr>
            <w:tcW w:w="4772" w:type="dxa"/>
            <w:gridSpan w:val="2"/>
          </w:tcPr>
          <w:p w14:paraId="1619BE17" w14:textId="411F49CD" w:rsidR="00410572" w:rsidRPr="00410572" w:rsidRDefault="00410572" w:rsidP="00410572">
            <w:pPr>
              <w:spacing w:before="120"/>
              <w:rPr>
                <w:rFonts w:ascii="Arial Rounded MT Bold" w:hAnsi="Arial Rounded MT Bold"/>
              </w:rPr>
            </w:pPr>
            <w:r w:rsidRPr="00410572">
              <w:rPr>
                <w:rFonts w:ascii="Arial Rounded MT Bold" w:hAnsi="Arial Rounded MT Bold"/>
              </w:rPr>
              <w:t>Thoughts</w:t>
            </w:r>
          </w:p>
        </w:tc>
      </w:tr>
      <w:tr w:rsidR="00410572" w:rsidRPr="00410572" w14:paraId="353EC46E" w14:textId="77777777" w:rsidTr="00410572">
        <w:trPr>
          <w:trHeight w:val="2976"/>
        </w:trPr>
        <w:tc>
          <w:tcPr>
            <w:tcW w:w="2385" w:type="dxa"/>
            <w:vMerge w:val="restart"/>
          </w:tcPr>
          <w:p w14:paraId="76BEB11D" w14:textId="4C959E76" w:rsidR="00410572" w:rsidRPr="00410572" w:rsidRDefault="00410572" w:rsidP="00410572">
            <w:pPr>
              <w:spacing w:before="120"/>
              <w:rPr>
                <w:rFonts w:ascii="Arial Rounded MT Bold" w:hAnsi="Arial Rounded MT Bold"/>
              </w:rPr>
            </w:pPr>
            <w:r w:rsidRPr="00410572">
              <w:rPr>
                <w:rFonts w:ascii="Arial Rounded MT Bold" w:hAnsi="Arial Rounded MT Bold"/>
              </w:rPr>
              <w:t>What other characters say about them:</w:t>
            </w:r>
          </w:p>
        </w:tc>
        <w:tc>
          <w:tcPr>
            <w:tcW w:w="4772" w:type="dxa"/>
            <w:gridSpan w:val="2"/>
          </w:tcPr>
          <w:p w14:paraId="130F41E6" w14:textId="2BA326B7" w:rsidR="00410572" w:rsidRPr="00410572" w:rsidRDefault="00410572" w:rsidP="00410572">
            <w:pPr>
              <w:spacing w:before="120"/>
              <w:rPr>
                <w:rFonts w:ascii="Arial Rounded MT Bold" w:hAnsi="Arial Rounded MT Bold"/>
              </w:rPr>
            </w:pPr>
            <w:r w:rsidRPr="00410572">
              <w:rPr>
                <w:rFonts w:ascii="Arial Rounded MT Bold" w:hAnsi="Arial Rounded MT Bold"/>
              </w:rPr>
              <w:t>Character</w:t>
            </w:r>
            <w:r>
              <w:rPr>
                <w:rFonts w:ascii="Arial Rounded MT Bold" w:hAnsi="Arial Rounded MT Bold"/>
              </w:rPr>
              <w:t>:</w:t>
            </w:r>
          </w:p>
        </w:tc>
        <w:tc>
          <w:tcPr>
            <w:tcW w:w="2386" w:type="dxa"/>
            <w:vMerge w:val="restart"/>
          </w:tcPr>
          <w:p w14:paraId="4B5FCCC0" w14:textId="148D5F0C" w:rsidR="00410572" w:rsidRPr="00410572" w:rsidRDefault="00410572" w:rsidP="00410572">
            <w:pPr>
              <w:spacing w:before="120"/>
              <w:rPr>
                <w:rFonts w:ascii="Arial Rounded MT Bold" w:hAnsi="Arial Rounded MT Bold"/>
              </w:rPr>
            </w:pPr>
            <w:r w:rsidRPr="00410572">
              <w:rPr>
                <w:rFonts w:ascii="Arial Rounded MT Bold" w:hAnsi="Arial Rounded MT Bold"/>
              </w:rPr>
              <w:t>Feelings</w:t>
            </w:r>
          </w:p>
        </w:tc>
      </w:tr>
      <w:tr w:rsidR="00410572" w:rsidRPr="00410572" w14:paraId="70F75AC1" w14:textId="77777777" w:rsidTr="00410572">
        <w:trPr>
          <w:trHeight w:val="3263"/>
        </w:trPr>
        <w:tc>
          <w:tcPr>
            <w:tcW w:w="2385" w:type="dxa"/>
            <w:vMerge/>
          </w:tcPr>
          <w:p w14:paraId="44029244" w14:textId="77777777" w:rsidR="00410572" w:rsidRPr="00410572" w:rsidRDefault="00410572" w:rsidP="00410572">
            <w:pPr>
              <w:spacing w:before="120"/>
              <w:rPr>
                <w:rFonts w:ascii="Arial Rounded MT Bold" w:hAnsi="Arial Rounded MT Bold"/>
              </w:rPr>
            </w:pPr>
          </w:p>
        </w:tc>
        <w:tc>
          <w:tcPr>
            <w:tcW w:w="4772" w:type="dxa"/>
            <w:gridSpan w:val="2"/>
          </w:tcPr>
          <w:p w14:paraId="1996D57A" w14:textId="2F94A852" w:rsidR="00410572" w:rsidRPr="00410572" w:rsidRDefault="00410572" w:rsidP="00410572">
            <w:pPr>
              <w:spacing w:before="120"/>
              <w:rPr>
                <w:rFonts w:ascii="Arial Rounded MT Bold" w:hAnsi="Arial Rounded MT Bold"/>
              </w:rPr>
            </w:pPr>
            <w:r w:rsidRPr="00410572">
              <w:rPr>
                <w:rFonts w:ascii="Arial Rounded MT Bold" w:hAnsi="Arial Rounded MT Bold"/>
              </w:rPr>
              <w:t>Actions</w:t>
            </w:r>
          </w:p>
        </w:tc>
        <w:tc>
          <w:tcPr>
            <w:tcW w:w="2386" w:type="dxa"/>
            <w:vMerge/>
          </w:tcPr>
          <w:p w14:paraId="4A887B84" w14:textId="77777777" w:rsidR="00410572" w:rsidRPr="00410572" w:rsidRDefault="00410572" w:rsidP="00410572">
            <w:pPr>
              <w:spacing w:before="120"/>
              <w:rPr>
                <w:rFonts w:ascii="Arial Rounded MT Bold" w:hAnsi="Arial Rounded MT Bold"/>
              </w:rPr>
            </w:pPr>
          </w:p>
        </w:tc>
      </w:tr>
    </w:tbl>
    <w:p w14:paraId="6B37481F" w14:textId="0A629ED2" w:rsidR="00F16BD9" w:rsidRPr="00410572" w:rsidRDefault="00BE5959" w:rsidP="00410572">
      <w:pPr>
        <w:pStyle w:val="FeatureBox2"/>
      </w:pPr>
      <w:r w:rsidRPr="00410572">
        <w:rPr>
          <w:rStyle w:val="Strong"/>
        </w:rPr>
        <w:t>Follow-up activity:</w:t>
      </w:r>
      <w:r w:rsidRPr="00410572">
        <w:t xml:space="preserve"> </w:t>
      </w:r>
      <w:r w:rsidR="00410572" w:rsidRPr="00410572">
        <w:t>Write a persuasive book review about one of your favourite texts. Use the following prompts to guide your review: What was the story about? What were the most interesting events in the story? Who were the main characters? How would you describe them? What words or illustrations stood out in the book that made it so enjoyable? Why do you think the author wrote this stor</w:t>
      </w:r>
      <w:r w:rsidR="00410572">
        <w:t xml:space="preserve">y? Who would you recommend this </w:t>
      </w:r>
      <w:r w:rsidR="00410572" w:rsidRPr="00410572">
        <w:t>book to?</w:t>
      </w:r>
    </w:p>
    <w:p w14:paraId="407C1AB1" w14:textId="77777777" w:rsidR="00BE5959" w:rsidRDefault="00AD7533" w:rsidP="00F16BD9">
      <w:pPr>
        <w:pStyle w:val="Heading1"/>
        <w:rPr>
          <w:lang w:eastAsia="zh-CN"/>
        </w:rPr>
      </w:pPr>
      <w:r>
        <w:rPr>
          <w:lang w:eastAsia="zh-CN"/>
        </w:rPr>
        <w:lastRenderedPageBreak/>
        <w:t xml:space="preserve">NSW </w:t>
      </w:r>
      <w:r w:rsidR="00D000CF">
        <w:rPr>
          <w:lang w:eastAsia="zh-CN"/>
        </w:rPr>
        <w:t>t</w:t>
      </w:r>
      <w:r w:rsidR="003C59E7">
        <w:rPr>
          <w:lang w:eastAsia="zh-CN"/>
        </w:rPr>
        <w:t>eacher</w:t>
      </w:r>
      <w:r w:rsidR="00F16BD9">
        <w:rPr>
          <w:lang w:eastAsia="zh-CN"/>
        </w:rPr>
        <w:t xml:space="preserve"> notes</w:t>
      </w:r>
    </w:p>
    <w:p w14:paraId="7418CFD0"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76E964C2" w14:textId="77777777" w:rsidR="00420DE7" w:rsidRPr="00F6494C" w:rsidRDefault="00420DE7" w:rsidP="00F6494C">
      <w:pPr>
        <w:pStyle w:val="Heading2"/>
      </w:pPr>
      <w:r w:rsidRPr="00F6494C">
        <w:t xml:space="preserve">Learning </w:t>
      </w:r>
      <w:r w:rsidR="00AF4D0B" w:rsidRPr="00F6494C">
        <w:t>intentions</w:t>
      </w:r>
    </w:p>
    <w:p w14:paraId="777434C8" w14:textId="3F6271B5" w:rsidR="00F46E3F" w:rsidRDefault="00F46E3F" w:rsidP="718D8945">
      <w:pPr>
        <w:pStyle w:val="ListBullet"/>
        <w:rPr>
          <w:rFonts w:asciiTheme="minorHAnsi" w:eastAsiaTheme="minorEastAsia" w:hAnsiTheme="minorHAnsi"/>
        </w:rPr>
      </w:pPr>
      <w:r>
        <w:t xml:space="preserve">To identify the ways authors </w:t>
      </w:r>
      <w:r w:rsidR="00D2746F">
        <w:t>construct</w:t>
      </w:r>
      <w:r>
        <w:t xml:space="preserve"> </w:t>
      </w:r>
      <w:r w:rsidR="00D2746F">
        <w:t xml:space="preserve">the characters in their </w:t>
      </w:r>
      <w:r w:rsidR="00765B5D">
        <w:t>stories</w:t>
      </w:r>
      <w:r w:rsidR="00D2746F">
        <w:t xml:space="preserve"> </w:t>
      </w:r>
    </w:p>
    <w:p w14:paraId="03309E8B" w14:textId="37CACF7B" w:rsidR="00765B5D" w:rsidRDefault="00765B5D" w:rsidP="718D8945">
      <w:pPr>
        <w:pStyle w:val="ListBullet"/>
        <w:rPr>
          <w:rFonts w:asciiTheme="minorHAnsi" w:eastAsiaTheme="minorEastAsia" w:hAnsiTheme="minorHAnsi"/>
        </w:rPr>
      </w:pPr>
      <w:r>
        <w:t xml:space="preserve">To </w:t>
      </w:r>
      <w:r w:rsidR="599A053F">
        <w:t>make connections</w:t>
      </w:r>
      <w:r>
        <w:t xml:space="preserve"> with the characters, events and ideas </w:t>
      </w:r>
      <w:r w:rsidR="00A715BA">
        <w:t>from</w:t>
      </w:r>
      <w:r>
        <w:t xml:space="preserve"> </w:t>
      </w:r>
      <w:r w:rsidR="755051B5">
        <w:t>a story</w:t>
      </w:r>
    </w:p>
    <w:p w14:paraId="3C738F7D" w14:textId="3962F3FD" w:rsidR="00F16BD9" w:rsidRDefault="00250E49" w:rsidP="00AD7533">
      <w:pPr>
        <w:pStyle w:val="Heading2"/>
        <w:spacing w:after="240"/>
      </w:pPr>
      <w:r>
        <w:t xml:space="preserve">NSW </w:t>
      </w:r>
      <w:r w:rsidR="00F46E3F">
        <w:t>English</w:t>
      </w:r>
      <w:r>
        <w:t xml:space="preserve"> K-10 S</w:t>
      </w:r>
      <w:r w:rsidR="00F16BD9">
        <w:t xml:space="preserve">yllabus </w:t>
      </w:r>
      <w:r w:rsidR="005435FF">
        <w:t>outcomes</w:t>
      </w:r>
    </w:p>
    <w:tbl>
      <w:tblPr>
        <w:tblStyle w:val="Tableheader"/>
        <w:tblW w:w="9639" w:type="dxa"/>
        <w:tblLook w:val="04A0" w:firstRow="1" w:lastRow="0" w:firstColumn="1" w:lastColumn="0" w:noHBand="0" w:noVBand="1"/>
        <w:tblDescription w:val="A table displaying relevant NSW English K-10 Syllabus outcomes."/>
      </w:tblPr>
      <w:tblGrid>
        <w:gridCol w:w="2148"/>
        <w:gridCol w:w="3745"/>
        <w:gridCol w:w="3746"/>
      </w:tblGrid>
      <w:tr w:rsidR="00765B5D" w14:paraId="7BFEE75C" w14:textId="77777777" w:rsidTr="005E23D3">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0145FC8D" w14:textId="77777777" w:rsidR="00765B5D" w:rsidRDefault="00765B5D" w:rsidP="005E23D3">
            <w:pPr>
              <w:spacing w:before="192" w:after="192"/>
              <w:rPr>
                <w:lang w:eastAsia="zh-CN"/>
              </w:rPr>
            </w:pPr>
            <w:r>
              <w:rPr>
                <w:lang w:eastAsia="zh-CN"/>
              </w:rPr>
              <w:t>Modes and skills</w:t>
            </w:r>
          </w:p>
        </w:tc>
        <w:tc>
          <w:tcPr>
            <w:tcW w:w="3745" w:type="dxa"/>
          </w:tcPr>
          <w:p w14:paraId="74F66544" w14:textId="77777777" w:rsidR="00765B5D" w:rsidRDefault="00765B5D" w:rsidP="005E23D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2B97DCD0" w14:textId="77777777" w:rsidR="00765B5D" w:rsidRDefault="00765B5D" w:rsidP="005E23D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765B5D" w14:paraId="7EC9F936" w14:textId="77777777" w:rsidTr="005E23D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7CFE9F6B" w14:textId="77777777" w:rsidR="00765B5D" w:rsidRDefault="00765B5D" w:rsidP="005E23D3">
            <w:pPr>
              <w:rPr>
                <w:lang w:eastAsia="zh-CN"/>
              </w:rPr>
            </w:pPr>
            <w:r>
              <w:rPr>
                <w:lang w:eastAsia="zh-CN"/>
              </w:rPr>
              <w:t>Writing and representing 1</w:t>
            </w:r>
          </w:p>
        </w:tc>
        <w:tc>
          <w:tcPr>
            <w:tcW w:w="3745" w:type="dxa"/>
          </w:tcPr>
          <w:p w14:paraId="4F36B465" w14:textId="77777777" w:rsidR="00765B5D" w:rsidRDefault="00765B5D" w:rsidP="005E23D3">
            <w:pPr>
              <w:cnfStyle w:val="000000100000" w:firstRow="0" w:lastRow="0" w:firstColumn="0" w:lastColumn="0" w:oddVBand="0" w:evenVBand="0" w:oddHBand="1" w:evenHBand="0" w:firstRowFirstColumn="0" w:firstRowLastColumn="0" w:lastRowFirstColumn="0" w:lastRowLastColumn="0"/>
              <w:rPr>
                <w:lang w:eastAsia="zh-CN"/>
              </w:rPr>
            </w:pPr>
            <w:r>
              <w:t>plans, composes and reviews a range of texts that are more demanding in terms of topic, audience and language (</w:t>
            </w:r>
            <w:r w:rsidRPr="00B0347D">
              <w:t>EN2-2A</w:t>
            </w:r>
            <w:r>
              <w:t>)</w:t>
            </w:r>
          </w:p>
        </w:tc>
        <w:tc>
          <w:tcPr>
            <w:tcW w:w="3746" w:type="dxa"/>
          </w:tcPr>
          <w:p w14:paraId="00B36F85" w14:textId="77777777" w:rsidR="00765B5D" w:rsidRDefault="00765B5D" w:rsidP="005E23D3">
            <w:pPr>
              <w:pStyle w:val="Default"/>
              <w:cnfStyle w:val="000000100000" w:firstRow="0" w:lastRow="0" w:firstColumn="0" w:lastColumn="0" w:oddVBand="0" w:evenVBand="0" w:oddHBand="1" w:evenHBand="0" w:firstRowFirstColumn="0" w:firstRowLastColumn="0" w:lastRowFirstColumn="0" w:lastRowLastColumn="0"/>
              <w:rPr>
                <w:lang w:eastAsia="zh-CN"/>
              </w:rPr>
            </w:pPr>
            <w:r w:rsidRPr="006478CC">
              <w:t>composes, edits and presents well-structured and coherent texts</w:t>
            </w:r>
            <w:r>
              <w:rPr>
                <w:sz w:val="20"/>
                <w:szCs w:val="20"/>
              </w:rPr>
              <w:t xml:space="preserve"> (</w:t>
            </w:r>
            <w:r w:rsidRPr="006478CC">
              <w:t>EN3-2A</w:t>
            </w:r>
            <w:r>
              <w:t>)</w:t>
            </w:r>
          </w:p>
        </w:tc>
      </w:tr>
      <w:tr w:rsidR="00765B5D" w14:paraId="37469541" w14:textId="77777777" w:rsidTr="005E23D3">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256A79CA" w14:textId="77777777" w:rsidR="00765B5D" w:rsidRDefault="00765B5D" w:rsidP="005E23D3">
            <w:pPr>
              <w:rPr>
                <w:lang w:eastAsia="zh-CN"/>
              </w:rPr>
            </w:pPr>
            <w:r>
              <w:rPr>
                <w:lang w:eastAsia="zh-CN"/>
              </w:rPr>
              <w:t>Writing and representing 2 – responding and composing</w:t>
            </w:r>
          </w:p>
        </w:tc>
        <w:tc>
          <w:tcPr>
            <w:tcW w:w="3745" w:type="dxa"/>
          </w:tcPr>
          <w:p w14:paraId="00CF126E" w14:textId="77777777" w:rsidR="00765B5D" w:rsidRDefault="00765B5D" w:rsidP="005E23D3">
            <w:pPr>
              <w:cnfStyle w:val="000000010000" w:firstRow="0" w:lastRow="0" w:firstColumn="0" w:lastColumn="0" w:oddVBand="0" w:evenVBand="0" w:oddHBand="0" w:evenHBand="1" w:firstRowFirstColumn="0" w:firstRowLastColumn="0" w:lastRowFirstColumn="0" w:lastRowLastColumn="0"/>
              <w:rPr>
                <w:lang w:eastAsia="zh-CN"/>
              </w:rPr>
            </w:pPr>
            <w:r w:rsidRPr="006478CC">
              <w:t>identifies and uses language forms and features in their own writing appropriate to a range of purposes, audiences and contexts</w:t>
            </w:r>
            <w:r>
              <w:rPr>
                <w:sz w:val="20"/>
                <w:szCs w:val="20"/>
              </w:rPr>
              <w:t xml:space="preserve"> (</w:t>
            </w:r>
            <w:r w:rsidRPr="006478CC">
              <w:t>EN2-7B</w:t>
            </w:r>
            <w:r>
              <w:t>)</w:t>
            </w:r>
          </w:p>
        </w:tc>
        <w:tc>
          <w:tcPr>
            <w:tcW w:w="3746" w:type="dxa"/>
          </w:tcPr>
          <w:p w14:paraId="2302A37C" w14:textId="77777777" w:rsidR="00765B5D" w:rsidRDefault="00765B5D" w:rsidP="005E23D3">
            <w:pPr>
              <w:pStyle w:val="Default"/>
              <w:cnfStyle w:val="000000010000" w:firstRow="0" w:lastRow="0" w:firstColumn="0" w:lastColumn="0" w:oddVBand="0" w:evenVBand="0" w:oddHBand="0" w:evenHBand="1" w:firstRowFirstColumn="0" w:firstRowLastColumn="0" w:lastRowFirstColumn="0" w:lastRowLastColumn="0"/>
              <w:rPr>
                <w:lang w:eastAsia="zh-CN"/>
              </w:rPr>
            </w:pPr>
            <w:r w:rsidRPr="0060269F">
              <w:t>discusses how language is used to achieve a widening range of purposes for a widening range of audiences and contexts</w:t>
            </w:r>
            <w:r>
              <w:rPr>
                <w:sz w:val="20"/>
                <w:szCs w:val="20"/>
              </w:rPr>
              <w:t xml:space="preserve"> (</w:t>
            </w:r>
            <w:r w:rsidRPr="0060269F">
              <w:t>EN3-5B</w:t>
            </w:r>
            <w:r>
              <w:t>)</w:t>
            </w:r>
          </w:p>
        </w:tc>
      </w:tr>
    </w:tbl>
    <w:p w14:paraId="3597C83E" w14:textId="2C65CF16" w:rsidR="00AD7533" w:rsidRPr="00AD7533" w:rsidRDefault="005055AA" w:rsidP="00471A59">
      <w:pPr>
        <w:pStyle w:val="Copyright"/>
        <w:spacing w:before="240" w:after="240"/>
      </w:pPr>
      <w:hyperlink r:id="rId9" w:history="1">
        <w:r w:rsidR="00A715BA" w:rsidRPr="00AD7533">
          <w:rPr>
            <w:rStyle w:val="Hyperlink"/>
            <w:sz w:val="20"/>
          </w:rPr>
          <w:t xml:space="preserve">NSW </w:t>
        </w:r>
        <w:r w:rsidR="00A715BA">
          <w:rPr>
            <w:rStyle w:val="Hyperlink"/>
            <w:sz w:val="20"/>
          </w:rPr>
          <w:t>English</w:t>
        </w:r>
        <w:r w:rsidR="00A715BA" w:rsidRPr="00AD7533">
          <w:rPr>
            <w:rStyle w:val="Hyperlink"/>
            <w:sz w:val="20"/>
          </w:rPr>
          <w:t xml:space="preserve"> K-</w:t>
        </w:r>
        <w:r w:rsidR="00A715BA">
          <w:rPr>
            <w:rStyle w:val="Hyperlink"/>
            <w:sz w:val="20"/>
          </w:rPr>
          <w:t>10</w:t>
        </w:r>
        <w:r w:rsidR="00A715BA" w:rsidRPr="00AD7533">
          <w:rPr>
            <w:rStyle w:val="Hyperlink"/>
            <w:sz w:val="20"/>
          </w:rPr>
          <w:t xml:space="preserve"> Syllabus</w:t>
        </w:r>
      </w:hyperlink>
      <w:r w:rsidR="00AD7533" w:rsidRPr="00AD7533">
        <w:t xml:space="preserve"> © 20</w:t>
      </w:r>
      <w:r w:rsidR="00A715BA">
        <w:t>12</w:t>
      </w:r>
      <w:r w:rsidR="00AD7533" w:rsidRPr="00AD7533">
        <w:t xml:space="preserve"> NSW Education Standards Authority (NESA) for and on behalf of the Crown in right of the State of New South Wales. See the </w:t>
      </w:r>
      <w:hyperlink r:id="rId10" w:history="1">
        <w:r w:rsidR="00AD7533" w:rsidRPr="00AD7533">
          <w:rPr>
            <w:rStyle w:val="Hyperlink"/>
            <w:sz w:val="20"/>
          </w:rPr>
          <w:t>NESA website</w:t>
        </w:r>
      </w:hyperlink>
      <w:r w:rsidR="00AD7533" w:rsidRPr="00AD7533">
        <w:t xml:space="preserve"> for additional copyright information.</w:t>
      </w:r>
    </w:p>
    <w:sectPr w:rsidR="00AD7533" w:rsidRPr="00AD7533"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9E8FC" w14:textId="77777777" w:rsidR="005055AA" w:rsidRDefault="005055AA" w:rsidP="00191F45">
      <w:r>
        <w:separator/>
      </w:r>
    </w:p>
    <w:p w14:paraId="159BEB88" w14:textId="77777777" w:rsidR="005055AA" w:rsidRDefault="005055AA"/>
    <w:p w14:paraId="19A78E09" w14:textId="77777777" w:rsidR="005055AA" w:rsidRDefault="005055AA"/>
    <w:p w14:paraId="4C00A9A3" w14:textId="77777777" w:rsidR="005055AA" w:rsidRDefault="005055AA"/>
  </w:endnote>
  <w:endnote w:type="continuationSeparator" w:id="0">
    <w:p w14:paraId="434A65C8" w14:textId="77777777" w:rsidR="005055AA" w:rsidRDefault="005055AA" w:rsidP="00191F45">
      <w:r>
        <w:continuationSeparator/>
      </w:r>
    </w:p>
    <w:p w14:paraId="182F73FD" w14:textId="77777777" w:rsidR="005055AA" w:rsidRDefault="005055AA"/>
    <w:p w14:paraId="6F816B94" w14:textId="77777777" w:rsidR="005055AA" w:rsidRDefault="005055AA"/>
    <w:p w14:paraId="5308EF38" w14:textId="77777777" w:rsidR="005055AA" w:rsidRDefault="00505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02049" w14:textId="2D76974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478FB">
      <w:rPr>
        <w:noProof/>
      </w:rPr>
      <w:t>2</w:t>
    </w:r>
    <w:r w:rsidRPr="002810D3">
      <w:fldChar w:fldCharType="end"/>
    </w:r>
    <w:r w:rsidRPr="002810D3">
      <w:tab/>
    </w:r>
    <w:r w:rsidR="00B1412E" w:rsidRPr="00B1412E">
      <w:t>ABC TV Education resources – Bringing Books To Life – Wolven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8F03" w14:textId="149C2D75" w:rsidR="007A3356" w:rsidRPr="004D333E" w:rsidRDefault="005679EC" w:rsidP="004D333E">
    <w:pPr>
      <w:pStyle w:val="Footer"/>
    </w:pPr>
    <w:r w:rsidRPr="005679E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4478FB">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8314B" w14:textId="77777777" w:rsidR="00493120" w:rsidRPr="008F367A" w:rsidRDefault="008F367A" w:rsidP="008F367A">
    <w:pPr>
      <w:tabs>
        <w:tab w:val="right" w:pos="10199"/>
      </w:tabs>
      <w:spacing w:line="300" w:lineRule="atLeast"/>
      <w:ind w:left="-567" w:right="-574"/>
      <w:rPr>
        <w:rFonts w:eastAsia="SimSun" w:cs="Times New Roman"/>
        <w:b/>
        <w:color w:val="002060"/>
        <w:sz w:val="28"/>
        <w:szCs w:val="28"/>
        <w:lang w:eastAsia="zh-CN"/>
      </w:rPr>
    </w:pPr>
    <w:r w:rsidRPr="008F367A">
      <w:rPr>
        <w:rFonts w:eastAsia="SimSun" w:cs="Times New Roman"/>
        <w:b/>
        <w:color w:val="002060"/>
        <w:szCs w:val="28"/>
        <w:lang w:eastAsia="zh-CN"/>
      </w:rPr>
      <w:t>education.nsw.gov.au</w:t>
    </w:r>
    <w:r w:rsidRPr="008F367A">
      <w:rPr>
        <w:rFonts w:eastAsia="SimSun" w:cs="Times New Roman"/>
        <w:b/>
        <w:color w:val="002060"/>
        <w:sz w:val="28"/>
        <w:szCs w:val="28"/>
        <w:lang w:eastAsia="zh-CN"/>
      </w:rPr>
      <w:tab/>
    </w:r>
    <w:r w:rsidRPr="008F367A">
      <w:rPr>
        <w:rFonts w:eastAsia="SimSun" w:cs="Times New Roman"/>
        <w:b/>
        <w:noProof/>
        <w:color w:val="002060"/>
        <w:sz w:val="28"/>
        <w:szCs w:val="28"/>
        <w:lang w:eastAsia="en-AU"/>
      </w:rPr>
      <w:drawing>
        <wp:inline distT="0" distB="0" distL="0" distR="0" wp14:anchorId="448BF892" wp14:editId="48CBDA5F">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BBB2C" w14:textId="77777777" w:rsidR="005055AA" w:rsidRDefault="005055AA" w:rsidP="00191F45">
      <w:r>
        <w:separator/>
      </w:r>
    </w:p>
    <w:p w14:paraId="149846D4" w14:textId="77777777" w:rsidR="005055AA" w:rsidRDefault="005055AA"/>
    <w:p w14:paraId="30E1DD34" w14:textId="77777777" w:rsidR="005055AA" w:rsidRDefault="005055AA"/>
    <w:p w14:paraId="63EFD17B" w14:textId="77777777" w:rsidR="005055AA" w:rsidRDefault="005055AA"/>
  </w:footnote>
  <w:footnote w:type="continuationSeparator" w:id="0">
    <w:p w14:paraId="0F8C52EC" w14:textId="77777777" w:rsidR="005055AA" w:rsidRDefault="005055AA" w:rsidP="00191F45">
      <w:r>
        <w:continuationSeparator/>
      </w:r>
    </w:p>
    <w:p w14:paraId="1555DBD1" w14:textId="77777777" w:rsidR="005055AA" w:rsidRDefault="005055AA"/>
    <w:p w14:paraId="19DE8E43" w14:textId="77777777" w:rsidR="005055AA" w:rsidRDefault="005055AA"/>
    <w:p w14:paraId="0A044FB3" w14:textId="77777777" w:rsidR="005055AA" w:rsidRDefault="005055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4121" w14:textId="77777777" w:rsidR="00493120" w:rsidRPr="008F367A" w:rsidRDefault="008F367A" w:rsidP="008F367A">
    <w:pPr>
      <w:pStyle w:val="Header"/>
    </w:pPr>
    <w:r w:rsidRPr="008F367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B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6999"/>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3AC3"/>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3A6C"/>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077"/>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0572"/>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8FB"/>
    <w:rsid w:val="004479D8"/>
    <w:rsid w:val="00447C97"/>
    <w:rsid w:val="00451168"/>
    <w:rsid w:val="00451506"/>
    <w:rsid w:val="00452D84"/>
    <w:rsid w:val="00453739"/>
    <w:rsid w:val="0045627B"/>
    <w:rsid w:val="00456C90"/>
    <w:rsid w:val="00457160"/>
    <w:rsid w:val="004578CC"/>
    <w:rsid w:val="00463BFC"/>
    <w:rsid w:val="004657D6"/>
    <w:rsid w:val="00471A59"/>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5AA"/>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EC"/>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0C8"/>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B5D"/>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39E"/>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67A"/>
    <w:rsid w:val="008F3EDF"/>
    <w:rsid w:val="008F3FF2"/>
    <w:rsid w:val="008F4B9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5188"/>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15BA"/>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412E"/>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4CB7"/>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2F8"/>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0CF"/>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46F"/>
    <w:rsid w:val="00D27C2B"/>
    <w:rsid w:val="00D31919"/>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41A"/>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E3F"/>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599A053F"/>
    <w:rsid w:val="718D8945"/>
    <w:rsid w:val="7550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B752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F46E3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Default">
    <w:name w:val="Default"/>
    <w:rsid w:val="00765B5D"/>
    <w:pPr>
      <w:autoSpaceDE w:val="0"/>
      <w:autoSpaceDN w:val="0"/>
      <w:adjustRightInd w:val="0"/>
      <w:spacing w:before="0" w:line="240" w:lineRule="auto"/>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57284">
      <w:bodyDiv w:val="1"/>
      <w:marLeft w:val="0"/>
      <w:marRight w:val="0"/>
      <w:marTop w:val="0"/>
      <w:marBottom w:val="0"/>
      <w:divBdr>
        <w:top w:val="none" w:sz="0" w:space="0" w:color="auto"/>
        <w:left w:val="none" w:sz="0" w:space="0" w:color="auto"/>
        <w:bottom w:val="none" w:sz="0" w:space="0" w:color="auto"/>
        <w:right w:val="none" w:sz="0" w:space="0" w:color="auto"/>
      </w:divBdr>
    </w:div>
    <w:div w:id="180492865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bringing-books-to-lif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english-year-10/english-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5794E-4C09-40B4-BE6A-82F8E099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Books To Life – Wolven</dc:title>
  <dc:subject/>
  <dc:creator>NSW Department of Education</dc:creator>
  <cp:keywords/>
  <dc:description/>
  <cp:lastModifiedBy/>
  <cp:revision>1</cp:revision>
  <dcterms:created xsi:type="dcterms:W3CDTF">2020-06-03T04:39:00Z</dcterms:created>
  <dcterms:modified xsi:type="dcterms:W3CDTF">2020-06-03T04:39:00Z</dcterms:modified>
  <cp:category/>
</cp:coreProperties>
</file>