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EF9B" w14:textId="77777777" w:rsidR="00845856" w:rsidRPr="00845856" w:rsidRDefault="00845856" w:rsidP="00845856">
      <w:pPr>
        <w:pStyle w:val="Heading1"/>
        <w:rPr>
          <w:rFonts w:eastAsia="Times New Roman"/>
          <w:lang w:eastAsia="en-AU"/>
        </w:rPr>
      </w:pPr>
      <w:bookmarkStart w:id="0" w:name="_GoBack"/>
      <w:bookmarkEnd w:id="0"/>
      <w:r w:rsidRPr="00845856">
        <w:rPr>
          <w:rFonts w:eastAsia="Times New Roman"/>
          <w:lang w:eastAsia="en-AU"/>
        </w:rPr>
        <w:t>199 Little Heroes – Iraq</w:t>
      </w:r>
    </w:p>
    <w:p w14:paraId="68D69997" w14:textId="25D373F7"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CF4F24">
        <w:rPr>
          <w:rStyle w:val="Strong"/>
          <w:b w:val="0"/>
        </w:rPr>
        <w:t>Tues</w:t>
      </w:r>
      <w:r w:rsidR="00250E49" w:rsidRPr="00250E49">
        <w:rPr>
          <w:rStyle w:val="Strong"/>
          <w:b w:val="0"/>
        </w:rPr>
        <w:t>day</w:t>
      </w:r>
      <w:r w:rsidR="00250E49">
        <w:t xml:space="preserve"> 2</w:t>
      </w:r>
      <w:r w:rsidR="00CF4F24">
        <w:t>8</w:t>
      </w:r>
      <w:r w:rsidR="00250E49" w:rsidRPr="00250E49">
        <w:t xml:space="preserve"> </w:t>
      </w:r>
      <w:r w:rsidR="001B1604">
        <w:t>April, 2020</w:t>
      </w:r>
      <w:r w:rsidR="00F87096">
        <w:t xml:space="preserve"> at</w:t>
      </w:r>
      <w:r w:rsidR="001B1604">
        <w:t xml:space="preserve"> </w:t>
      </w:r>
      <w:r w:rsidR="00250E49">
        <w:t>11:45am</w:t>
      </w:r>
    </w:p>
    <w:p w14:paraId="0BCF292C" w14:textId="66FFF397" w:rsidR="00E975B8" w:rsidRDefault="00E975B8" w:rsidP="00E975B8">
      <w:pPr>
        <w:pStyle w:val="FeatureBox"/>
      </w:pPr>
      <w:r>
        <w:t xml:space="preserve">This episode can also be viewed on </w:t>
      </w:r>
      <w:hyperlink r:id="rId8" w:history="1">
        <w:r w:rsidRPr="00F071CD">
          <w:rPr>
            <w:rStyle w:val="Hyperlink"/>
          </w:rPr>
          <w:t>ABC iView</w:t>
        </w:r>
      </w:hyperlink>
    </w:p>
    <w:p w14:paraId="256B455E" w14:textId="38817A9A" w:rsidR="008518D6" w:rsidRDefault="00F071CD" w:rsidP="008518D6">
      <w:pPr>
        <w:pStyle w:val="FeatureBox"/>
      </w:pPr>
      <w:r>
        <w:rPr>
          <w:rStyle w:val="Strong"/>
        </w:rPr>
        <w:t xml:space="preserve">Key learning areas: </w:t>
      </w:r>
      <w:r w:rsidR="001753CA">
        <w:t>g</w:t>
      </w:r>
      <w:r w:rsidR="00CF4F24" w:rsidRPr="00CF4F24">
        <w:t>eog</w:t>
      </w:r>
      <w:r w:rsidR="00CF4F24">
        <w:t>raphy</w:t>
      </w:r>
    </w:p>
    <w:p w14:paraId="1F50EC76" w14:textId="77777777" w:rsidR="008518D6" w:rsidRPr="008518D6" w:rsidRDefault="008518D6" w:rsidP="008518D6">
      <w:pPr>
        <w:pStyle w:val="FeatureBox"/>
      </w:pPr>
      <w:r w:rsidRPr="008518D6">
        <w:rPr>
          <w:rStyle w:val="Strong"/>
        </w:rPr>
        <w:t>Level:</w:t>
      </w:r>
      <w:r w:rsidR="0087639E">
        <w:t xml:space="preserve"> upper primary</w:t>
      </w:r>
    </w:p>
    <w:p w14:paraId="7E8C1F04" w14:textId="7B156ED9" w:rsidR="00E975B8" w:rsidRPr="00CF4F24" w:rsidRDefault="005203DC" w:rsidP="00E975B8">
      <w:pPr>
        <w:pStyle w:val="FeatureBox"/>
      </w:pPr>
      <w:r w:rsidRPr="005203DC">
        <w:rPr>
          <w:rStyle w:val="Strong"/>
        </w:rPr>
        <w:t>About:</w:t>
      </w:r>
      <w:r>
        <w:rPr>
          <w:rStyle w:val="Strong"/>
        </w:rPr>
        <w:t xml:space="preserve"> </w:t>
      </w:r>
      <w:r w:rsidR="00CF4F24" w:rsidRPr="00CF4F24">
        <w:t>Jaffer's a smart young boy. His road to school is a hard one, but at the same time an interesting one. He passes through various natural and historical places; a desert, oasis with green orchid</w:t>
      </w:r>
      <w:r w:rsidR="00CF4F24">
        <w:t>s as well as a historical place.</w:t>
      </w:r>
    </w:p>
    <w:p w14:paraId="608EC67A" w14:textId="09563C94" w:rsidR="00BE5959" w:rsidRDefault="00BE5959" w:rsidP="00E975B8">
      <w:pPr>
        <w:pStyle w:val="Heading2"/>
      </w:pPr>
      <w:r>
        <w:t>Before the episode</w:t>
      </w:r>
    </w:p>
    <w:p w14:paraId="4C5E9D6E" w14:textId="205BAA34" w:rsidR="005B7BC9" w:rsidRPr="005B7BC9" w:rsidRDefault="005B7BC9" w:rsidP="005B7BC9">
      <w:pPr>
        <w:pStyle w:val="ListNumber"/>
      </w:pPr>
      <w:r w:rsidRPr="005B7BC9">
        <w:t>Use lines or different colours to match the headings with the information boxes.</w:t>
      </w:r>
    </w:p>
    <w:tbl>
      <w:tblPr>
        <w:tblStyle w:val="TableGridLigh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567"/>
        <w:gridCol w:w="3119"/>
        <w:gridCol w:w="3081"/>
      </w:tblGrid>
      <w:tr w:rsidR="00253D38" w14:paraId="419328CC" w14:textId="50021E93" w:rsidTr="00253D38">
        <w:trPr>
          <w:trHeight w:val="819"/>
        </w:trPr>
        <w:tc>
          <w:tcPr>
            <w:tcW w:w="2825" w:type="dxa"/>
            <w:tcBorders>
              <w:right w:val="single" w:sz="8" w:space="0" w:color="auto"/>
            </w:tcBorders>
            <w:vAlign w:val="center"/>
          </w:tcPr>
          <w:p w14:paraId="275229FD" w14:textId="003FFDB7" w:rsidR="00253D38" w:rsidRPr="00253D38" w:rsidRDefault="00253D38" w:rsidP="00253D38">
            <w:pPr>
              <w:spacing w:before="120"/>
              <w:rPr>
                <w:rFonts w:ascii="Arial Rounded MT Bold" w:hAnsi="Arial Rounded MT Bold"/>
                <w:sz w:val="28"/>
                <w:lang w:eastAsia="zh-CN"/>
              </w:rPr>
            </w:pPr>
            <w:r w:rsidRPr="00253D38">
              <w:rPr>
                <w:rFonts w:ascii="Arial Rounded MT Bold" w:hAnsi="Arial Rounded MT Bold"/>
                <w:sz w:val="28"/>
                <w:lang w:eastAsia="zh-CN"/>
              </w:rPr>
              <w:t>Population of Iraq</w:t>
            </w:r>
          </w:p>
        </w:tc>
        <w:tc>
          <w:tcPr>
            <w:tcW w:w="567" w:type="dxa"/>
            <w:tcBorders>
              <w:top w:val="nil"/>
              <w:left w:val="single" w:sz="8" w:space="0" w:color="auto"/>
              <w:bottom w:val="nil"/>
              <w:right w:val="single" w:sz="8" w:space="0" w:color="auto"/>
            </w:tcBorders>
            <w:vAlign w:val="center"/>
          </w:tcPr>
          <w:p w14:paraId="16218F47" w14:textId="77777777" w:rsidR="00253D38" w:rsidRDefault="00253D38" w:rsidP="00253D38">
            <w:pPr>
              <w:spacing w:before="120"/>
              <w:rPr>
                <w:lang w:eastAsia="zh-CN"/>
              </w:rPr>
            </w:pPr>
          </w:p>
        </w:tc>
        <w:tc>
          <w:tcPr>
            <w:tcW w:w="3119" w:type="dxa"/>
            <w:vMerge w:val="restart"/>
            <w:tcBorders>
              <w:left w:val="single" w:sz="8" w:space="0" w:color="auto"/>
            </w:tcBorders>
            <w:vAlign w:val="center"/>
          </w:tcPr>
          <w:p w14:paraId="20824B65" w14:textId="6CC64114" w:rsidR="00253D38" w:rsidRPr="00253D38" w:rsidRDefault="00253D38" w:rsidP="00253D38">
            <w:pPr>
              <w:spacing w:before="120"/>
              <w:rPr>
                <w:sz w:val="22"/>
                <w:lang w:eastAsia="zh-CN"/>
              </w:rPr>
            </w:pPr>
            <w:r w:rsidRPr="00253D38">
              <w:rPr>
                <w:sz w:val="22"/>
                <w:lang w:eastAsia="zh-CN"/>
              </w:rPr>
              <w:t>The ancient Sumerians, Babylonians, and Assyrians all developed empires in the area now known as Iraq.</w:t>
            </w:r>
          </w:p>
        </w:tc>
        <w:tc>
          <w:tcPr>
            <w:tcW w:w="3081" w:type="dxa"/>
            <w:vMerge w:val="restart"/>
            <w:vAlign w:val="center"/>
          </w:tcPr>
          <w:p w14:paraId="7C5BC657" w14:textId="013697F5" w:rsidR="00253D38" w:rsidRPr="00253D38" w:rsidRDefault="00253D38" w:rsidP="00253D38">
            <w:pPr>
              <w:spacing w:before="120"/>
              <w:rPr>
                <w:sz w:val="22"/>
                <w:lang w:eastAsia="zh-CN"/>
              </w:rPr>
            </w:pPr>
            <w:r w:rsidRPr="00253D38">
              <w:rPr>
                <w:sz w:val="22"/>
                <w:lang w:eastAsia="zh-CN"/>
              </w:rPr>
              <w:t>Over 95% of Iraqis practice Islam. A small percentage of the population practice Christianity.</w:t>
            </w:r>
          </w:p>
        </w:tc>
      </w:tr>
      <w:tr w:rsidR="00253D38" w14:paraId="62694E7A" w14:textId="67D4E8BF" w:rsidTr="00253D38">
        <w:trPr>
          <w:trHeight w:val="790"/>
        </w:trPr>
        <w:tc>
          <w:tcPr>
            <w:tcW w:w="2825" w:type="dxa"/>
            <w:tcBorders>
              <w:right w:val="single" w:sz="8" w:space="0" w:color="auto"/>
            </w:tcBorders>
            <w:vAlign w:val="center"/>
          </w:tcPr>
          <w:p w14:paraId="45910269" w14:textId="2BD110B3" w:rsidR="00253D38" w:rsidRPr="00253D38" w:rsidRDefault="00253D38" w:rsidP="00253D38">
            <w:pPr>
              <w:spacing w:before="120"/>
              <w:rPr>
                <w:rFonts w:ascii="Arial Rounded MT Bold" w:hAnsi="Arial Rounded MT Bold"/>
                <w:sz w:val="28"/>
                <w:lang w:eastAsia="zh-CN"/>
              </w:rPr>
            </w:pPr>
            <w:r w:rsidRPr="00253D38">
              <w:rPr>
                <w:rFonts w:ascii="Arial Rounded MT Bold" w:hAnsi="Arial Rounded MT Bold"/>
                <w:sz w:val="28"/>
                <w:lang w:eastAsia="zh-CN"/>
              </w:rPr>
              <w:t>Geography of Iraq</w:t>
            </w:r>
          </w:p>
        </w:tc>
        <w:tc>
          <w:tcPr>
            <w:tcW w:w="567" w:type="dxa"/>
            <w:tcBorders>
              <w:top w:val="nil"/>
              <w:left w:val="single" w:sz="8" w:space="0" w:color="auto"/>
              <w:bottom w:val="nil"/>
              <w:right w:val="single" w:sz="8" w:space="0" w:color="auto"/>
            </w:tcBorders>
            <w:vAlign w:val="center"/>
          </w:tcPr>
          <w:p w14:paraId="671649FD" w14:textId="77777777" w:rsidR="00253D38" w:rsidRDefault="00253D38" w:rsidP="00253D38">
            <w:pPr>
              <w:spacing w:before="120"/>
              <w:rPr>
                <w:lang w:eastAsia="zh-CN"/>
              </w:rPr>
            </w:pPr>
          </w:p>
        </w:tc>
        <w:tc>
          <w:tcPr>
            <w:tcW w:w="3119" w:type="dxa"/>
            <w:vMerge/>
            <w:tcBorders>
              <w:left w:val="single" w:sz="8" w:space="0" w:color="auto"/>
            </w:tcBorders>
            <w:vAlign w:val="center"/>
          </w:tcPr>
          <w:p w14:paraId="5D215290" w14:textId="77777777" w:rsidR="00253D38" w:rsidRPr="00253D38" w:rsidRDefault="00253D38" w:rsidP="00253D38">
            <w:pPr>
              <w:spacing w:before="120"/>
              <w:rPr>
                <w:sz w:val="22"/>
                <w:lang w:eastAsia="zh-CN"/>
              </w:rPr>
            </w:pPr>
          </w:p>
        </w:tc>
        <w:tc>
          <w:tcPr>
            <w:tcW w:w="3081" w:type="dxa"/>
            <w:vMerge/>
            <w:vAlign w:val="center"/>
          </w:tcPr>
          <w:p w14:paraId="6DF1CC03" w14:textId="77777777" w:rsidR="00253D38" w:rsidRPr="00253D38" w:rsidRDefault="00253D38" w:rsidP="00253D38">
            <w:pPr>
              <w:spacing w:before="120"/>
              <w:rPr>
                <w:sz w:val="22"/>
                <w:lang w:eastAsia="zh-CN"/>
              </w:rPr>
            </w:pPr>
          </w:p>
        </w:tc>
      </w:tr>
      <w:tr w:rsidR="00253D38" w14:paraId="45706B5E" w14:textId="702C8D1E" w:rsidTr="00253D38">
        <w:trPr>
          <w:trHeight w:val="819"/>
        </w:trPr>
        <w:tc>
          <w:tcPr>
            <w:tcW w:w="2825" w:type="dxa"/>
            <w:tcBorders>
              <w:right w:val="single" w:sz="8" w:space="0" w:color="auto"/>
            </w:tcBorders>
            <w:vAlign w:val="center"/>
          </w:tcPr>
          <w:p w14:paraId="7CF49B4C" w14:textId="151F4455" w:rsidR="00253D38" w:rsidRPr="00253D38" w:rsidRDefault="00253D38" w:rsidP="00253D38">
            <w:pPr>
              <w:spacing w:before="120"/>
              <w:rPr>
                <w:rFonts w:ascii="Arial Rounded MT Bold" w:hAnsi="Arial Rounded MT Bold"/>
                <w:sz w:val="28"/>
                <w:lang w:eastAsia="zh-CN"/>
              </w:rPr>
            </w:pPr>
            <w:r w:rsidRPr="00253D38">
              <w:rPr>
                <w:rFonts w:ascii="Arial Rounded MT Bold" w:hAnsi="Arial Rounded MT Bold"/>
                <w:sz w:val="28"/>
                <w:lang w:eastAsia="zh-CN"/>
              </w:rPr>
              <w:t>History of Iraq</w:t>
            </w:r>
          </w:p>
        </w:tc>
        <w:tc>
          <w:tcPr>
            <w:tcW w:w="567" w:type="dxa"/>
            <w:tcBorders>
              <w:top w:val="nil"/>
              <w:left w:val="single" w:sz="8" w:space="0" w:color="auto"/>
              <w:bottom w:val="nil"/>
              <w:right w:val="single" w:sz="8" w:space="0" w:color="auto"/>
            </w:tcBorders>
            <w:vAlign w:val="center"/>
          </w:tcPr>
          <w:p w14:paraId="4EF6B1E9" w14:textId="77777777" w:rsidR="00253D38" w:rsidRDefault="00253D38" w:rsidP="00253D38">
            <w:pPr>
              <w:spacing w:before="120"/>
              <w:rPr>
                <w:lang w:eastAsia="zh-CN"/>
              </w:rPr>
            </w:pPr>
          </w:p>
        </w:tc>
        <w:tc>
          <w:tcPr>
            <w:tcW w:w="3119" w:type="dxa"/>
            <w:vMerge w:val="restart"/>
            <w:tcBorders>
              <w:left w:val="single" w:sz="8" w:space="0" w:color="auto"/>
            </w:tcBorders>
            <w:vAlign w:val="center"/>
          </w:tcPr>
          <w:p w14:paraId="691428DC" w14:textId="3DCACA39" w:rsidR="00253D38" w:rsidRPr="00253D38" w:rsidRDefault="00253D38" w:rsidP="00253D38">
            <w:pPr>
              <w:spacing w:before="120"/>
              <w:rPr>
                <w:sz w:val="22"/>
                <w:lang w:eastAsia="zh-CN"/>
              </w:rPr>
            </w:pPr>
            <w:r w:rsidRPr="00253D38">
              <w:rPr>
                <w:sz w:val="22"/>
                <w:lang w:eastAsia="zh-CN"/>
              </w:rPr>
              <w:t>Iraq is mostly made up of broad, sandy plains with a large desert in the west.</w:t>
            </w:r>
          </w:p>
        </w:tc>
        <w:tc>
          <w:tcPr>
            <w:tcW w:w="3081" w:type="dxa"/>
            <w:vMerge w:val="restart"/>
            <w:vAlign w:val="center"/>
          </w:tcPr>
          <w:p w14:paraId="782EA5D1" w14:textId="4C340CC1" w:rsidR="00253D38" w:rsidRPr="00253D38" w:rsidRDefault="00253D38" w:rsidP="00253D38">
            <w:pPr>
              <w:spacing w:before="120"/>
              <w:rPr>
                <w:sz w:val="22"/>
                <w:lang w:eastAsia="zh-CN"/>
              </w:rPr>
            </w:pPr>
            <w:r w:rsidRPr="00253D38">
              <w:rPr>
                <w:sz w:val="22"/>
                <w:lang w:eastAsia="zh-CN"/>
              </w:rPr>
              <w:t>There are currently 38 million people living in Iraq. The capital, Baghdad, has a population of 7 million.</w:t>
            </w:r>
          </w:p>
        </w:tc>
      </w:tr>
      <w:tr w:rsidR="00253D38" w14:paraId="7CB0BF9C" w14:textId="309C2EC0" w:rsidTr="00253D38">
        <w:trPr>
          <w:trHeight w:val="819"/>
        </w:trPr>
        <w:tc>
          <w:tcPr>
            <w:tcW w:w="2825" w:type="dxa"/>
            <w:tcBorders>
              <w:right w:val="single" w:sz="8" w:space="0" w:color="auto"/>
            </w:tcBorders>
            <w:vAlign w:val="center"/>
          </w:tcPr>
          <w:p w14:paraId="04D3E120" w14:textId="3798CF04" w:rsidR="00253D38" w:rsidRPr="00253D38" w:rsidRDefault="00253D38" w:rsidP="00253D38">
            <w:pPr>
              <w:spacing w:before="120"/>
              <w:rPr>
                <w:rFonts w:ascii="Arial Rounded MT Bold" w:hAnsi="Arial Rounded MT Bold"/>
                <w:sz w:val="28"/>
                <w:lang w:eastAsia="zh-CN"/>
              </w:rPr>
            </w:pPr>
            <w:r w:rsidRPr="00253D38">
              <w:rPr>
                <w:rFonts w:ascii="Arial Rounded MT Bold" w:hAnsi="Arial Rounded MT Bold"/>
                <w:sz w:val="28"/>
                <w:lang w:eastAsia="zh-CN"/>
              </w:rPr>
              <w:t>Religion of Iraq</w:t>
            </w:r>
          </w:p>
        </w:tc>
        <w:tc>
          <w:tcPr>
            <w:tcW w:w="567" w:type="dxa"/>
            <w:tcBorders>
              <w:top w:val="nil"/>
              <w:left w:val="single" w:sz="8" w:space="0" w:color="auto"/>
              <w:bottom w:val="nil"/>
              <w:right w:val="single" w:sz="8" w:space="0" w:color="auto"/>
            </w:tcBorders>
            <w:vAlign w:val="center"/>
          </w:tcPr>
          <w:p w14:paraId="4F703249" w14:textId="77777777" w:rsidR="00253D38" w:rsidRDefault="00253D38" w:rsidP="00253D38">
            <w:pPr>
              <w:spacing w:before="120"/>
              <w:rPr>
                <w:lang w:eastAsia="zh-CN"/>
              </w:rPr>
            </w:pPr>
          </w:p>
        </w:tc>
        <w:tc>
          <w:tcPr>
            <w:tcW w:w="3119" w:type="dxa"/>
            <w:vMerge/>
            <w:tcBorders>
              <w:left w:val="single" w:sz="8" w:space="0" w:color="auto"/>
            </w:tcBorders>
            <w:vAlign w:val="center"/>
          </w:tcPr>
          <w:p w14:paraId="1E45F410" w14:textId="77777777" w:rsidR="00253D38" w:rsidRDefault="00253D38" w:rsidP="00253D38">
            <w:pPr>
              <w:spacing w:before="120"/>
              <w:rPr>
                <w:lang w:eastAsia="zh-CN"/>
              </w:rPr>
            </w:pPr>
          </w:p>
        </w:tc>
        <w:tc>
          <w:tcPr>
            <w:tcW w:w="3081" w:type="dxa"/>
            <w:vMerge/>
            <w:vAlign w:val="center"/>
          </w:tcPr>
          <w:p w14:paraId="72BA3DE9" w14:textId="77777777" w:rsidR="00253D38" w:rsidRDefault="00253D38" w:rsidP="00253D38">
            <w:pPr>
              <w:spacing w:before="120"/>
              <w:rPr>
                <w:lang w:eastAsia="zh-CN"/>
              </w:rPr>
            </w:pPr>
          </w:p>
        </w:tc>
      </w:tr>
    </w:tbl>
    <w:p w14:paraId="721156D5" w14:textId="77777777" w:rsidR="00BE5959" w:rsidRDefault="00BE5959" w:rsidP="00AD7533">
      <w:pPr>
        <w:pStyle w:val="Heading2"/>
      </w:pPr>
      <w:r>
        <w:t>During</w:t>
      </w:r>
      <w:r w:rsidRPr="00BE5959">
        <w:t xml:space="preserve"> the episode</w:t>
      </w:r>
    </w:p>
    <w:p w14:paraId="48B7CDF9" w14:textId="15A62DA3" w:rsidR="00F071CD" w:rsidRDefault="008F554B" w:rsidP="0008200B">
      <w:pPr>
        <w:pStyle w:val="ListNumber"/>
        <w:numPr>
          <w:ilvl w:val="0"/>
          <w:numId w:val="39"/>
        </w:numPr>
      </w:pPr>
      <w:r>
        <w:t>Write or draw pictures about Jaffer’s life. Think about his home, family, friends, the surrounding natural environment, animals, local transport and food.</w:t>
      </w:r>
    </w:p>
    <w:p w14:paraId="2331890E" w14:textId="0EC2A94D" w:rsidR="008F554B" w:rsidRPr="008F554B" w:rsidRDefault="008F554B" w:rsidP="008F554B">
      <w:r w:rsidRPr="009861DB">
        <w:rPr>
          <w:noProof/>
          <w:lang w:eastAsia="en-AU"/>
        </w:rPr>
        <mc:AlternateContent>
          <mc:Choice Requires="wps">
            <w:drawing>
              <wp:inline distT="0" distB="0" distL="0" distR="0" wp14:anchorId="5CE5958F" wp14:editId="35248CDA">
                <wp:extent cx="6116320" cy="1813035"/>
                <wp:effectExtent l="0" t="0" r="17780" b="1587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813035"/>
                        </a:xfrm>
                        <a:prstGeom prst="rect">
                          <a:avLst/>
                        </a:prstGeom>
                        <a:solidFill>
                          <a:srgbClr val="FFFFFF"/>
                        </a:solidFill>
                        <a:ln w="9525">
                          <a:solidFill>
                            <a:srgbClr val="000000"/>
                          </a:solidFill>
                          <a:miter lim="800000"/>
                          <a:headEnd/>
                          <a:tailEnd/>
                        </a:ln>
                      </wps:spPr>
                      <wps:txbx>
                        <w:txbxContent>
                          <w:p w14:paraId="4E9A4129" w14:textId="77777777" w:rsidR="008F554B" w:rsidRDefault="008F554B" w:rsidP="008F554B">
                            <w:pPr>
                              <w:spacing w:before="120"/>
                            </w:pPr>
                          </w:p>
                        </w:txbxContent>
                      </wps:txbx>
                      <wps:bodyPr rot="0" vert="horz" wrap="square" lIns="91440" tIns="45720" rIns="91440" bIns="45720" anchor="t" anchorCtr="0">
                        <a:noAutofit/>
                      </wps:bodyPr>
                    </wps:wsp>
                  </a:graphicData>
                </a:graphic>
              </wp:inline>
            </w:drawing>
          </mc:Choice>
          <mc:Fallback>
            <w:pict>
              <v:shapetype w14:anchorId="5CE5958F" id="_x0000_t202" coordsize="21600,21600" o:spt="202" path="m,l,21600r21600,l21600,xe">
                <v:stroke joinstyle="miter"/>
                <v:path gradientshapeok="t" o:connecttype="rect"/>
              </v:shapetype>
              <v:shape id="Text Box 2" o:spid="_x0000_s1026" type="#_x0000_t202" alt="A blank text box for students to respond" style="width:481.6pt;height:1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">
                <v:textbox>
                  <w:txbxContent>
                    <w:p w14:paraId="4E9A4129" w14:textId="77777777" w:rsidR="008F554B" w:rsidRDefault="008F554B" w:rsidP="008F554B">
                      <w:pPr>
                        <w:spacing w:before="120"/>
                      </w:pPr>
                    </w:p>
                  </w:txbxContent>
                </v:textbox>
                <w10:anchorlock/>
              </v:shape>
            </w:pict>
          </mc:Fallback>
        </mc:AlternateContent>
      </w:r>
    </w:p>
    <w:p w14:paraId="058CFDC6" w14:textId="77777777" w:rsidR="00BE5959" w:rsidRDefault="00BE5959" w:rsidP="00BE5959">
      <w:pPr>
        <w:pStyle w:val="Heading2"/>
      </w:pPr>
      <w:r>
        <w:lastRenderedPageBreak/>
        <w:t>After the episode</w:t>
      </w:r>
    </w:p>
    <w:p w14:paraId="682431BA" w14:textId="63970E87" w:rsidR="00EF4F12" w:rsidRDefault="00EF4F12" w:rsidP="003046AB">
      <w:pPr>
        <w:pStyle w:val="ListNumber"/>
        <w:numPr>
          <w:ilvl w:val="0"/>
          <w:numId w:val="38"/>
        </w:numPr>
      </w:pPr>
      <w:r w:rsidRPr="00EF4F12">
        <w:t>Compare your daily life to Jaffer’s.</w:t>
      </w:r>
    </w:p>
    <w:tbl>
      <w:tblPr>
        <w:tblStyle w:val="TableGrid"/>
        <w:tblW w:w="0" w:type="auto"/>
        <w:tblLook w:val="04A0" w:firstRow="1" w:lastRow="0" w:firstColumn="1" w:lastColumn="0" w:noHBand="0" w:noVBand="1"/>
      </w:tblPr>
      <w:tblGrid>
        <w:gridCol w:w="4811"/>
        <w:gridCol w:w="4811"/>
      </w:tblGrid>
      <w:tr w:rsidR="00EF4F12" w14:paraId="59444F27" w14:textId="77777777" w:rsidTr="00E75A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6D68CA9D" w14:textId="44CD4EE4" w:rsidR="00EF4F12" w:rsidRPr="0069603F" w:rsidRDefault="00EF4F12" w:rsidP="00E75AC3">
            <w:r>
              <w:t>What is s</w:t>
            </w:r>
            <w:r w:rsidRPr="0069603F">
              <w:t>imilar</w:t>
            </w:r>
            <w:r>
              <w:t>?</w:t>
            </w:r>
          </w:p>
        </w:tc>
        <w:tc>
          <w:tcPr>
            <w:tcW w:w="4811" w:type="dxa"/>
          </w:tcPr>
          <w:p w14:paraId="6831CAF7" w14:textId="5EB41A34" w:rsidR="00EF4F12" w:rsidRPr="0069603F" w:rsidRDefault="00EF4F12" w:rsidP="00EF4F12">
            <w:pPr>
              <w:cnfStyle w:val="100000000000" w:firstRow="1" w:lastRow="0" w:firstColumn="0" w:lastColumn="0" w:oddVBand="0" w:evenVBand="0" w:oddHBand="0" w:evenHBand="0" w:firstRowFirstColumn="0" w:firstRowLastColumn="0" w:lastRowFirstColumn="0" w:lastRowLastColumn="0"/>
            </w:pPr>
            <w:r>
              <w:t>What is d</w:t>
            </w:r>
            <w:r w:rsidRPr="0069603F">
              <w:t>ifferent</w:t>
            </w:r>
            <w:r>
              <w:t>?</w:t>
            </w:r>
          </w:p>
        </w:tc>
      </w:tr>
      <w:tr w:rsidR="00EF4F12" w14:paraId="5183B3A0" w14:textId="77777777" w:rsidTr="00EF4F12">
        <w:trPr>
          <w:cnfStyle w:val="000000100000" w:firstRow="0" w:lastRow="0" w:firstColumn="0" w:lastColumn="0" w:oddVBand="0" w:evenVBand="0" w:oddHBand="1" w:evenHBand="0" w:firstRowFirstColumn="0" w:firstRowLastColumn="0" w:lastRowFirstColumn="0" w:lastRowLastColumn="0"/>
          <w:trHeight w:val="5783"/>
        </w:trPr>
        <w:tc>
          <w:tcPr>
            <w:cnfStyle w:val="001000000000" w:firstRow="0" w:lastRow="0" w:firstColumn="1" w:lastColumn="0" w:oddVBand="0" w:evenVBand="0" w:oddHBand="0" w:evenHBand="0" w:firstRowFirstColumn="0" w:firstRowLastColumn="0" w:lastRowFirstColumn="0" w:lastRowLastColumn="0"/>
            <w:tcW w:w="4811" w:type="dxa"/>
          </w:tcPr>
          <w:p w14:paraId="2C9D7AD0" w14:textId="77777777" w:rsidR="00EF4F12" w:rsidRPr="0069603F" w:rsidRDefault="00EF4F12" w:rsidP="00E75AC3"/>
        </w:tc>
        <w:tc>
          <w:tcPr>
            <w:tcW w:w="4811" w:type="dxa"/>
          </w:tcPr>
          <w:p w14:paraId="307D49C4" w14:textId="77777777" w:rsidR="00EF4F12" w:rsidRPr="0069603F" w:rsidRDefault="00EF4F12" w:rsidP="00E75AC3">
            <w:pPr>
              <w:cnfStyle w:val="000000100000" w:firstRow="0" w:lastRow="0" w:firstColumn="0" w:lastColumn="0" w:oddVBand="0" w:evenVBand="0" w:oddHBand="1" w:evenHBand="0" w:firstRowFirstColumn="0" w:firstRowLastColumn="0" w:lastRowFirstColumn="0" w:lastRowLastColumn="0"/>
            </w:pPr>
          </w:p>
        </w:tc>
      </w:tr>
    </w:tbl>
    <w:p w14:paraId="29B88F70" w14:textId="555EC55C" w:rsidR="003046AB" w:rsidRDefault="003046AB" w:rsidP="003046AB">
      <w:pPr>
        <w:pStyle w:val="ListNumber"/>
      </w:pPr>
      <w:r>
        <w:t>Write a letter to Jaffer and tell him all about what life in Australia is like for you and your family. Think about the following points when writing your letter:</w:t>
      </w:r>
    </w:p>
    <w:p w14:paraId="2FC645FC" w14:textId="21FEA051" w:rsidR="003046AB" w:rsidRDefault="003046AB" w:rsidP="003046AB">
      <w:pPr>
        <w:pStyle w:val="ListBullet"/>
      </w:pPr>
      <w:r>
        <w:t>Family</w:t>
      </w:r>
    </w:p>
    <w:p w14:paraId="148DACF2" w14:textId="0D041913" w:rsidR="003046AB" w:rsidRDefault="003046AB" w:rsidP="003046AB">
      <w:pPr>
        <w:pStyle w:val="ListBullet"/>
      </w:pPr>
      <w:r>
        <w:t>Home</w:t>
      </w:r>
    </w:p>
    <w:p w14:paraId="70C28DF7" w14:textId="49345A70" w:rsidR="003046AB" w:rsidRDefault="003046AB" w:rsidP="003046AB">
      <w:pPr>
        <w:pStyle w:val="ListBullet"/>
      </w:pPr>
      <w:r>
        <w:t>Environment</w:t>
      </w:r>
    </w:p>
    <w:p w14:paraId="31F838F9" w14:textId="7AF5B0CD" w:rsidR="003046AB" w:rsidRDefault="003046AB" w:rsidP="003046AB">
      <w:pPr>
        <w:pStyle w:val="ListBullet"/>
      </w:pPr>
      <w:r>
        <w:t>School</w:t>
      </w:r>
    </w:p>
    <w:p w14:paraId="5834E8E3" w14:textId="5CFA9922" w:rsidR="003046AB" w:rsidRDefault="003046AB" w:rsidP="003046AB">
      <w:pPr>
        <w:pStyle w:val="ListBullet"/>
      </w:pPr>
      <w:r>
        <w:t>Friends</w:t>
      </w:r>
    </w:p>
    <w:p w14:paraId="36E1B89F" w14:textId="68536033" w:rsidR="003046AB" w:rsidRDefault="003046AB" w:rsidP="003046AB">
      <w:pPr>
        <w:pStyle w:val="ListBullet"/>
      </w:pPr>
      <w:r>
        <w:t>Technology</w:t>
      </w:r>
    </w:p>
    <w:p w14:paraId="77F72BE7" w14:textId="0EC0365D" w:rsidR="003046AB" w:rsidRDefault="003046AB" w:rsidP="003046AB">
      <w:pPr>
        <w:pStyle w:val="ListBullet"/>
      </w:pPr>
      <w:r>
        <w:t>Transport</w:t>
      </w:r>
    </w:p>
    <w:p w14:paraId="7166F6E1" w14:textId="24212A4B" w:rsidR="003046AB" w:rsidRPr="003046AB" w:rsidRDefault="003046AB" w:rsidP="003046AB">
      <w:pPr>
        <w:pStyle w:val="ListBullet"/>
      </w:pPr>
      <w:r>
        <w:t>Food</w:t>
      </w:r>
    </w:p>
    <w:p w14:paraId="338A7733" w14:textId="77777777" w:rsidR="003046AB" w:rsidRPr="003046AB" w:rsidRDefault="00BE5959" w:rsidP="003046AB">
      <w:pPr>
        <w:pStyle w:val="FeatureBox2"/>
      </w:pPr>
      <w:r w:rsidRPr="003046AB">
        <w:rPr>
          <w:rStyle w:val="Strong"/>
        </w:rPr>
        <w:t>Follow-up activity:</w:t>
      </w:r>
      <w:r w:rsidRPr="003046AB">
        <w:t xml:space="preserve"> </w:t>
      </w:r>
      <w:r w:rsidR="003046AB" w:rsidRPr="003046AB">
        <w:t>Create a travel brochure featuring the things that are special about the</w:t>
      </w:r>
    </w:p>
    <w:p w14:paraId="620BBC83" w14:textId="77777777" w:rsidR="003046AB" w:rsidRPr="003046AB" w:rsidRDefault="003046AB" w:rsidP="003046AB">
      <w:pPr>
        <w:pStyle w:val="FeatureBox2"/>
      </w:pPr>
      <w:r w:rsidRPr="003046AB">
        <w:t>place where you live. For example, the surrounding environment, wildlife, the types of food</w:t>
      </w:r>
    </w:p>
    <w:p w14:paraId="62C1944D" w14:textId="774BD763" w:rsidR="00F16BD9" w:rsidRPr="003046AB" w:rsidRDefault="003046AB" w:rsidP="003046AB">
      <w:pPr>
        <w:pStyle w:val="FeatureBox2"/>
      </w:pPr>
      <w:r w:rsidRPr="003046AB">
        <w:t>you enjoy and the history of the place you call home.</w:t>
      </w:r>
    </w:p>
    <w:p w14:paraId="376344CF" w14:textId="77777777" w:rsidR="003109F1" w:rsidRDefault="003109F1" w:rsidP="003109F1">
      <w:pPr>
        <w:rPr>
          <w:lang w:eastAsia="zh-CN"/>
        </w:rPr>
      </w:pPr>
      <w:r>
        <w:rPr>
          <w:lang w:eastAsia="zh-CN"/>
        </w:rPr>
        <w:br w:type="page"/>
      </w:r>
    </w:p>
    <w:p w14:paraId="7653962F"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7FB572DF"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6F04C121" w14:textId="77777777" w:rsidR="00420DE7" w:rsidRPr="00F6494C" w:rsidRDefault="00420DE7" w:rsidP="00F6494C">
      <w:pPr>
        <w:pStyle w:val="Heading2"/>
      </w:pPr>
      <w:r w:rsidRPr="00F6494C">
        <w:t xml:space="preserve">Learning </w:t>
      </w:r>
      <w:r w:rsidR="00AF4D0B" w:rsidRPr="00F6494C">
        <w:t>intentions</w:t>
      </w:r>
    </w:p>
    <w:p w14:paraId="24721363" w14:textId="11096410" w:rsidR="00420DE7" w:rsidRDefault="002342B2" w:rsidP="00AD7533">
      <w:pPr>
        <w:pStyle w:val="ListBullet"/>
      </w:pPr>
      <w:r>
        <w:t>To</w:t>
      </w:r>
      <w:r w:rsidR="00CC6FAE">
        <w:t xml:space="preserve"> explore the features and characteristics of other places in the world.</w:t>
      </w:r>
    </w:p>
    <w:p w14:paraId="475E954E" w14:textId="3E259490" w:rsidR="00420DE7" w:rsidRDefault="002342B2" w:rsidP="00AD7533">
      <w:pPr>
        <w:pStyle w:val="ListBullet"/>
      </w:pPr>
      <w:r>
        <w:t>To</w:t>
      </w:r>
      <w:r w:rsidR="00CC6FAE">
        <w:t xml:space="preserve"> describe and compare the ways people from around the world interact with the places and environments they live in.</w:t>
      </w:r>
    </w:p>
    <w:p w14:paraId="1292B119" w14:textId="58AAB82B" w:rsidR="00F16BD9" w:rsidRDefault="00250E49" w:rsidP="00AD7533">
      <w:pPr>
        <w:pStyle w:val="Heading2"/>
        <w:spacing w:after="240"/>
      </w:pPr>
      <w:r>
        <w:t xml:space="preserve">NSW </w:t>
      </w:r>
      <w:r w:rsidR="00CC6FAE">
        <w:t>Geography</w:t>
      </w:r>
      <w:r>
        <w:t xml:space="preserve"> K-10 S</w:t>
      </w:r>
      <w:r w:rsidR="00F16BD9">
        <w:t xml:space="preserve">yllabus </w:t>
      </w:r>
      <w:r w:rsidR="005435FF">
        <w:t>outcomes</w:t>
      </w:r>
    </w:p>
    <w:tbl>
      <w:tblPr>
        <w:tblStyle w:val="Tableheader"/>
        <w:tblW w:w="9591" w:type="dxa"/>
        <w:tblLook w:val="04A0" w:firstRow="1" w:lastRow="0" w:firstColumn="1" w:lastColumn="0" w:noHBand="0" w:noVBand="1"/>
        <w:tblDescription w:val="A table displaying relevant NSW Geography K-10 Syllabus outcomes."/>
      </w:tblPr>
      <w:tblGrid>
        <w:gridCol w:w="4795"/>
        <w:gridCol w:w="4796"/>
      </w:tblGrid>
      <w:tr w:rsidR="00CC6FAE" w14:paraId="05DA381C" w14:textId="77777777" w:rsidTr="001E70FE">
        <w:trPr>
          <w:cnfStyle w:val="100000000000" w:firstRow="1" w:lastRow="0" w:firstColumn="0" w:lastColumn="0" w:oddVBand="0" w:evenVBand="0" w:oddHBand="0" w:evenHBand="0" w:firstRowFirstColumn="0" w:firstRowLastColumn="0" w:lastRowFirstColumn="0" w:lastRowLastColumn="0"/>
          <w:trHeight w:val="605"/>
        </w:trPr>
        <w:tc>
          <w:tcPr>
            <w:cnfStyle w:val="001000000100" w:firstRow="0" w:lastRow="0" w:firstColumn="1" w:lastColumn="0" w:oddVBand="0" w:evenVBand="0" w:oddHBand="0" w:evenHBand="0" w:firstRowFirstColumn="1" w:firstRowLastColumn="0" w:lastRowFirstColumn="0" w:lastRowLastColumn="0"/>
            <w:tcW w:w="4795" w:type="dxa"/>
          </w:tcPr>
          <w:p w14:paraId="2094D403" w14:textId="77777777" w:rsidR="00CC6FAE" w:rsidRDefault="00CC6FAE" w:rsidP="001E70FE">
            <w:pPr>
              <w:spacing w:before="192" w:after="192"/>
              <w:rPr>
                <w:lang w:eastAsia="zh-CN"/>
              </w:rPr>
            </w:pPr>
            <w:r>
              <w:rPr>
                <w:lang w:eastAsia="zh-CN"/>
              </w:rPr>
              <w:t>Stage 2 – The Earth’s Environment</w:t>
            </w:r>
          </w:p>
        </w:tc>
        <w:tc>
          <w:tcPr>
            <w:tcW w:w="4796" w:type="dxa"/>
          </w:tcPr>
          <w:p w14:paraId="08963775" w14:textId="77777777" w:rsidR="00CC6FAE" w:rsidRDefault="00CC6FAE" w:rsidP="001E70F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 – A Diverse and Connected World</w:t>
            </w:r>
          </w:p>
        </w:tc>
      </w:tr>
      <w:tr w:rsidR="00CC6FAE" w14:paraId="34BE198C" w14:textId="77777777" w:rsidTr="001E70F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795" w:type="dxa"/>
          </w:tcPr>
          <w:p w14:paraId="1FA72AEB" w14:textId="77777777" w:rsidR="00CC6FAE" w:rsidRDefault="00CC6FAE" w:rsidP="001E70FE">
            <w:pPr>
              <w:rPr>
                <w:lang w:eastAsia="zh-CN"/>
              </w:rPr>
            </w:pPr>
            <w:r w:rsidRPr="00140D53">
              <w:rPr>
                <w:lang w:eastAsia="zh-CN"/>
              </w:rPr>
              <w:t>examines features and characteristics of places and environments</w:t>
            </w:r>
            <w:r>
              <w:rPr>
                <w:lang w:eastAsia="zh-CN"/>
              </w:rPr>
              <w:t xml:space="preserve"> (GE2-1)</w:t>
            </w:r>
          </w:p>
        </w:tc>
        <w:tc>
          <w:tcPr>
            <w:tcW w:w="4796" w:type="dxa"/>
          </w:tcPr>
          <w:p w14:paraId="6B263B4E" w14:textId="77777777" w:rsidR="00CC6FAE" w:rsidRDefault="00CC6FAE" w:rsidP="001E70FE">
            <w:pPr>
              <w:cnfStyle w:val="000000100000" w:firstRow="0" w:lastRow="0" w:firstColumn="0" w:lastColumn="0" w:oddVBand="0" w:evenVBand="0" w:oddHBand="1" w:evenHBand="0" w:firstRowFirstColumn="0" w:firstRowLastColumn="0" w:lastRowFirstColumn="0" w:lastRowLastColumn="0"/>
              <w:rPr>
                <w:lang w:eastAsia="zh-CN"/>
              </w:rPr>
            </w:pPr>
            <w:r w:rsidRPr="00140D53">
              <w:rPr>
                <w:lang w:eastAsia="zh-CN"/>
              </w:rPr>
              <w:t>describes the diverse features and characteristics of places and environments</w:t>
            </w:r>
            <w:r>
              <w:rPr>
                <w:lang w:eastAsia="zh-CN"/>
              </w:rPr>
              <w:t xml:space="preserve"> (GE3-1)</w:t>
            </w:r>
          </w:p>
        </w:tc>
      </w:tr>
      <w:tr w:rsidR="00CC6FAE" w14:paraId="43B3031D" w14:textId="77777777" w:rsidTr="001E70FE">
        <w:trPr>
          <w:cnfStyle w:val="000000010000" w:firstRow="0" w:lastRow="0" w:firstColumn="0" w:lastColumn="0" w:oddVBand="0" w:evenVBand="0" w:oddHBand="0" w:evenHBand="1"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795" w:type="dxa"/>
          </w:tcPr>
          <w:p w14:paraId="7BE6CD39" w14:textId="77777777" w:rsidR="00CC6FAE" w:rsidRDefault="00CC6FAE" w:rsidP="001E70FE">
            <w:pPr>
              <w:rPr>
                <w:lang w:eastAsia="zh-CN"/>
              </w:rPr>
            </w:pPr>
            <w:r w:rsidRPr="00140D53">
              <w:rPr>
                <w:lang w:eastAsia="zh-CN"/>
              </w:rPr>
              <w:t>describes the ways people, places and environments interact</w:t>
            </w:r>
            <w:r>
              <w:rPr>
                <w:lang w:eastAsia="zh-CN"/>
              </w:rPr>
              <w:t xml:space="preserve"> (GE2-2)</w:t>
            </w:r>
          </w:p>
        </w:tc>
        <w:tc>
          <w:tcPr>
            <w:tcW w:w="4796" w:type="dxa"/>
          </w:tcPr>
          <w:p w14:paraId="605BFAD7" w14:textId="77777777" w:rsidR="00CC6FAE" w:rsidRDefault="00CC6FAE" w:rsidP="001E70FE">
            <w:pPr>
              <w:cnfStyle w:val="000000010000" w:firstRow="0" w:lastRow="0" w:firstColumn="0" w:lastColumn="0" w:oddVBand="0" w:evenVBand="0" w:oddHBand="0" w:evenHBand="1" w:firstRowFirstColumn="0" w:firstRowLastColumn="0" w:lastRowFirstColumn="0" w:lastRowLastColumn="0"/>
              <w:rPr>
                <w:lang w:eastAsia="zh-CN"/>
              </w:rPr>
            </w:pPr>
            <w:r w:rsidRPr="00140D53">
              <w:rPr>
                <w:lang w:eastAsia="zh-CN"/>
              </w:rPr>
              <w:t>explains interactions and connections between people, places and environments</w:t>
            </w:r>
            <w:r>
              <w:rPr>
                <w:lang w:eastAsia="zh-CN"/>
              </w:rPr>
              <w:t xml:space="preserve"> (GE3-2)</w:t>
            </w:r>
          </w:p>
        </w:tc>
      </w:tr>
      <w:tr w:rsidR="00CC6FAE" w14:paraId="7F3913AD" w14:textId="77777777" w:rsidTr="001E70FE">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795" w:type="dxa"/>
          </w:tcPr>
          <w:p w14:paraId="458B56C9" w14:textId="77777777" w:rsidR="00CC6FAE" w:rsidRDefault="00CC6FAE" w:rsidP="001E70FE">
            <w:pPr>
              <w:rPr>
                <w:lang w:eastAsia="zh-CN"/>
              </w:rPr>
            </w:pPr>
            <w:r w:rsidRPr="00140D53">
              <w:rPr>
                <w:lang w:eastAsia="zh-CN"/>
              </w:rPr>
              <w:t>examines differing perceptions about the management of places and environments</w:t>
            </w:r>
            <w:r>
              <w:rPr>
                <w:lang w:eastAsia="zh-CN"/>
              </w:rPr>
              <w:t xml:space="preserve"> (GE2-3)</w:t>
            </w:r>
          </w:p>
        </w:tc>
        <w:tc>
          <w:tcPr>
            <w:tcW w:w="4796" w:type="dxa"/>
          </w:tcPr>
          <w:p w14:paraId="0D8D4267" w14:textId="77777777" w:rsidR="00CC6FAE" w:rsidRDefault="00CC6FAE" w:rsidP="001E70FE">
            <w:pPr>
              <w:cnfStyle w:val="000000100000" w:firstRow="0" w:lastRow="0" w:firstColumn="0" w:lastColumn="0" w:oddVBand="0" w:evenVBand="0" w:oddHBand="1" w:evenHBand="0" w:firstRowFirstColumn="0" w:firstRowLastColumn="0" w:lastRowFirstColumn="0" w:lastRowLastColumn="0"/>
              <w:rPr>
                <w:lang w:eastAsia="zh-CN"/>
              </w:rPr>
            </w:pPr>
          </w:p>
        </w:tc>
      </w:tr>
    </w:tbl>
    <w:p w14:paraId="53F04924" w14:textId="55E6CFFB" w:rsidR="00DF13A8" w:rsidRDefault="00386C7B" w:rsidP="00AD7533">
      <w:pPr>
        <w:pStyle w:val="Copyright"/>
        <w:spacing w:before="240" w:after="240"/>
      </w:pPr>
      <w:hyperlink r:id="rId9" w:history="1">
        <w:r w:rsidR="00CC6FAE">
          <w:rPr>
            <w:rStyle w:val="Hyperlink"/>
            <w:sz w:val="20"/>
          </w:rPr>
          <w:t>NSW Geography</w:t>
        </w:r>
        <w:r w:rsidR="00CC6FAE" w:rsidRPr="00AD7533">
          <w:rPr>
            <w:rStyle w:val="Hyperlink"/>
            <w:sz w:val="20"/>
          </w:rPr>
          <w:t xml:space="preserve"> K-</w:t>
        </w:r>
        <w:r w:rsidR="00CC6FAE">
          <w:rPr>
            <w:rStyle w:val="Hyperlink"/>
            <w:sz w:val="20"/>
          </w:rPr>
          <w:t>10</w:t>
        </w:r>
        <w:r w:rsidR="00CC6FAE" w:rsidRPr="00AD7533">
          <w:rPr>
            <w:rStyle w:val="Hyperlink"/>
            <w:sz w:val="20"/>
          </w:rPr>
          <w:t xml:space="preserve"> Syllabus</w:t>
        </w:r>
      </w:hyperlink>
      <w:r w:rsidR="00AD7533" w:rsidRPr="00AD7533">
        <w:t xml:space="preserve"> © 20</w:t>
      </w:r>
      <w:r w:rsidR="00CC6FAE">
        <w:t>15</w:t>
      </w:r>
      <w:r w:rsidR="00AD7533" w:rsidRPr="00AD7533">
        <w:t xml:space="preserve"> NSW Education Standards Authority (NESA) for and on behalf of the Crown in right of the State of New South Wales. See the </w:t>
      </w:r>
      <w:hyperlink r:id="rId10" w:history="1">
        <w:r w:rsidR="00AD7533" w:rsidRPr="00AD7533">
          <w:rPr>
            <w:rStyle w:val="Hyperlink"/>
            <w:sz w:val="20"/>
          </w:rPr>
          <w:t>NESA website</w:t>
        </w:r>
      </w:hyperlink>
      <w:r w:rsidR="00AD7533" w:rsidRPr="00AD7533">
        <w:t xml:space="preserve"> for additional copyright information.</w:t>
      </w:r>
    </w:p>
    <w:p w14:paraId="4432C81D" w14:textId="77777777" w:rsidR="00AD7533" w:rsidRPr="00AD7533" w:rsidRDefault="00AD7533" w:rsidP="00AD7533"/>
    <w:sectPr w:rsidR="00AD7533" w:rsidRPr="00AD7533"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00B74" w14:textId="77777777" w:rsidR="00386C7B" w:rsidRDefault="00386C7B" w:rsidP="00191F45">
      <w:r>
        <w:separator/>
      </w:r>
    </w:p>
    <w:p w14:paraId="17941837" w14:textId="77777777" w:rsidR="00386C7B" w:rsidRDefault="00386C7B"/>
    <w:p w14:paraId="2771BCDD" w14:textId="77777777" w:rsidR="00386C7B" w:rsidRDefault="00386C7B"/>
    <w:p w14:paraId="51673DAE" w14:textId="77777777" w:rsidR="00386C7B" w:rsidRDefault="00386C7B"/>
  </w:endnote>
  <w:endnote w:type="continuationSeparator" w:id="0">
    <w:p w14:paraId="656D1766" w14:textId="77777777" w:rsidR="00386C7B" w:rsidRDefault="00386C7B" w:rsidP="00191F45">
      <w:r>
        <w:continuationSeparator/>
      </w:r>
    </w:p>
    <w:p w14:paraId="25279ECA" w14:textId="77777777" w:rsidR="00386C7B" w:rsidRDefault="00386C7B"/>
    <w:p w14:paraId="7C037E8D" w14:textId="77777777" w:rsidR="00386C7B" w:rsidRDefault="00386C7B"/>
    <w:p w14:paraId="2D1AD8E4" w14:textId="77777777" w:rsidR="00386C7B" w:rsidRDefault="00386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9584" w14:textId="5E1155C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35C5C">
      <w:rPr>
        <w:noProof/>
      </w:rPr>
      <w:t>2</w:t>
    </w:r>
    <w:r w:rsidRPr="002810D3">
      <w:fldChar w:fldCharType="end"/>
    </w:r>
    <w:r w:rsidRPr="002810D3">
      <w:tab/>
    </w:r>
    <w:r w:rsidR="00845856" w:rsidRPr="00845856">
      <w:t>ABC TV Education resources – 199 Little Heroes – Iraq</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B874" w14:textId="36E0C979"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B35C5C">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47C4"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1F44AFEA" wp14:editId="291D6D5D">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A3C30" w14:textId="77777777" w:rsidR="00386C7B" w:rsidRDefault="00386C7B" w:rsidP="00191F45">
      <w:r>
        <w:separator/>
      </w:r>
    </w:p>
    <w:p w14:paraId="3D33F1A7" w14:textId="77777777" w:rsidR="00386C7B" w:rsidRDefault="00386C7B"/>
    <w:p w14:paraId="0CCA62F2" w14:textId="77777777" w:rsidR="00386C7B" w:rsidRDefault="00386C7B"/>
    <w:p w14:paraId="4B429822" w14:textId="77777777" w:rsidR="00386C7B" w:rsidRDefault="00386C7B"/>
  </w:footnote>
  <w:footnote w:type="continuationSeparator" w:id="0">
    <w:p w14:paraId="44CCC28D" w14:textId="77777777" w:rsidR="00386C7B" w:rsidRDefault="00386C7B" w:rsidP="00191F45">
      <w:r>
        <w:continuationSeparator/>
      </w:r>
    </w:p>
    <w:p w14:paraId="7E5064CC" w14:textId="77777777" w:rsidR="00386C7B" w:rsidRDefault="00386C7B"/>
    <w:p w14:paraId="6D37F48C" w14:textId="77777777" w:rsidR="00386C7B" w:rsidRDefault="00386C7B"/>
    <w:p w14:paraId="16AD843D" w14:textId="77777777" w:rsidR="00386C7B" w:rsidRDefault="00386C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1FF1"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C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00B"/>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62F"/>
    <w:rsid w:val="001669A9"/>
    <w:rsid w:val="0017075C"/>
    <w:rsid w:val="00170CB5"/>
    <w:rsid w:val="00171601"/>
    <w:rsid w:val="00174183"/>
    <w:rsid w:val="001753CA"/>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3D38"/>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046AB"/>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D32"/>
    <w:rsid w:val="003807AF"/>
    <w:rsid w:val="00380856"/>
    <w:rsid w:val="00380E60"/>
    <w:rsid w:val="00380EAE"/>
    <w:rsid w:val="00382A6F"/>
    <w:rsid w:val="00382C57"/>
    <w:rsid w:val="00383B5F"/>
    <w:rsid w:val="00384483"/>
    <w:rsid w:val="0038499A"/>
    <w:rsid w:val="00384F53"/>
    <w:rsid w:val="00386C7B"/>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B7BC9"/>
    <w:rsid w:val="005C1BFC"/>
    <w:rsid w:val="005C7B55"/>
    <w:rsid w:val="005D0175"/>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5856"/>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54B"/>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5C5C"/>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48"/>
    <w:rsid w:val="00C928A8"/>
    <w:rsid w:val="00C93044"/>
    <w:rsid w:val="00C95246"/>
    <w:rsid w:val="00CA103E"/>
    <w:rsid w:val="00CA6C45"/>
    <w:rsid w:val="00CA74F6"/>
    <w:rsid w:val="00CA7603"/>
    <w:rsid w:val="00CB12E3"/>
    <w:rsid w:val="00CB13C5"/>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6FAE"/>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4F24"/>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0001"/>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4609"/>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4F12"/>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441"/>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DC1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154469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199-little-hero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hsie/geography-k-10/content/1183"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F6DD-3859-4A76-A1AF-A833E464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 Little Heroes – Iraq</dc:title>
  <dc:subject/>
  <dc:creator>NSW Department of Education</dc:creator>
  <cp:keywords/>
  <dc:description/>
  <cp:lastModifiedBy/>
  <cp:revision>1</cp:revision>
  <dcterms:created xsi:type="dcterms:W3CDTF">2020-06-03T04:33:00Z</dcterms:created>
  <dcterms:modified xsi:type="dcterms:W3CDTF">2020-06-03T04:33:00Z</dcterms:modified>
  <cp:category/>
</cp:coreProperties>
</file>