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457A65A0" w:rsidR="00856CD8" w:rsidRDefault="008419A4" w:rsidP="00856CD8">
      <w:pPr>
        <w:pStyle w:val="Heading1"/>
      </w:pPr>
      <w:bookmarkStart w:id="0" w:name="_GoBack"/>
      <w:bookmarkEnd w:id="0"/>
      <w:r>
        <w:t>The House In S</w:t>
      </w:r>
      <w:r w:rsidR="00132FB9">
        <w:t>ession – The Senate</w:t>
      </w:r>
    </w:p>
    <w:p w14:paraId="6ABB658F" w14:textId="40F3B1A6"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132FB9">
        <w:rPr>
          <w:rStyle w:val="Strong"/>
          <w:b w:val="0"/>
        </w:rPr>
        <w:t>Wednes</w:t>
      </w:r>
      <w:r w:rsidR="007D3B29">
        <w:rPr>
          <w:rStyle w:val="Strong"/>
          <w:b w:val="0"/>
        </w:rPr>
        <w:t>day</w:t>
      </w:r>
      <w:r w:rsidR="00132FB9">
        <w:t xml:space="preserve"> 27</w:t>
      </w:r>
      <w:r w:rsidR="00250E49" w:rsidRPr="00250E49">
        <w:t xml:space="preserve"> </w:t>
      </w:r>
      <w:r w:rsidR="007D3B29">
        <w:t>M</w:t>
      </w:r>
      <w:r w:rsidR="00132FB9">
        <w:t>ay</w:t>
      </w:r>
      <w:r w:rsidR="00076473">
        <w:t xml:space="preserve">, 2020 at </w:t>
      </w:r>
      <w:r w:rsidR="00132FB9">
        <w:t>12</w:t>
      </w:r>
      <w:r w:rsidR="007D3B29">
        <w:t>:</w:t>
      </w:r>
      <w:r w:rsidR="00132FB9">
        <w:t>05p</w:t>
      </w:r>
      <w:r w:rsidR="00250E49">
        <w:t>m</w:t>
      </w:r>
    </w:p>
    <w:p w14:paraId="7FCE5DDE" w14:textId="3291FEAF"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6C29CE27" w:rsidR="00F071CD" w:rsidRDefault="00F071CD" w:rsidP="0026503F">
      <w:pPr>
        <w:pStyle w:val="FeatureBox"/>
      </w:pPr>
      <w:r>
        <w:rPr>
          <w:rStyle w:val="Strong"/>
        </w:rPr>
        <w:t xml:space="preserve">Key learning areas: </w:t>
      </w:r>
      <w:r w:rsidR="00132FB9">
        <w:t>Commerce</w:t>
      </w:r>
    </w:p>
    <w:p w14:paraId="5B1EE6A4" w14:textId="18AB3F3C" w:rsidR="0026503F" w:rsidRPr="0026503F" w:rsidRDefault="0026503F" w:rsidP="0026503F">
      <w:pPr>
        <w:pStyle w:val="FeatureBox"/>
      </w:pPr>
      <w:r w:rsidRPr="0026503F">
        <w:rPr>
          <w:b/>
        </w:rPr>
        <w:t>Level:</w:t>
      </w:r>
      <w:r w:rsidR="008356E4">
        <w:t xml:space="preserve"> S</w:t>
      </w:r>
      <w:r w:rsidRPr="0026503F">
        <w:t>econdary</w:t>
      </w:r>
    </w:p>
    <w:p w14:paraId="65B45B19" w14:textId="2E813939" w:rsidR="005203DC" w:rsidRDefault="005203DC" w:rsidP="0026503F">
      <w:pPr>
        <w:pStyle w:val="FeatureBox"/>
      </w:pPr>
      <w:r w:rsidRPr="4525DF94">
        <w:rPr>
          <w:rStyle w:val="Strong"/>
        </w:rPr>
        <w:t xml:space="preserve">About: </w:t>
      </w:r>
      <w:r w:rsidR="00132FB9" w:rsidRPr="00132FB9">
        <w:t>The Australian Parliament has two chambers. The House of Representatives, which makes laws and votes on them. And the Senate, whose job it is to check the work of the House of Representatives. Learn more about the Senate.</w:t>
      </w:r>
    </w:p>
    <w:p w14:paraId="33808BD4" w14:textId="08828501" w:rsidR="00BE5959" w:rsidRDefault="00BE5959" w:rsidP="00BE5959">
      <w:pPr>
        <w:pStyle w:val="Heading2"/>
      </w:pPr>
      <w:r>
        <w:t>Before the episode</w:t>
      </w:r>
    </w:p>
    <w:p w14:paraId="12353149" w14:textId="2820B02B" w:rsidR="00BE5959" w:rsidRDefault="00132FB9" w:rsidP="0026503F">
      <w:pPr>
        <w:pStyle w:val="ListNumber"/>
      </w:pPr>
      <w:r>
        <w:t xml:space="preserve">Identify as many facts as you can about the </w:t>
      </w:r>
      <w:r w:rsidR="002C0DEB">
        <w:t>two</w:t>
      </w:r>
      <w:r>
        <w:t xml:space="preserve"> chambers of the House in the table below</w:t>
      </w:r>
    </w:p>
    <w:tbl>
      <w:tblPr>
        <w:tblStyle w:val="Tableheader"/>
        <w:tblW w:w="0" w:type="auto"/>
        <w:tblLook w:val="04A0" w:firstRow="1" w:lastRow="0" w:firstColumn="1" w:lastColumn="0" w:noHBand="0" w:noVBand="1"/>
        <w:tblCaption w:val="answer space"/>
      </w:tblPr>
      <w:tblGrid>
        <w:gridCol w:w="4811"/>
        <w:gridCol w:w="4811"/>
      </w:tblGrid>
      <w:tr w:rsidR="00132FB9" w14:paraId="314FE1A9" w14:textId="77777777" w:rsidTr="002C0DE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096BFE4D" w14:textId="53EB234C" w:rsidR="00132FB9" w:rsidRDefault="00132FB9" w:rsidP="00132FB9">
            <w:pPr>
              <w:pStyle w:val="ListNumber"/>
              <w:numPr>
                <w:ilvl w:val="0"/>
                <w:numId w:val="0"/>
              </w:numPr>
              <w:spacing w:before="192" w:after="192"/>
            </w:pPr>
            <w:r>
              <w:t>House of Representatives</w:t>
            </w:r>
          </w:p>
        </w:tc>
        <w:tc>
          <w:tcPr>
            <w:tcW w:w="4811" w:type="dxa"/>
          </w:tcPr>
          <w:p w14:paraId="0F07979B" w14:textId="7E59125A" w:rsidR="00132FB9" w:rsidRDefault="00132FB9" w:rsidP="00132FB9">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Senate</w:t>
            </w:r>
          </w:p>
        </w:tc>
      </w:tr>
      <w:tr w:rsidR="00132FB9" w14:paraId="523C32D8" w14:textId="77777777"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090EDC1" w14:textId="77777777" w:rsidR="00132FB9" w:rsidRDefault="00132FB9" w:rsidP="00132FB9">
            <w:pPr>
              <w:pStyle w:val="ListNumber"/>
              <w:numPr>
                <w:ilvl w:val="0"/>
                <w:numId w:val="0"/>
              </w:numPr>
            </w:pPr>
          </w:p>
        </w:tc>
        <w:tc>
          <w:tcPr>
            <w:tcW w:w="4811" w:type="dxa"/>
          </w:tcPr>
          <w:p w14:paraId="32FDEB64" w14:textId="77777777" w:rsidR="00132FB9" w:rsidRDefault="00132FB9" w:rsidP="00132FB9">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132FB9" w14:paraId="6B172727" w14:textId="77777777" w:rsidTr="002C0D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A77684D" w14:textId="77777777" w:rsidR="00132FB9" w:rsidRDefault="00132FB9" w:rsidP="00132FB9">
            <w:pPr>
              <w:pStyle w:val="ListNumber"/>
              <w:numPr>
                <w:ilvl w:val="0"/>
                <w:numId w:val="0"/>
              </w:numPr>
            </w:pPr>
          </w:p>
        </w:tc>
        <w:tc>
          <w:tcPr>
            <w:tcW w:w="4811" w:type="dxa"/>
          </w:tcPr>
          <w:p w14:paraId="01E93807" w14:textId="77777777" w:rsidR="00132FB9" w:rsidRDefault="00132FB9" w:rsidP="00132FB9">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132FB9" w14:paraId="1E303CE7" w14:textId="77777777" w:rsidTr="002C0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245EF5D" w14:textId="77777777" w:rsidR="00132FB9" w:rsidRDefault="00132FB9" w:rsidP="00132FB9">
            <w:pPr>
              <w:pStyle w:val="ListNumber"/>
              <w:numPr>
                <w:ilvl w:val="0"/>
                <w:numId w:val="0"/>
              </w:numPr>
            </w:pPr>
          </w:p>
        </w:tc>
        <w:tc>
          <w:tcPr>
            <w:tcW w:w="4811" w:type="dxa"/>
          </w:tcPr>
          <w:p w14:paraId="7FFCBECA" w14:textId="77777777" w:rsidR="00132FB9" w:rsidRDefault="00132FB9" w:rsidP="00132FB9">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3BDE39A" w14:textId="2B0D95F8" w:rsidR="008C4358" w:rsidRPr="0026503F" w:rsidRDefault="00132FB9" w:rsidP="00132FB9">
      <w:pPr>
        <w:pStyle w:val="ListNumber"/>
      </w:pPr>
      <w:r>
        <w:t>Use the space below to describe what you already know about the role of each house</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t>During</w:t>
      </w:r>
      <w:r w:rsidRPr="00BE5959">
        <w:t xml:space="preserve"> the episode</w:t>
      </w:r>
    </w:p>
    <w:p w14:paraId="770C6150" w14:textId="02B67DB3" w:rsidR="00BE5959" w:rsidRDefault="00E2484B" w:rsidP="0026503F">
      <w:pPr>
        <w:pStyle w:val="ListNumber"/>
        <w:numPr>
          <w:ilvl w:val="0"/>
          <w:numId w:val="35"/>
        </w:numPr>
      </w:pPr>
      <w:r>
        <w:t xml:space="preserve">Identify the colour for each </w:t>
      </w:r>
      <w:r w:rsidR="00006718">
        <w:t xml:space="preserve">chamber </w:t>
      </w:r>
      <w:r w:rsidR="007718E6">
        <w:t>house</w:t>
      </w:r>
    </w:p>
    <w:p w14:paraId="5FF60B88" w14:textId="41C208BA" w:rsidR="007718E6" w:rsidRDefault="007718E6" w:rsidP="007718E6">
      <w:pPr>
        <w:pStyle w:val="ListNumber2"/>
      </w:pPr>
      <w:r>
        <w:t>House of Representatives</w:t>
      </w:r>
      <w:r w:rsidR="00006718">
        <w:tab/>
        <w:t>____________________________</w:t>
      </w:r>
    </w:p>
    <w:p w14:paraId="7965A355" w14:textId="46C8ECB6" w:rsidR="007718E6" w:rsidRPr="0026503F" w:rsidRDefault="007718E6" w:rsidP="007718E6">
      <w:pPr>
        <w:pStyle w:val="ListNumber2"/>
      </w:pPr>
      <w:r>
        <w:t>Senate</w:t>
      </w:r>
      <w:r w:rsidR="00006718">
        <w:tab/>
        <w:t>____________________________</w:t>
      </w:r>
    </w:p>
    <w:p w14:paraId="2EA61950" w14:textId="45C3FD32" w:rsidR="00BE5959" w:rsidRDefault="007718E6" w:rsidP="0026503F">
      <w:pPr>
        <w:pStyle w:val="ListNumber"/>
      </w:pPr>
      <w:r>
        <w:t>Define the role of the Senate</w:t>
      </w:r>
    </w:p>
    <w:p w14:paraId="0AD5394A" w14:textId="5059A541" w:rsidR="007718E6" w:rsidRPr="0026503F" w:rsidRDefault="007718E6" w:rsidP="0026503F">
      <w:pPr>
        <w:pStyle w:val="ListNumber"/>
      </w:pPr>
      <w:r>
        <w:lastRenderedPageBreak/>
        <w:t>Explain the term ‘cross-bench’</w:t>
      </w:r>
    </w:p>
    <w:p w14:paraId="128FBB37" w14:textId="1E0D5377" w:rsidR="008C4358" w:rsidRDefault="007718E6" w:rsidP="0026503F">
      <w:pPr>
        <w:pStyle w:val="ListNumber"/>
      </w:pPr>
      <w:r>
        <w:t>Identify the job title of the person in charge of the Senate</w:t>
      </w:r>
    </w:p>
    <w:p w14:paraId="0047B88D" w14:textId="013D7D96" w:rsidR="007718E6" w:rsidRDefault="004F3C21" w:rsidP="0026503F">
      <w:pPr>
        <w:pStyle w:val="ListNumber"/>
      </w:pPr>
      <w:r>
        <w:t>Outline an ‘amendment’ and its purpose</w:t>
      </w:r>
    </w:p>
    <w:p w14:paraId="2F07983E" w14:textId="5E526C4D" w:rsidR="004F3C21" w:rsidRPr="0026503F" w:rsidRDefault="004F3C21" w:rsidP="0026503F">
      <w:pPr>
        <w:pStyle w:val="ListNumber"/>
      </w:pPr>
      <w:r>
        <w:t>Why is communication between the two chambers so complicated?</w:t>
      </w:r>
    </w:p>
    <w:p w14:paraId="78D48525" w14:textId="07F501DD" w:rsidR="00BE5959" w:rsidRDefault="00BE5959" w:rsidP="00BE5959">
      <w:pPr>
        <w:pStyle w:val="Heading2"/>
      </w:pPr>
      <w:r>
        <w:t>After the episode</w:t>
      </w:r>
    </w:p>
    <w:p w14:paraId="0DD51103" w14:textId="506DE472" w:rsidR="00676F86" w:rsidRDefault="007718E6" w:rsidP="007D3B29">
      <w:pPr>
        <w:pStyle w:val="ListNumber"/>
        <w:numPr>
          <w:ilvl w:val="0"/>
          <w:numId w:val="38"/>
        </w:numPr>
      </w:pPr>
      <w:r>
        <w:t>Draw a flow chart which shows the path of an amendment between the two chambers</w:t>
      </w:r>
    </w:p>
    <w:p w14:paraId="22E1CF9E" w14:textId="37FBE1AE" w:rsidR="008419A4" w:rsidRDefault="008419A4" w:rsidP="008419A4">
      <w:pPr>
        <w:pStyle w:val="ListNumber"/>
        <w:numPr>
          <w:ilvl w:val="0"/>
          <w:numId w:val="0"/>
        </w:numPr>
        <w:ind w:left="652" w:hanging="368"/>
      </w:pPr>
    </w:p>
    <w:p w14:paraId="13E96EAD" w14:textId="73CFD05B" w:rsidR="008419A4" w:rsidRDefault="008419A4" w:rsidP="008419A4">
      <w:pPr>
        <w:pStyle w:val="ListNumber"/>
        <w:numPr>
          <w:ilvl w:val="0"/>
          <w:numId w:val="0"/>
        </w:numPr>
      </w:pPr>
      <w:r w:rsidRPr="009861DB">
        <w:rPr>
          <w:noProof/>
          <w:lang w:eastAsia="en-AU"/>
        </w:rPr>
        <mc:AlternateContent>
          <mc:Choice Requires="wps">
            <w:drawing>
              <wp:inline distT="0" distB="0" distL="0" distR="0" wp14:anchorId="543685F1" wp14:editId="5724A3D9">
                <wp:extent cx="6116320" cy="5074276"/>
                <wp:effectExtent l="0" t="0" r="17780" b="1270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074276"/>
                        </a:xfrm>
                        <a:prstGeom prst="rect">
                          <a:avLst/>
                        </a:prstGeom>
                        <a:solidFill>
                          <a:srgbClr val="FFFFFF"/>
                        </a:solidFill>
                        <a:ln w="9525">
                          <a:solidFill>
                            <a:srgbClr val="000000"/>
                          </a:solidFill>
                          <a:miter lim="800000"/>
                          <a:headEnd/>
                          <a:tailEnd/>
                        </a:ln>
                      </wps:spPr>
                      <wps:txbx>
                        <w:txbxContent>
                          <w:p w14:paraId="5F094AD5" w14:textId="77777777" w:rsidR="008419A4" w:rsidRDefault="008419A4" w:rsidP="008419A4"/>
                        </w:txbxContent>
                      </wps:txbx>
                      <wps:bodyPr rot="0" vert="horz" wrap="square" lIns="91440" tIns="45720" rIns="91440" bIns="45720" anchor="t" anchorCtr="0">
                        <a:noAutofit/>
                      </wps:bodyPr>
                    </wps:wsp>
                  </a:graphicData>
                </a:graphic>
              </wp:inline>
            </w:drawing>
          </mc:Choice>
          <mc:Fallback>
            <w:pict>
              <v:shapetype w14:anchorId="543685F1" id="_x0000_t202" coordsize="21600,21600" o:spt="202" path="m,l,21600r21600,l21600,xe">
                <v:stroke joinstyle="miter"/>
                <v:path gradientshapeok="t" o:connecttype="rect"/>
              </v:shapetype>
              <v:shape id="_x0000_s1027" type="#_x0000_t202" alt="A blank text box for students to respond" style="width:481.6pt;height:3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">
                <v:textbox>
                  <w:txbxContent>
                    <w:p w14:paraId="5F094AD5" w14:textId="77777777" w:rsidR="008419A4" w:rsidRDefault="008419A4" w:rsidP="008419A4"/>
                  </w:txbxContent>
                </v:textbox>
                <w10:anchorlock/>
              </v:shape>
            </w:pict>
          </mc:Fallback>
        </mc:AlternateContent>
      </w:r>
    </w:p>
    <w:p w14:paraId="426C0DBC" w14:textId="758BCC9F" w:rsidR="008419A4" w:rsidRDefault="008419A4" w:rsidP="008419A4">
      <w:pPr>
        <w:pStyle w:val="ListNumber"/>
        <w:numPr>
          <w:ilvl w:val="0"/>
          <w:numId w:val="0"/>
        </w:numPr>
      </w:pPr>
    </w:p>
    <w:p w14:paraId="158E288E" w14:textId="0A2B1A53" w:rsidR="00F16BD9" w:rsidRDefault="00BE5959" w:rsidP="00F071CD">
      <w:pPr>
        <w:pStyle w:val="FeatureBox2"/>
      </w:pPr>
      <w:r w:rsidRPr="00BE5959">
        <w:rPr>
          <w:rStyle w:val="Strong"/>
        </w:rPr>
        <w:t>Follow-up activity:</w:t>
      </w:r>
      <w:r w:rsidR="00676F86">
        <w:t xml:space="preserve"> </w:t>
      </w:r>
      <w:r w:rsidR="00AE2E48">
        <w:t xml:space="preserve">Research the path to becoming a senator.  How is it different from being a member of the House of Representatives? </w:t>
      </w:r>
    </w:p>
    <w:p w14:paraId="2D1B90DB" w14:textId="77777777" w:rsidR="00006718" w:rsidRDefault="00006718">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367B23DC"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37646938" w:rsidR="00420DE7" w:rsidRDefault="00132FB9" w:rsidP="00420DE7">
      <w:pPr>
        <w:pStyle w:val="ListBullet"/>
        <w:rPr>
          <w:lang w:eastAsia="zh-CN"/>
        </w:rPr>
      </w:pPr>
      <w:r>
        <w:rPr>
          <w:lang w:eastAsia="zh-CN"/>
        </w:rPr>
        <w:t>To examine th</w:t>
      </w:r>
      <w:r w:rsidR="00F10649">
        <w:rPr>
          <w:lang w:eastAsia="zh-CN"/>
        </w:rPr>
        <w:t>e features of the senate and it</w:t>
      </w:r>
      <w:r>
        <w:rPr>
          <w:lang w:eastAsia="zh-CN"/>
        </w:rPr>
        <w:t>s role in policy and law making for Australia</w:t>
      </w:r>
      <w:r w:rsidR="00E2484B">
        <w:rPr>
          <w:lang w:eastAsia="zh-CN"/>
        </w:rPr>
        <w:t>.</w:t>
      </w:r>
    </w:p>
    <w:p w14:paraId="15976B43" w14:textId="3B62F0D3" w:rsidR="0035264F" w:rsidRDefault="00AE2E48" w:rsidP="0035264F">
      <w:pPr>
        <w:pStyle w:val="ListBullet"/>
        <w:rPr>
          <w:lang w:eastAsia="zh-CN"/>
        </w:rPr>
      </w:pPr>
      <w:r>
        <w:rPr>
          <w:lang w:eastAsia="zh-CN"/>
        </w:rPr>
        <w:t>Identify decision making processes and problem solving undertaken within the parliamentary system.</w:t>
      </w:r>
    </w:p>
    <w:p w14:paraId="03A9BAAC" w14:textId="5B0F1EA4" w:rsidR="00F16BD9" w:rsidRDefault="00132FB9" w:rsidP="756A41F0">
      <w:pPr>
        <w:pStyle w:val="Heading2"/>
      </w:pPr>
      <w:r>
        <w:t>NSW Commerce</w:t>
      </w:r>
      <w:r w:rsidR="00250E49">
        <w:t xml:space="preserve"> </w:t>
      </w:r>
      <w:r>
        <w:t>7</w:t>
      </w:r>
      <w:r w:rsidR="00250E49">
        <w:t>-10 S</w:t>
      </w:r>
      <w:r w:rsidR="00F16BD9">
        <w:t xml:space="preserve">yllabus </w:t>
      </w:r>
      <w:r w:rsidR="005435FF">
        <w:t>outcomes</w:t>
      </w:r>
    </w:p>
    <w:tbl>
      <w:tblPr>
        <w:tblStyle w:val="Tableheader"/>
        <w:tblW w:w="5000" w:type="pct"/>
        <w:tblLook w:val="0420" w:firstRow="1" w:lastRow="0" w:firstColumn="0" w:lastColumn="0" w:noHBand="0" w:noVBand="1"/>
        <w:tblDescription w:val="Syllabus outcomes"/>
      </w:tblPr>
      <w:tblGrid>
        <w:gridCol w:w="4816"/>
        <w:gridCol w:w="4816"/>
      </w:tblGrid>
      <w:tr w:rsidR="00132FB9" w14:paraId="585C42AB" w14:textId="77777777" w:rsidTr="00132FB9">
        <w:trPr>
          <w:cnfStyle w:val="100000000000" w:firstRow="1" w:lastRow="0" w:firstColumn="0" w:lastColumn="0" w:oddVBand="0" w:evenVBand="0" w:oddHBand="0" w:evenHBand="0" w:firstRowFirstColumn="0" w:firstRowLastColumn="0" w:lastRowFirstColumn="0" w:lastRowLastColumn="0"/>
          <w:trHeight w:val="611"/>
        </w:trPr>
        <w:tc>
          <w:tcPr>
            <w:tcW w:w="2500" w:type="pct"/>
          </w:tcPr>
          <w:p w14:paraId="5C7BFD9B" w14:textId="389C9A8F" w:rsidR="00132FB9" w:rsidRDefault="00653C94" w:rsidP="00F16BD9">
            <w:pPr>
              <w:rPr>
                <w:lang w:eastAsia="zh-CN"/>
              </w:rPr>
            </w:pPr>
            <w:r>
              <w:rPr>
                <w:lang w:eastAsia="zh-CN"/>
              </w:rPr>
              <w:t>Stage 4</w:t>
            </w:r>
          </w:p>
        </w:tc>
        <w:tc>
          <w:tcPr>
            <w:tcW w:w="2500" w:type="pct"/>
          </w:tcPr>
          <w:p w14:paraId="1BBD10DB" w14:textId="09856E79" w:rsidR="00132FB9" w:rsidRDefault="00653C94" w:rsidP="00F16BD9">
            <w:pPr>
              <w:rPr>
                <w:lang w:eastAsia="zh-CN"/>
              </w:rPr>
            </w:pPr>
            <w:r>
              <w:rPr>
                <w:lang w:eastAsia="zh-CN"/>
              </w:rPr>
              <w:t>Stage 5</w:t>
            </w:r>
          </w:p>
        </w:tc>
      </w:tr>
      <w:tr w:rsidR="00AE2E48" w14:paraId="79A59143" w14:textId="77777777" w:rsidTr="00132FB9">
        <w:trPr>
          <w:cnfStyle w:val="000000100000" w:firstRow="0" w:lastRow="0" w:firstColumn="0" w:lastColumn="0" w:oddVBand="0" w:evenVBand="0" w:oddHBand="1" w:evenHBand="0" w:firstRowFirstColumn="0" w:firstRowLastColumn="0" w:lastRowFirstColumn="0" w:lastRowLastColumn="0"/>
          <w:trHeight w:val="470"/>
        </w:trPr>
        <w:tc>
          <w:tcPr>
            <w:tcW w:w="2500" w:type="pct"/>
            <w:vAlign w:val="top"/>
          </w:tcPr>
          <w:p w14:paraId="6C1CF593" w14:textId="14A967EF" w:rsidR="00AE2E48" w:rsidRPr="00AE2E48" w:rsidRDefault="00AE2E48" w:rsidP="00AE2E48">
            <w:pPr>
              <w:spacing w:line="276" w:lineRule="auto"/>
              <w:rPr>
                <w:b/>
                <w:sz w:val="20"/>
                <w:szCs w:val="20"/>
              </w:rPr>
            </w:pPr>
            <w:r>
              <w:rPr>
                <w:b/>
                <w:sz w:val="20"/>
                <w:szCs w:val="20"/>
              </w:rPr>
              <w:t xml:space="preserve">COM4-3 </w:t>
            </w:r>
            <w:r>
              <w:rPr>
                <w:sz w:val="20"/>
                <w:szCs w:val="20"/>
              </w:rPr>
              <w:t>identifies the role of the law in society</w:t>
            </w:r>
          </w:p>
        </w:tc>
        <w:tc>
          <w:tcPr>
            <w:tcW w:w="2500" w:type="pct"/>
            <w:vAlign w:val="top"/>
          </w:tcPr>
          <w:p w14:paraId="2E060995" w14:textId="065588BE" w:rsidR="00AE2E48" w:rsidRPr="00AE2E48" w:rsidRDefault="00AE2E48" w:rsidP="00AE2E48">
            <w:pPr>
              <w:spacing w:line="276" w:lineRule="auto"/>
              <w:rPr>
                <w:b/>
                <w:sz w:val="20"/>
                <w:szCs w:val="20"/>
              </w:rPr>
            </w:pPr>
            <w:r>
              <w:rPr>
                <w:b/>
                <w:sz w:val="20"/>
                <w:szCs w:val="20"/>
              </w:rPr>
              <w:t xml:space="preserve">COM5-3 </w:t>
            </w:r>
            <w:r>
              <w:rPr>
                <w:sz w:val="20"/>
                <w:szCs w:val="20"/>
              </w:rPr>
              <w:t>examines the role of law in society</w:t>
            </w:r>
          </w:p>
        </w:tc>
      </w:tr>
      <w:tr w:rsidR="00AE2E48" w14:paraId="33460CD1" w14:textId="77777777" w:rsidTr="00132FB9">
        <w:trPr>
          <w:cnfStyle w:val="000000010000" w:firstRow="0" w:lastRow="0" w:firstColumn="0" w:lastColumn="0" w:oddVBand="0" w:evenVBand="0" w:oddHBand="0" w:evenHBand="1" w:firstRowFirstColumn="0" w:firstRowLastColumn="0" w:lastRowFirstColumn="0" w:lastRowLastColumn="0"/>
          <w:trHeight w:val="460"/>
        </w:trPr>
        <w:tc>
          <w:tcPr>
            <w:tcW w:w="2500" w:type="pct"/>
            <w:vAlign w:val="top"/>
          </w:tcPr>
          <w:p w14:paraId="48D2063B" w14:textId="611FC137" w:rsidR="00AE2E48" w:rsidRPr="00592F55" w:rsidRDefault="00AE2E48" w:rsidP="00AE2E48">
            <w:pPr>
              <w:spacing w:line="276" w:lineRule="auto"/>
            </w:pPr>
            <w:r>
              <w:rPr>
                <w:b/>
                <w:sz w:val="20"/>
                <w:szCs w:val="20"/>
              </w:rPr>
              <w:t xml:space="preserve">COM4-4 </w:t>
            </w:r>
            <w:r>
              <w:rPr>
                <w:sz w:val="20"/>
                <w:szCs w:val="20"/>
              </w:rPr>
              <w:t>describes key factors affecting decisions</w:t>
            </w:r>
          </w:p>
        </w:tc>
        <w:tc>
          <w:tcPr>
            <w:tcW w:w="2500" w:type="pct"/>
            <w:vAlign w:val="top"/>
          </w:tcPr>
          <w:p w14:paraId="3C45DB27" w14:textId="33635B85" w:rsidR="00AE2E48" w:rsidRPr="00592F55" w:rsidRDefault="00AE2E48" w:rsidP="00AE2E48">
            <w:pPr>
              <w:spacing w:line="276" w:lineRule="auto"/>
            </w:pPr>
            <w:r>
              <w:rPr>
                <w:b/>
                <w:sz w:val="20"/>
                <w:szCs w:val="20"/>
              </w:rPr>
              <w:t xml:space="preserve">COM5-4 </w:t>
            </w:r>
            <w:r>
              <w:rPr>
                <w:sz w:val="20"/>
                <w:szCs w:val="20"/>
              </w:rPr>
              <w:t>analyses key factors affecting decisions</w:t>
            </w:r>
          </w:p>
        </w:tc>
      </w:tr>
      <w:tr w:rsidR="00AE2E48" w14:paraId="32554811" w14:textId="77777777" w:rsidTr="00132FB9">
        <w:trPr>
          <w:cnfStyle w:val="000000100000" w:firstRow="0" w:lastRow="0" w:firstColumn="0" w:lastColumn="0" w:oddVBand="0" w:evenVBand="0" w:oddHBand="1" w:evenHBand="0" w:firstRowFirstColumn="0" w:firstRowLastColumn="0" w:lastRowFirstColumn="0" w:lastRowLastColumn="0"/>
          <w:trHeight w:val="460"/>
        </w:trPr>
        <w:tc>
          <w:tcPr>
            <w:tcW w:w="2500" w:type="pct"/>
            <w:vAlign w:val="top"/>
          </w:tcPr>
          <w:p w14:paraId="3CC70A90" w14:textId="19C6F58D" w:rsidR="00AE2E48" w:rsidRPr="00592F55" w:rsidRDefault="00AE2E48" w:rsidP="00AE2E48">
            <w:pPr>
              <w:spacing w:line="276" w:lineRule="auto"/>
            </w:pPr>
            <w:r>
              <w:rPr>
                <w:b/>
                <w:sz w:val="20"/>
                <w:szCs w:val="20"/>
              </w:rPr>
              <w:t xml:space="preserve">COM4-5 </w:t>
            </w:r>
            <w:r>
              <w:rPr>
                <w:sz w:val="20"/>
                <w:szCs w:val="20"/>
              </w:rPr>
              <w:t>identifies and describes options for solving problems and issues</w:t>
            </w:r>
          </w:p>
        </w:tc>
        <w:tc>
          <w:tcPr>
            <w:tcW w:w="2500" w:type="pct"/>
            <w:vAlign w:val="top"/>
          </w:tcPr>
          <w:p w14:paraId="3AED07E9" w14:textId="7EC097C3" w:rsidR="00AE2E48" w:rsidRPr="00592F55" w:rsidRDefault="00AE2E48" w:rsidP="00AE2E48">
            <w:pPr>
              <w:spacing w:line="276" w:lineRule="auto"/>
            </w:pPr>
            <w:r>
              <w:rPr>
                <w:b/>
                <w:sz w:val="20"/>
                <w:szCs w:val="20"/>
              </w:rPr>
              <w:t xml:space="preserve">COM5-5 </w:t>
            </w:r>
            <w:r>
              <w:rPr>
                <w:sz w:val="20"/>
                <w:szCs w:val="20"/>
              </w:rPr>
              <w:t>evaluates options for solving problems and issues</w:t>
            </w:r>
          </w:p>
        </w:tc>
      </w:tr>
    </w:tbl>
    <w:p w14:paraId="7DCD6FAB" w14:textId="305A87A3" w:rsidR="006307F4" w:rsidRPr="00F16BD9" w:rsidRDefault="00B2305C" w:rsidP="5AE43CC4">
      <w:pPr>
        <w:pStyle w:val="Copyright"/>
      </w:pPr>
      <w:hyperlink r:id="rId9" w:history="1">
        <w:r w:rsidR="00494978" w:rsidRPr="008419A4">
          <w:rPr>
            <w:rStyle w:val="Hyperlink"/>
            <w:sz w:val="20"/>
          </w:rPr>
          <w:t xml:space="preserve">NSW </w:t>
        </w:r>
        <w:r w:rsidR="006E39F9" w:rsidRPr="008419A4">
          <w:rPr>
            <w:rStyle w:val="Hyperlink"/>
            <w:sz w:val="20"/>
          </w:rPr>
          <w:t>Commerce Year 7-10</w:t>
        </w:r>
      </w:hyperlink>
      <w:r w:rsidR="006E39F9">
        <w:t xml:space="preserve"> Syllabus</w:t>
      </w:r>
      <w:r w:rsidR="00494978" w:rsidRPr="007D3B29">
        <w:t xml:space="preserve"> © </w:t>
      </w:r>
      <w:r w:rsidR="009437D2">
        <w:t>NSW Education Standards Authority (NESA) for and on behalf of the Crown in right of the State of New South Wales</w:t>
      </w:r>
      <w:r w:rsidR="007D3B29">
        <w:t xml:space="preserve"> 20</w:t>
      </w:r>
      <w:r w:rsidR="006E39F9">
        <w:t>19</w:t>
      </w:r>
      <w:r w:rsidR="009437D2">
        <w:t>.</w:t>
      </w:r>
      <w:r w:rsidR="002407FC">
        <w:t xml:space="preserve"> </w:t>
      </w:r>
    </w:p>
    <w:sectPr w:rsidR="006307F4" w:rsidRPr="00F16BD9" w:rsidSect="00A057B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104F" w14:textId="77777777" w:rsidR="00B2305C" w:rsidRDefault="00B2305C">
      <w:r>
        <w:separator/>
      </w:r>
    </w:p>
    <w:p w14:paraId="0936A57B" w14:textId="77777777" w:rsidR="00B2305C" w:rsidRDefault="00B2305C"/>
  </w:endnote>
  <w:endnote w:type="continuationSeparator" w:id="0">
    <w:p w14:paraId="45154753" w14:textId="77777777" w:rsidR="00B2305C" w:rsidRDefault="00B2305C">
      <w:r>
        <w:continuationSeparator/>
      </w:r>
    </w:p>
    <w:p w14:paraId="5C5E0242" w14:textId="77777777" w:rsidR="00B2305C" w:rsidRDefault="00B23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294D989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1675B">
      <w:rPr>
        <w:noProof/>
      </w:rPr>
      <w:t>2</w:t>
    </w:r>
    <w:r w:rsidRPr="002810D3">
      <w:fldChar w:fldCharType="end"/>
    </w:r>
    <w:r w:rsidRPr="002810D3">
      <w:tab/>
    </w:r>
    <w:r w:rsidR="00A057B9">
      <w:t>ABC TV Education resources</w:t>
    </w:r>
    <w:r w:rsidR="008419A4">
      <w:t xml:space="preserve"> – The House In S</w:t>
    </w:r>
    <w:r w:rsidR="00AE2E48">
      <w:t>ession – The Senate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7F6B00D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00B7">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41675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DC05" w14:textId="77777777" w:rsidR="00B2305C" w:rsidRDefault="00B2305C">
      <w:r>
        <w:separator/>
      </w:r>
    </w:p>
    <w:p w14:paraId="4582AAF8" w14:textId="77777777" w:rsidR="00B2305C" w:rsidRDefault="00B2305C"/>
  </w:footnote>
  <w:footnote w:type="continuationSeparator" w:id="0">
    <w:p w14:paraId="4B516333" w14:textId="77777777" w:rsidR="00B2305C" w:rsidRDefault="00B2305C">
      <w:r>
        <w:continuationSeparator/>
      </w:r>
    </w:p>
    <w:p w14:paraId="0C5786C1" w14:textId="77777777" w:rsidR="00B2305C" w:rsidRDefault="00B230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718"/>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1D2"/>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FB9"/>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DEB"/>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675B"/>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C21"/>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C94"/>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9F9"/>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8E6"/>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6E4"/>
    <w:rsid w:val="008377AF"/>
    <w:rsid w:val="008404C4"/>
    <w:rsid w:val="0084056D"/>
    <w:rsid w:val="00841080"/>
    <w:rsid w:val="008412F7"/>
    <w:rsid w:val="008414BB"/>
    <w:rsid w:val="008419A4"/>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2E48"/>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305C"/>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0B7"/>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484B"/>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0649"/>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0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house-in-sess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standards.nsw.edu.au/wps/portal/nesa/k-10/learning-areas/hsie/commerce-7-10-2019"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A890-D238-4939-81D1-2A0B2C6D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In Session – The Senate</dc:title>
  <dc:subject/>
  <dc:creator>NSW Department of Education</dc:creator>
  <cp:keywords/>
  <dc:description/>
  <cp:lastModifiedBy/>
  <cp:revision>1</cp:revision>
  <dcterms:created xsi:type="dcterms:W3CDTF">2020-05-18T20:28:00Z</dcterms:created>
  <dcterms:modified xsi:type="dcterms:W3CDTF">2020-05-18T20:28:00Z</dcterms:modified>
  <cp:category/>
</cp:coreProperties>
</file>