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1B229" w14:textId="77777777" w:rsidR="003A3265" w:rsidRPr="003A3265" w:rsidRDefault="003A3265" w:rsidP="003A3265">
      <w:pPr>
        <w:pStyle w:val="Heading1"/>
        <w:rPr>
          <w:rFonts w:eastAsia="Times New Roman"/>
          <w:lang w:eastAsia="en-AU"/>
        </w:rPr>
      </w:pPr>
      <w:bookmarkStart w:id="0" w:name="_GoBack"/>
      <w:bookmarkEnd w:id="0"/>
      <w:r w:rsidRPr="003A3265">
        <w:rPr>
          <w:rFonts w:eastAsia="Times New Roman"/>
          <w:lang w:eastAsia="en-AU"/>
        </w:rPr>
        <w:t>I'm A Fish – I'm A Stingray</w:t>
      </w:r>
    </w:p>
    <w:p w14:paraId="23373859" w14:textId="415F104E"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A517CB">
        <w:t>4 May</w:t>
      </w:r>
      <w:r w:rsidR="001B1604">
        <w:t xml:space="preserve"> 2020</w:t>
      </w:r>
      <w:r w:rsidR="00F87096">
        <w:t xml:space="preserve"> at</w:t>
      </w:r>
      <w:r w:rsidR="001B1604">
        <w:t xml:space="preserve"> </w:t>
      </w:r>
      <w:r w:rsidR="00250E49">
        <w:t>1</w:t>
      </w:r>
      <w:r w:rsidR="00A517CB">
        <w:t>0:05</w:t>
      </w:r>
      <w:r w:rsidR="00250E49">
        <w:t>am</w:t>
      </w:r>
    </w:p>
    <w:p w14:paraId="18796316" w14:textId="5DCF20D6" w:rsidR="00E975B8" w:rsidRDefault="00E975B8" w:rsidP="00E975B8">
      <w:pPr>
        <w:pStyle w:val="FeatureBox"/>
      </w:pPr>
      <w:r>
        <w:t xml:space="preserve">This episode can also be viewed on </w:t>
      </w:r>
      <w:hyperlink r:id="rId7" w:history="1">
        <w:r w:rsidRPr="00F071CD">
          <w:rPr>
            <w:rStyle w:val="Hyperlink"/>
          </w:rPr>
          <w:t>ABC iView</w:t>
        </w:r>
      </w:hyperlink>
    </w:p>
    <w:p w14:paraId="03DAF1AD" w14:textId="517FE47C" w:rsidR="008518D6" w:rsidRDefault="00F071CD" w:rsidP="008518D6">
      <w:pPr>
        <w:pStyle w:val="FeatureBox"/>
      </w:pPr>
      <w:r w:rsidRPr="7DEEDE5E">
        <w:rPr>
          <w:rStyle w:val="Strong"/>
        </w:rPr>
        <w:t xml:space="preserve">Key learning areas: </w:t>
      </w:r>
      <w:r w:rsidR="00785063">
        <w:t>s</w:t>
      </w:r>
      <w:r w:rsidR="00250E49">
        <w:t>cience and technology</w:t>
      </w:r>
    </w:p>
    <w:p w14:paraId="0176338C" w14:textId="0961D6B9" w:rsidR="008518D6" w:rsidRPr="008518D6" w:rsidRDefault="008518D6" w:rsidP="008518D6">
      <w:pPr>
        <w:pStyle w:val="FeatureBox"/>
      </w:pPr>
      <w:r w:rsidRPr="7DEEDE5E">
        <w:rPr>
          <w:rStyle w:val="Strong"/>
        </w:rPr>
        <w:t>Level:</w:t>
      </w:r>
      <w:r w:rsidR="0087639E">
        <w:t xml:space="preserve"> </w:t>
      </w:r>
      <w:r w:rsidR="11868123">
        <w:t>lower</w:t>
      </w:r>
      <w:r w:rsidR="0087639E">
        <w:t xml:space="preserve"> primary</w:t>
      </w:r>
    </w:p>
    <w:p w14:paraId="2EA43017" w14:textId="7C6FEB8B" w:rsidR="00E975B8" w:rsidRDefault="005203DC" w:rsidP="00A517CB">
      <w:pPr>
        <w:pStyle w:val="FeatureBox"/>
      </w:pPr>
      <w:r w:rsidRPr="005203DC">
        <w:rPr>
          <w:rStyle w:val="Strong"/>
        </w:rPr>
        <w:t>About:</w:t>
      </w:r>
      <w:r>
        <w:rPr>
          <w:rStyle w:val="Strong"/>
        </w:rPr>
        <w:t xml:space="preserve"> </w:t>
      </w:r>
      <w:r w:rsidR="00A517CB">
        <w:t>The shy Stingray shows us how she hides to catch her food. She tells us that they are related to sharks but very different all the same.</w:t>
      </w:r>
    </w:p>
    <w:p w14:paraId="6BD5BEF7" w14:textId="57411421" w:rsidR="00BE5959" w:rsidRDefault="00A517CB" w:rsidP="00E975B8">
      <w:pPr>
        <w:pStyle w:val="Heading2"/>
      </w:pPr>
      <w:r>
        <w:t>After</w:t>
      </w:r>
      <w:r w:rsidR="00BE5959">
        <w:t xml:space="preserve"> the episode</w:t>
      </w:r>
    </w:p>
    <w:p w14:paraId="21CAC459" w14:textId="7ADC03C6" w:rsidR="00BE5959" w:rsidRPr="00AD7533" w:rsidRDefault="00A517CB" w:rsidP="00A517CB">
      <w:pPr>
        <w:pStyle w:val="ListNumber"/>
      </w:pPr>
      <w:r w:rsidRPr="00A517CB">
        <w:t>Draw or write what you learnt about stingrays?</w:t>
      </w:r>
    </w:p>
    <w:p w14:paraId="7ADB5E1A" w14:textId="77777777" w:rsidR="00BE5959" w:rsidRDefault="009861DB" w:rsidP="00AD7533">
      <w:pPr>
        <w:pStyle w:val="ListNumber"/>
        <w:numPr>
          <w:ilvl w:val="0"/>
          <w:numId w:val="0"/>
        </w:numPr>
      </w:pPr>
      <w:r w:rsidRPr="009861DB">
        <w:rPr>
          <w:noProof/>
          <w:lang w:eastAsia="en-AU"/>
        </w:rPr>
        <mc:AlternateContent>
          <mc:Choice Requires="wps">
            <w:drawing>
              <wp:inline distT="0" distB="0" distL="0" distR="0" wp14:anchorId="5BF065DE" wp14:editId="3080CFF0">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3901BDEB"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5BF065DE"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14:paraId="3901BDEB" w14:textId="77777777" w:rsidR="009861DB" w:rsidRDefault="009861DB" w:rsidP="00AD7533">
                      <w:pPr>
                        <w:spacing w:before="120"/>
                      </w:pPr>
                    </w:p>
                  </w:txbxContent>
                </v:textbox>
                <w10:anchorlock/>
              </v:shape>
            </w:pict>
          </mc:Fallback>
        </mc:AlternateContent>
      </w:r>
    </w:p>
    <w:p w14:paraId="148839CC" w14:textId="491DF185" w:rsidR="00A517CB" w:rsidRDefault="00A517CB" w:rsidP="00A517CB">
      <w:pPr>
        <w:pStyle w:val="ListNumber"/>
      </w:pPr>
      <w:r w:rsidRPr="00A517CB">
        <w:t>How is a stingray the same and different to a shark?</w:t>
      </w:r>
    </w:p>
    <w:tbl>
      <w:tblPr>
        <w:tblStyle w:val="TableGrid"/>
        <w:tblW w:w="0" w:type="auto"/>
        <w:tblLook w:val="04A0" w:firstRow="1" w:lastRow="0" w:firstColumn="1" w:lastColumn="0" w:noHBand="0" w:noVBand="1"/>
        <w:tblDescription w:val="A table with the columns 'what is the same?' and 'what is different?'"/>
      </w:tblPr>
      <w:tblGrid>
        <w:gridCol w:w="4811"/>
        <w:gridCol w:w="4811"/>
      </w:tblGrid>
      <w:tr w:rsidR="00A517CB" w14:paraId="3989CEF8" w14:textId="77777777" w:rsidTr="002433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50DEF558" w14:textId="0D21591F" w:rsidR="00A517CB" w:rsidRPr="00A517CB" w:rsidRDefault="00A517CB" w:rsidP="00A517CB">
            <w:pPr>
              <w:jc w:val="center"/>
              <w:rPr>
                <w:rFonts w:ascii="Arial Rounded MT Bold" w:hAnsi="Arial Rounded MT Bold"/>
                <w:b w:val="0"/>
              </w:rPr>
            </w:pPr>
            <w:r w:rsidRPr="00A517CB">
              <w:rPr>
                <w:rFonts w:ascii="Arial Rounded MT Bold" w:hAnsi="Arial Rounded MT Bold"/>
                <w:b w:val="0"/>
              </w:rPr>
              <w:t>What is the same?</w:t>
            </w:r>
          </w:p>
        </w:tc>
        <w:tc>
          <w:tcPr>
            <w:tcW w:w="4811" w:type="dxa"/>
          </w:tcPr>
          <w:p w14:paraId="14772316" w14:textId="4C22D8A2" w:rsidR="00A517CB" w:rsidRPr="00A517CB" w:rsidRDefault="00A517CB" w:rsidP="00A517CB">
            <w:pPr>
              <w:jc w:val="center"/>
              <w:cnfStyle w:val="100000000000" w:firstRow="1" w:lastRow="0" w:firstColumn="0" w:lastColumn="0" w:oddVBand="0" w:evenVBand="0" w:oddHBand="0" w:evenHBand="0" w:firstRowFirstColumn="0" w:firstRowLastColumn="0" w:lastRowFirstColumn="0" w:lastRowLastColumn="0"/>
              <w:rPr>
                <w:rFonts w:ascii="Arial Rounded MT Bold" w:hAnsi="Arial Rounded MT Bold"/>
                <w:b w:val="0"/>
              </w:rPr>
            </w:pPr>
            <w:r w:rsidRPr="00A517CB">
              <w:rPr>
                <w:rFonts w:ascii="Arial Rounded MT Bold" w:hAnsi="Arial Rounded MT Bold"/>
                <w:b w:val="0"/>
              </w:rPr>
              <w:t>What is different?</w:t>
            </w:r>
          </w:p>
        </w:tc>
      </w:tr>
      <w:tr w:rsidR="00A517CB" w14:paraId="47CDFE40" w14:textId="77777777" w:rsidTr="00A517CB">
        <w:trPr>
          <w:cnfStyle w:val="000000100000" w:firstRow="0" w:lastRow="0" w:firstColumn="0" w:lastColumn="0" w:oddVBand="0" w:evenVBand="0" w:oddHBand="1" w:evenHBand="0" w:firstRowFirstColumn="0" w:firstRowLastColumn="0" w:lastRowFirstColumn="0" w:lastRowLastColumn="0"/>
          <w:trHeight w:val="4706"/>
        </w:trPr>
        <w:tc>
          <w:tcPr>
            <w:cnfStyle w:val="001000000000" w:firstRow="0" w:lastRow="0" w:firstColumn="1" w:lastColumn="0" w:oddVBand="0" w:evenVBand="0" w:oddHBand="0" w:evenHBand="0" w:firstRowFirstColumn="0" w:firstRowLastColumn="0" w:lastRowFirstColumn="0" w:lastRowLastColumn="0"/>
            <w:tcW w:w="4811" w:type="dxa"/>
          </w:tcPr>
          <w:p w14:paraId="76D5E0F9" w14:textId="77777777" w:rsidR="00A517CB" w:rsidRDefault="00A517CB" w:rsidP="00A517CB"/>
        </w:tc>
        <w:tc>
          <w:tcPr>
            <w:tcW w:w="4811" w:type="dxa"/>
          </w:tcPr>
          <w:p w14:paraId="0624AB58" w14:textId="77777777" w:rsidR="00A517CB" w:rsidRDefault="00A517CB" w:rsidP="00A517CB">
            <w:pPr>
              <w:cnfStyle w:val="000000100000" w:firstRow="0" w:lastRow="0" w:firstColumn="0" w:lastColumn="0" w:oddVBand="0" w:evenVBand="0" w:oddHBand="1" w:evenHBand="0" w:firstRowFirstColumn="0" w:firstRowLastColumn="0" w:lastRowFirstColumn="0" w:lastRowLastColumn="0"/>
            </w:pPr>
          </w:p>
        </w:tc>
      </w:tr>
    </w:tbl>
    <w:p w14:paraId="49DED421" w14:textId="2F48B9F7" w:rsidR="00F071CD" w:rsidRDefault="00A517CB" w:rsidP="00A517CB">
      <w:pPr>
        <w:pStyle w:val="ListNumber"/>
      </w:pPr>
      <w:r w:rsidRPr="00A517CB">
        <w:lastRenderedPageBreak/>
        <w:t>Colour the stingray. Trace and read the labels for each part of the stingray.</w:t>
      </w:r>
    </w:p>
    <w:p w14:paraId="1413089B" w14:textId="310D0D25" w:rsidR="00A517CB" w:rsidRDefault="00A517CB" w:rsidP="00A517CB">
      <w:r w:rsidRPr="00A517CB">
        <w:rPr>
          <w:noProof/>
          <w:lang w:eastAsia="en-AU"/>
        </w:rPr>
        <w:drawing>
          <wp:inline distT="0" distB="0" distL="0" distR="0" wp14:anchorId="192EB101" wp14:editId="6DA2BAEA">
            <wp:extent cx="6394697" cy="4132613"/>
            <wp:effectExtent l="0" t="0" r="6350" b="1270"/>
            <wp:docPr id="1" name="Picture 1" descr="An illustration of a stingray with the labels fins, eyes, tail and b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115" cy="4144516"/>
                    </a:xfrm>
                    <a:prstGeom prst="rect">
                      <a:avLst/>
                    </a:prstGeom>
                    <a:noFill/>
                    <a:ln>
                      <a:noFill/>
                    </a:ln>
                  </pic:spPr>
                </pic:pic>
              </a:graphicData>
            </a:graphic>
          </wp:inline>
        </w:drawing>
      </w:r>
    </w:p>
    <w:p w14:paraId="5CBE11C4" w14:textId="77777777" w:rsidR="006C597E" w:rsidRDefault="006C597E" w:rsidP="00A517CB"/>
    <w:p w14:paraId="4520B3F6" w14:textId="2E0386B4" w:rsidR="00F071CD" w:rsidRDefault="00A517CB" w:rsidP="00A517CB">
      <w:pPr>
        <w:pStyle w:val="ListNumber"/>
      </w:pPr>
      <w:r>
        <w:t>Some stingrays eat fish, crabs and shrimp. Colour and trace the labels of the food chain of a stingray.</w:t>
      </w:r>
    </w:p>
    <w:p w14:paraId="58537012" w14:textId="48CCB86E" w:rsidR="00A517CB" w:rsidRDefault="006C597E" w:rsidP="006C597E">
      <w:r w:rsidRPr="006C597E">
        <w:rPr>
          <w:noProof/>
          <w:lang w:eastAsia="en-AU"/>
        </w:rPr>
        <w:drawing>
          <wp:inline distT="0" distB="0" distL="0" distR="0" wp14:anchorId="098CB7A4" wp14:editId="162290A7">
            <wp:extent cx="6276975" cy="1779400"/>
            <wp:effectExtent l="0" t="0" r="0" b="0"/>
            <wp:docPr id="2" name="Picture 2" descr="An illustration of the food chain of a sting ray featuring seaweed being eaten by fish, crabs and shrimp and then being eaten by a sti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60" cy="1785887"/>
                    </a:xfrm>
                    <a:prstGeom prst="rect">
                      <a:avLst/>
                    </a:prstGeom>
                    <a:noFill/>
                    <a:ln>
                      <a:noFill/>
                    </a:ln>
                  </pic:spPr>
                </pic:pic>
              </a:graphicData>
            </a:graphic>
          </wp:inline>
        </w:drawing>
      </w:r>
    </w:p>
    <w:p w14:paraId="70CC23D5" w14:textId="77777777" w:rsidR="006C597E" w:rsidRDefault="006C597E" w:rsidP="006C597E"/>
    <w:p w14:paraId="09F0AB68" w14:textId="77777777" w:rsidR="006C597E" w:rsidRDefault="00BE5959" w:rsidP="006C597E">
      <w:pPr>
        <w:pStyle w:val="FeatureBox2"/>
      </w:pPr>
      <w:r w:rsidRPr="00BE5959">
        <w:rPr>
          <w:rStyle w:val="Strong"/>
        </w:rPr>
        <w:t>Follow-up activity:</w:t>
      </w:r>
      <w:r>
        <w:t xml:space="preserve"> </w:t>
      </w:r>
      <w:r w:rsidR="006C597E" w:rsidRPr="006C597E">
        <w:t>Create a stingray or shark out of materials that you can find at home.</w:t>
      </w:r>
    </w:p>
    <w:p w14:paraId="3ABF9502" w14:textId="0CB17C12" w:rsidR="003109F1" w:rsidRPr="006C597E" w:rsidRDefault="006C597E" w:rsidP="006C597E">
      <w:pPr>
        <w:rPr>
          <w:rFonts w:cs="Arial"/>
          <w:lang w:eastAsia="zh-CN"/>
        </w:rPr>
      </w:pPr>
      <w:r>
        <w:br w:type="page"/>
      </w:r>
    </w:p>
    <w:p w14:paraId="62C430A3"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1B8ABEED"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4CB382E" w14:textId="77777777" w:rsidR="00420DE7" w:rsidRPr="00F6494C" w:rsidRDefault="00420DE7" w:rsidP="00F6494C">
      <w:pPr>
        <w:pStyle w:val="Heading2"/>
      </w:pPr>
      <w:r w:rsidRPr="00F6494C">
        <w:t xml:space="preserve">Learning </w:t>
      </w:r>
      <w:r w:rsidR="00AF4D0B" w:rsidRPr="00F6494C">
        <w:t>intentions</w:t>
      </w:r>
    </w:p>
    <w:p w14:paraId="73370B62" w14:textId="7725822C" w:rsidR="00420DE7" w:rsidRDefault="002342B2" w:rsidP="00AD7533">
      <w:pPr>
        <w:pStyle w:val="ListBullet"/>
      </w:pPr>
      <w:r>
        <w:t>To</w:t>
      </w:r>
      <w:r w:rsidR="00005679">
        <w:t xml:space="preserve"> explore the features and needs of living things.</w:t>
      </w:r>
    </w:p>
    <w:p w14:paraId="72C6508A" w14:textId="77777777" w:rsidR="00250E49" w:rsidRPr="00250E49" w:rsidRDefault="00250E49" w:rsidP="005435FF">
      <w:pPr>
        <w:pStyle w:val="Heading2"/>
      </w:pPr>
      <w:r>
        <w:t>NSW Science and Technology</w:t>
      </w:r>
      <w:r w:rsidR="008F3FF2">
        <w:t xml:space="preserve"> K-6</w:t>
      </w:r>
      <w:r>
        <w:t xml:space="preserve"> Syllabus </w:t>
      </w:r>
      <w:r w:rsidR="005435FF">
        <w:t>outcomes</w:t>
      </w:r>
    </w:p>
    <w:tbl>
      <w:tblPr>
        <w:tblStyle w:val="Tableheader"/>
        <w:tblW w:w="9639" w:type="dxa"/>
        <w:tblLook w:val="04A0" w:firstRow="1" w:lastRow="0" w:firstColumn="1" w:lastColumn="0" w:noHBand="0" w:noVBand="1"/>
        <w:tblDescription w:val="Selected outcomes from the NSW Science and Technology Syllabus."/>
      </w:tblPr>
      <w:tblGrid>
        <w:gridCol w:w="2148"/>
        <w:gridCol w:w="3745"/>
        <w:gridCol w:w="3746"/>
      </w:tblGrid>
      <w:tr w:rsidR="006307F4" w14:paraId="3389703D" w14:textId="77777777" w:rsidTr="00005679">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D0CBD36" w14:textId="77777777" w:rsidR="006307F4" w:rsidRDefault="006307F4" w:rsidP="005D04D2">
            <w:pPr>
              <w:spacing w:before="192" w:after="192"/>
              <w:rPr>
                <w:lang w:eastAsia="zh-CN"/>
              </w:rPr>
            </w:pPr>
          </w:p>
        </w:tc>
        <w:tc>
          <w:tcPr>
            <w:tcW w:w="3745" w:type="dxa"/>
          </w:tcPr>
          <w:p w14:paraId="2CC39CDB" w14:textId="352F7823" w:rsidR="006307F4" w:rsidRDefault="63AF3737" w:rsidP="005D04D2">
            <w:pPr>
              <w:cnfStyle w:val="100000000000" w:firstRow="1" w:lastRow="0" w:firstColumn="0" w:lastColumn="0" w:oddVBand="0" w:evenVBand="0" w:oddHBand="0" w:evenHBand="0" w:firstRowFirstColumn="0" w:firstRowLastColumn="0" w:lastRowFirstColumn="0" w:lastRowLastColumn="0"/>
              <w:rPr>
                <w:lang w:eastAsia="zh-CN"/>
              </w:rPr>
            </w:pPr>
            <w:r w:rsidRPr="7DEEDE5E">
              <w:rPr>
                <w:lang w:eastAsia="zh-CN"/>
              </w:rPr>
              <w:t>Early Stage 1</w:t>
            </w:r>
          </w:p>
        </w:tc>
        <w:tc>
          <w:tcPr>
            <w:tcW w:w="3746" w:type="dxa"/>
          </w:tcPr>
          <w:p w14:paraId="67654809" w14:textId="7B984FE8" w:rsidR="006307F4" w:rsidRDefault="683996FC" w:rsidP="005D04D2">
            <w:pPr>
              <w:cnfStyle w:val="100000000000" w:firstRow="1" w:lastRow="0" w:firstColumn="0" w:lastColumn="0" w:oddVBand="0" w:evenVBand="0" w:oddHBand="0" w:evenHBand="0" w:firstRowFirstColumn="0" w:firstRowLastColumn="0" w:lastRowFirstColumn="0" w:lastRowLastColumn="0"/>
              <w:rPr>
                <w:lang w:eastAsia="zh-CN"/>
              </w:rPr>
            </w:pPr>
            <w:r w:rsidRPr="7DEEDE5E">
              <w:rPr>
                <w:lang w:eastAsia="zh-CN"/>
              </w:rPr>
              <w:t xml:space="preserve">Stage </w:t>
            </w:r>
            <w:r w:rsidR="5844A22E" w:rsidRPr="7DEEDE5E">
              <w:rPr>
                <w:lang w:eastAsia="zh-CN"/>
              </w:rPr>
              <w:t>1</w:t>
            </w:r>
          </w:p>
        </w:tc>
      </w:tr>
      <w:tr w:rsidR="006307F4" w14:paraId="55CD329D" w14:textId="77777777" w:rsidTr="0000567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AA3AE60" w14:textId="614E5A47" w:rsidR="006307F4" w:rsidRPr="006C597E" w:rsidRDefault="5844A22E" w:rsidP="006C597E">
            <w:r w:rsidRPr="006C597E">
              <w:t>Living World</w:t>
            </w:r>
          </w:p>
        </w:tc>
        <w:tc>
          <w:tcPr>
            <w:tcW w:w="3745" w:type="dxa"/>
          </w:tcPr>
          <w:p w14:paraId="34656707" w14:textId="2783B63E" w:rsidR="006307F4" w:rsidRPr="006C597E" w:rsidRDefault="5844A22E" w:rsidP="006C597E">
            <w:pPr>
              <w:cnfStyle w:val="000000100000" w:firstRow="0" w:lastRow="0" w:firstColumn="0" w:lastColumn="0" w:oddVBand="0" w:evenVBand="0" w:oddHBand="1" w:evenHBand="0" w:firstRowFirstColumn="0" w:firstRowLastColumn="0" w:lastRowFirstColumn="0" w:lastRowLastColumn="0"/>
            </w:pPr>
            <w:r w:rsidRPr="006C597E">
              <w:t>explores the characteristics, needs and uses of living things (STe-3LW-ST)</w:t>
            </w:r>
          </w:p>
        </w:tc>
        <w:tc>
          <w:tcPr>
            <w:tcW w:w="3746" w:type="dxa"/>
          </w:tcPr>
          <w:p w14:paraId="312E3C54" w14:textId="2E440D6E" w:rsidR="006307F4" w:rsidRPr="006C597E" w:rsidRDefault="5844A22E" w:rsidP="006C597E">
            <w:pPr>
              <w:cnfStyle w:val="000000100000" w:firstRow="0" w:lastRow="0" w:firstColumn="0" w:lastColumn="0" w:oddVBand="0" w:evenVBand="0" w:oddHBand="1" w:evenHBand="0" w:firstRowFirstColumn="0" w:firstRowLastColumn="0" w:lastRowFirstColumn="0" w:lastRowLastColumn="0"/>
            </w:pPr>
            <w:r w:rsidRPr="006C597E">
              <w:t>describes observable features of living things and their environments (ST1-4LW-S)</w:t>
            </w:r>
          </w:p>
        </w:tc>
      </w:tr>
    </w:tbl>
    <w:p w14:paraId="337BCD84" w14:textId="56C01982" w:rsidR="2F7A2801" w:rsidRPr="006C597E" w:rsidRDefault="006A3760" w:rsidP="00F812B0">
      <w:pPr>
        <w:pStyle w:val="Copyright"/>
        <w:spacing w:before="240"/>
      </w:pPr>
      <w:hyperlink r:id="rId10">
        <w:r w:rsidR="2F7A2801" w:rsidRPr="006C597E">
          <w:rPr>
            <w:rStyle w:val="Hyperlink"/>
            <w:rFonts w:eastAsia="Arial"/>
            <w:sz w:val="20"/>
            <w:szCs w:val="20"/>
            <w:lang w:val="en-US"/>
          </w:rPr>
          <w:t>NSW Science and Technology K-6 Syllabus</w:t>
        </w:r>
      </w:hyperlink>
      <w:r w:rsidR="2F7A2801" w:rsidRPr="006C597E">
        <w:rPr>
          <w:rFonts w:eastAsia="Calibri"/>
          <w:lang w:val="en-US"/>
        </w:rPr>
        <w:t xml:space="preserve"> © 20</w:t>
      </w:r>
      <w:r w:rsidR="2F7A2801" w:rsidRPr="006C597E">
        <w:rPr>
          <w:lang w:val="en-US"/>
        </w:rPr>
        <w:t xml:space="preserve">17 NSW Education Standards Authority (NESA) for and on behalf of the Crown in right of the State of New South Wales. See the </w:t>
      </w:r>
      <w:hyperlink r:id="rId11">
        <w:r w:rsidR="2F7A2801" w:rsidRPr="006C597E">
          <w:rPr>
            <w:rStyle w:val="Hyperlink"/>
            <w:rFonts w:eastAsia="Arial"/>
            <w:sz w:val="20"/>
            <w:szCs w:val="20"/>
            <w:lang w:val="en-US"/>
          </w:rPr>
          <w:t>NESA website</w:t>
        </w:r>
      </w:hyperlink>
      <w:r w:rsidR="2F7A2801" w:rsidRPr="006C597E">
        <w:rPr>
          <w:lang w:val="en-US"/>
        </w:rPr>
        <w:t xml:space="preserve"> for additional copyright information.</w:t>
      </w:r>
    </w:p>
    <w:sectPr w:rsidR="2F7A2801" w:rsidRPr="006C597E"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C264C" w14:textId="77777777" w:rsidR="006A3760" w:rsidRDefault="006A3760" w:rsidP="00191F45">
      <w:r>
        <w:separator/>
      </w:r>
    </w:p>
    <w:p w14:paraId="533629A5" w14:textId="77777777" w:rsidR="006A3760" w:rsidRDefault="006A3760"/>
    <w:p w14:paraId="5FE883DE" w14:textId="77777777" w:rsidR="006A3760" w:rsidRDefault="006A3760"/>
    <w:p w14:paraId="7617CF2F" w14:textId="77777777" w:rsidR="006A3760" w:rsidRDefault="006A3760"/>
  </w:endnote>
  <w:endnote w:type="continuationSeparator" w:id="0">
    <w:p w14:paraId="290A3598" w14:textId="77777777" w:rsidR="006A3760" w:rsidRDefault="006A3760" w:rsidP="00191F45">
      <w:r>
        <w:continuationSeparator/>
      </w:r>
    </w:p>
    <w:p w14:paraId="07B6C477" w14:textId="77777777" w:rsidR="006A3760" w:rsidRDefault="006A3760"/>
    <w:p w14:paraId="099BBE35" w14:textId="77777777" w:rsidR="006A3760" w:rsidRDefault="006A3760"/>
    <w:p w14:paraId="36DCBAD7" w14:textId="77777777" w:rsidR="006A3760" w:rsidRDefault="006A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F40" w14:textId="2152984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058CB">
      <w:rPr>
        <w:noProof/>
      </w:rPr>
      <w:t>2</w:t>
    </w:r>
    <w:r w:rsidRPr="002810D3">
      <w:fldChar w:fldCharType="end"/>
    </w:r>
    <w:r w:rsidRPr="002810D3">
      <w:tab/>
    </w:r>
    <w:r w:rsidR="003A3265" w:rsidRPr="003A3265">
      <w:t>ABC TV Education resources – I'm A Fish – I'm A Stingray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A0C0" w14:textId="1A4D6FB4"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0058CB">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CDDC"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228632AE" wp14:editId="1153055F">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6614" w14:textId="77777777" w:rsidR="006A3760" w:rsidRDefault="006A3760" w:rsidP="00191F45">
      <w:r>
        <w:separator/>
      </w:r>
    </w:p>
    <w:p w14:paraId="779CC516" w14:textId="77777777" w:rsidR="006A3760" w:rsidRDefault="006A3760"/>
    <w:p w14:paraId="5441C332" w14:textId="77777777" w:rsidR="006A3760" w:rsidRDefault="006A3760"/>
    <w:p w14:paraId="79EA25B5" w14:textId="77777777" w:rsidR="006A3760" w:rsidRDefault="006A3760"/>
  </w:footnote>
  <w:footnote w:type="continuationSeparator" w:id="0">
    <w:p w14:paraId="200AE75E" w14:textId="77777777" w:rsidR="006A3760" w:rsidRDefault="006A3760" w:rsidP="00191F45">
      <w:r>
        <w:continuationSeparator/>
      </w:r>
    </w:p>
    <w:p w14:paraId="5D5AD537" w14:textId="77777777" w:rsidR="006A3760" w:rsidRDefault="006A3760"/>
    <w:p w14:paraId="00B2978B" w14:textId="77777777" w:rsidR="006A3760" w:rsidRDefault="006A3760"/>
    <w:p w14:paraId="5E6C6CF0" w14:textId="77777777" w:rsidR="006A3760" w:rsidRDefault="006A37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EC4B"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9D"/>
    <w:rsid w:val="0000031A"/>
    <w:rsid w:val="00001C08"/>
    <w:rsid w:val="00002BF1"/>
    <w:rsid w:val="00005679"/>
    <w:rsid w:val="000058CB"/>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B9D"/>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3356"/>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265"/>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3EF"/>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760"/>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597E"/>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2574"/>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17CB"/>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12B0"/>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1868123"/>
    <w:rsid w:val="2F7A2801"/>
    <w:rsid w:val="5844A22E"/>
    <w:rsid w:val="5ADB663C"/>
    <w:rsid w:val="60016CFE"/>
    <w:rsid w:val="63AF3737"/>
    <w:rsid w:val="683996FC"/>
    <w:rsid w:val="7DEED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AA9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7620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view.abc.net.au/show/i-m-a-fis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mini-footer/copyrigh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educationstandards.nsw.edu.au/wps/portal/nesa/hom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Fish – I'm A Stingray</dc:title>
  <dc:subject/>
  <dc:creator>NSW Department of Education</dc:creator>
  <cp:keywords/>
  <dc:description/>
  <cp:lastModifiedBy/>
  <cp:revision>1</cp:revision>
  <dcterms:created xsi:type="dcterms:W3CDTF">2020-06-04T05:01:00Z</dcterms:created>
  <dcterms:modified xsi:type="dcterms:W3CDTF">2020-06-04T05:01:00Z</dcterms:modified>
  <cp:category/>
</cp:coreProperties>
</file>