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B36B" w14:textId="1CA11825" w:rsidR="00AB12D6" w:rsidRPr="00AB12D6" w:rsidRDefault="00AB12D6" w:rsidP="00AB12D6">
      <w:pPr>
        <w:pStyle w:val="Heading1"/>
        <w:rPr>
          <w:rFonts w:eastAsia="Times New Roman"/>
          <w:lang w:eastAsia="en-AU"/>
        </w:rPr>
      </w:pPr>
      <w:bookmarkStart w:id="0" w:name="_GoBack"/>
      <w:bookmarkEnd w:id="0"/>
      <w:r w:rsidRPr="00AB12D6">
        <w:rPr>
          <w:rFonts w:eastAsia="Times New Roman"/>
          <w:lang w:eastAsia="en-AU"/>
        </w:rPr>
        <w:t>I'm A Creepy Crawly – Earwig</w:t>
      </w:r>
    </w:p>
    <w:p w14:paraId="3B7B5198" w14:textId="54052471"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983C3D">
        <w:rPr>
          <w:rStyle w:val="Strong"/>
          <w:b w:val="0"/>
        </w:rPr>
        <w:t xml:space="preserve">Thursday 7 May </w:t>
      </w:r>
      <w:r w:rsidR="001B1604">
        <w:t>2020</w:t>
      </w:r>
      <w:r w:rsidR="00F87096">
        <w:t xml:space="preserve"> at</w:t>
      </w:r>
      <w:r w:rsidR="001B1604">
        <w:t xml:space="preserve"> </w:t>
      </w:r>
      <w:r w:rsidR="00250E49">
        <w:t>1</w:t>
      </w:r>
      <w:r w:rsidR="00983C3D">
        <w:t>0:0</w:t>
      </w:r>
      <w:r w:rsidR="00250E49">
        <w:t>5am</w:t>
      </w:r>
    </w:p>
    <w:p w14:paraId="04F5FA35" w14:textId="1BA4DF99" w:rsidR="00E975B8" w:rsidRDefault="00E975B8" w:rsidP="00E975B8">
      <w:pPr>
        <w:pStyle w:val="FeatureBox"/>
      </w:pPr>
      <w:r>
        <w:t xml:space="preserve">This episode can also be viewed on </w:t>
      </w:r>
      <w:hyperlink r:id="rId7" w:history="1">
        <w:r w:rsidRPr="00F071CD">
          <w:rPr>
            <w:rStyle w:val="Hyperlink"/>
          </w:rPr>
          <w:t>ABC iView</w:t>
        </w:r>
      </w:hyperlink>
    </w:p>
    <w:p w14:paraId="6B8C6964" w14:textId="58DF8335" w:rsidR="008518D6" w:rsidRDefault="00F071CD" w:rsidP="008518D6">
      <w:pPr>
        <w:pStyle w:val="FeatureBox"/>
      </w:pPr>
      <w:r w:rsidRPr="276DB291">
        <w:rPr>
          <w:rStyle w:val="Strong"/>
        </w:rPr>
        <w:t xml:space="preserve">Key learning areas: </w:t>
      </w:r>
      <w:r w:rsidR="00785063">
        <w:t>s</w:t>
      </w:r>
      <w:r w:rsidR="00250E49">
        <w:t>cience and technology</w:t>
      </w:r>
    </w:p>
    <w:p w14:paraId="04B40CA1" w14:textId="0894DC0E" w:rsidR="008518D6" w:rsidRPr="008518D6" w:rsidRDefault="008518D6" w:rsidP="008518D6">
      <w:pPr>
        <w:pStyle w:val="FeatureBox"/>
      </w:pPr>
      <w:r w:rsidRPr="276DB291">
        <w:rPr>
          <w:rStyle w:val="Strong"/>
        </w:rPr>
        <w:t>Level:</w:t>
      </w:r>
      <w:r w:rsidR="0087639E">
        <w:t xml:space="preserve"> </w:t>
      </w:r>
      <w:r w:rsidR="0FBBCD8B">
        <w:t>lower</w:t>
      </w:r>
      <w:r w:rsidR="0087639E">
        <w:t xml:space="preserve"> primary</w:t>
      </w:r>
    </w:p>
    <w:p w14:paraId="0A55342A" w14:textId="29166B3D" w:rsidR="00E975B8" w:rsidRDefault="005203DC" w:rsidP="000F0424">
      <w:pPr>
        <w:pStyle w:val="FeatureBox"/>
      </w:pPr>
      <w:r w:rsidRPr="005203DC">
        <w:rPr>
          <w:rStyle w:val="Strong"/>
        </w:rPr>
        <w:t>About:</w:t>
      </w:r>
      <w:r>
        <w:rPr>
          <w:rStyle w:val="Strong"/>
        </w:rPr>
        <w:t xml:space="preserve"> </w:t>
      </w:r>
      <w:r w:rsidR="000F0424">
        <w:t>Meet the earwig; this guy likes to sleep all day and then eat things like rotting plants and insects. Don’t worry, even though he’s got big pincers he says he’s not going to go through your ears to your brain any time soon.</w:t>
      </w:r>
    </w:p>
    <w:p w14:paraId="01BEE12A" w14:textId="77777777" w:rsidR="00BE5959" w:rsidRDefault="00BE5959" w:rsidP="00E975B8">
      <w:pPr>
        <w:pStyle w:val="Heading2"/>
      </w:pPr>
      <w:r>
        <w:t>Before the episode</w:t>
      </w:r>
    </w:p>
    <w:p w14:paraId="6BBC0C04" w14:textId="0CE2392A" w:rsidR="00BE5959" w:rsidRDefault="00B85B65" w:rsidP="00B85B65">
      <w:pPr>
        <w:pStyle w:val="ListNumber"/>
      </w:pPr>
      <w:r w:rsidRPr="00B85B65">
        <w:t>Creepy crawlies are insects. List or draw the creepy crawlies that you know.</w:t>
      </w:r>
    </w:p>
    <w:p w14:paraId="5DB7A592" w14:textId="1DE0760D" w:rsidR="00B85B65" w:rsidRPr="00B85B65" w:rsidRDefault="00B85B65" w:rsidP="00B85B65">
      <w:r w:rsidRPr="009861DB">
        <w:rPr>
          <w:noProof/>
          <w:lang w:eastAsia="en-AU"/>
        </w:rPr>
        <mc:AlternateContent>
          <mc:Choice Requires="wps">
            <w:drawing>
              <wp:inline distT="0" distB="0" distL="0" distR="0" wp14:anchorId="471D8E17" wp14:editId="0FFCFE8D">
                <wp:extent cx="6116320" cy="1881963"/>
                <wp:effectExtent l="0" t="0" r="17780" b="2349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881963"/>
                        </a:xfrm>
                        <a:prstGeom prst="rect">
                          <a:avLst/>
                        </a:prstGeom>
                        <a:solidFill>
                          <a:srgbClr val="FFFFFF"/>
                        </a:solidFill>
                        <a:ln w="9525">
                          <a:solidFill>
                            <a:srgbClr val="000000"/>
                          </a:solidFill>
                          <a:miter lim="800000"/>
                          <a:headEnd/>
                          <a:tailEnd/>
                        </a:ln>
                      </wps:spPr>
                      <wps:txbx>
                        <w:txbxContent>
                          <w:p w14:paraId="4B23221C" w14:textId="77777777" w:rsidR="00B85B65" w:rsidRDefault="00B85B65" w:rsidP="00B85B65">
                            <w:pPr>
                              <w:spacing w:before="120"/>
                            </w:pPr>
                          </w:p>
                        </w:txbxContent>
                      </wps:txbx>
                      <wps:bodyPr rot="0" vert="horz" wrap="square" lIns="91440" tIns="45720" rIns="91440" bIns="45720" anchor="t" anchorCtr="0">
                        <a:noAutofit/>
                      </wps:bodyPr>
                    </wps:wsp>
                  </a:graphicData>
                </a:graphic>
              </wp:inline>
            </w:drawing>
          </mc:Choice>
          <mc:Fallback>
            <w:pict>
              <v:shapetype w14:anchorId="471D8E17" id="_x0000_t202" coordsize="21600,21600" o:spt="202" path="m,l,21600r21600,l21600,xe">
                <v:stroke joinstyle="miter"/>
                <v:path gradientshapeok="t" o:connecttype="rect"/>
              </v:shapetype>
              <v:shape id="Text Box 2" o:spid="_x0000_s1026" type="#_x0000_t202" alt="A blank text box for students to respond" style="width:481.6pt;height:1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">
                <v:textbox>
                  <w:txbxContent>
                    <w:p w14:paraId="4B23221C" w14:textId="77777777" w:rsidR="00B85B65" w:rsidRDefault="00B85B65" w:rsidP="00B85B65">
                      <w:pPr>
                        <w:spacing w:before="120"/>
                      </w:pPr>
                    </w:p>
                  </w:txbxContent>
                </v:textbox>
                <w10:anchorlock/>
              </v:shape>
            </w:pict>
          </mc:Fallback>
        </mc:AlternateContent>
      </w:r>
    </w:p>
    <w:p w14:paraId="2825DBE2" w14:textId="594CF448" w:rsidR="00BE5959" w:rsidRDefault="00B85B65" w:rsidP="00AD7533">
      <w:pPr>
        <w:pStyle w:val="Heading2"/>
      </w:pPr>
      <w:r>
        <w:t>After</w:t>
      </w:r>
      <w:r w:rsidR="00BE5959" w:rsidRPr="00BE5959">
        <w:t xml:space="preserve"> the episode</w:t>
      </w:r>
    </w:p>
    <w:p w14:paraId="18BADE08" w14:textId="5722D233" w:rsidR="00B85B65" w:rsidRDefault="00B85B65" w:rsidP="00B85B65">
      <w:pPr>
        <w:pStyle w:val="ListNumber"/>
        <w:numPr>
          <w:ilvl w:val="0"/>
          <w:numId w:val="38"/>
        </w:numPr>
      </w:pPr>
      <w:r w:rsidRPr="00B85B65">
        <w:t xml:space="preserve">Name or draw two things </w:t>
      </w:r>
      <w:r w:rsidR="0028318B">
        <w:t xml:space="preserve">you learnt </w:t>
      </w:r>
      <w:r w:rsidRPr="00B85B65">
        <w:t xml:space="preserve">about earwigs. </w:t>
      </w:r>
    </w:p>
    <w:p w14:paraId="2008EC06" w14:textId="526B2ED1" w:rsidR="00F071CD" w:rsidRDefault="009861DB" w:rsidP="00BE5959">
      <w:pPr>
        <w:rPr>
          <w:lang w:eastAsia="zh-CN"/>
        </w:rPr>
      </w:pPr>
      <w:r w:rsidRPr="009861DB">
        <w:rPr>
          <w:noProof/>
          <w:lang w:eastAsia="en-AU"/>
        </w:rPr>
        <mc:AlternateContent>
          <mc:Choice Requires="wps">
            <w:drawing>
              <wp:inline distT="0" distB="0" distL="0" distR="0" wp14:anchorId="20D1E7A9" wp14:editId="4DA578F0">
                <wp:extent cx="6119495" cy="2264735"/>
                <wp:effectExtent l="0" t="0" r="14605" b="2159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264735"/>
                        </a:xfrm>
                        <a:prstGeom prst="rect">
                          <a:avLst/>
                        </a:prstGeom>
                        <a:solidFill>
                          <a:srgbClr val="FFFFFF"/>
                        </a:solidFill>
                        <a:ln w="9525">
                          <a:solidFill>
                            <a:srgbClr val="000000"/>
                          </a:solidFill>
                          <a:miter lim="800000"/>
                          <a:headEnd/>
                          <a:tailEnd/>
                        </a:ln>
                      </wps:spPr>
                      <wps:txbx>
                        <w:txbxContent>
                          <w:p w14:paraId="26A24329"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 w14:anchorId="20D1E7A9" id="_x0000_s1027" type="#_x0000_t202" alt="A blank text box for students to respond" style="width:481.85pt;height:1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">
                <v:textbox>
                  <w:txbxContent>
                    <w:p w14:paraId="26A24329" w14:textId="77777777" w:rsidR="009861DB" w:rsidRDefault="009861DB" w:rsidP="00AD7533">
                      <w:pPr>
                        <w:spacing w:before="120"/>
                      </w:pPr>
                    </w:p>
                  </w:txbxContent>
                </v:textbox>
                <w10:anchorlock/>
              </v:shape>
            </w:pict>
          </mc:Fallback>
        </mc:AlternateContent>
      </w:r>
    </w:p>
    <w:p w14:paraId="02D2E58E" w14:textId="6F73A899" w:rsidR="0069603F" w:rsidRDefault="00B85B65" w:rsidP="00B85B65">
      <w:pPr>
        <w:pStyle w:val="ListNumber"/>
      </w:pPr>
      <w:r w:rsidRPr="00B85B65">
        <w:lastRenderedPageBreak/>
        <w:t xml:space="preserve">Colour the </w:t>
      </w:r>
      <w:r>
        <w:t>earwig</w:t>
      </w:r>
      <w:r w:rsidRPr="00B85B65">
        <w:t xml:space="preserve">. Trace and read the labels for each part of the </w:t>
      </w:r>
      <w:r>
        <w:t>earwig</w:t>
      </w:r>
      <w:r w:rsidRPr="00B85B65">
        <w:t>.</w:t>
      </w:r>
    </w:p>
    <w:p w14:paraId="4317DBB6" w14:textId="318E979C" w:rsidR="00B85B65" w:rsidRPr="00B85B65" w:rsidRDefault="00B85B65" w:rsidP="00B85B65">
      <w:r>
        <w:rPr>
          <w:noProof/>
          <w:lang w:eastAsia="en-AU"/>
        </w:rPr>
        <w:drawing>
          <wp:inline distT="0" distB="0" distL="0" distR="0" wp14:anchorId="739E56B1" wp14:editId="5CEF71D6">
            <wp:extent cx="6442611" cy="2913321"/>
            <wp:effectExtent l="0" t="0" r="0" b="1905"/>
            <wp:docPr id="5" name="Picture 5" descr="C:\Users\igraham4\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raham4\AppData\Local\Microsoft\Windows\INetCache\Content.Word\Capture.PNG"/>
                    <pic:cNvPicPr>
                      <a:picLocks noChangeAspect="1" noChangeArrowheads="1"/>
                    </pic:cNvPicPr>
                  </pic:nvPicPr>
                  <pic:blipFill rotWithShape="1">
                    <a:blip r:embed="rId8" cstate="hqprint">
                      <a:extLst>
                        <a:ext uri="{28A0092B-C50C-407E-A947-70E740481C1C}">
                          <a14:useLocalDpi xmlns:a14="http://schemas.microsoft.com/office/drawing/2010/main" val="0"/>
                        </a:ext>
                      </a:extLst>
                    </a:blip>
                    <a:srcRect/>
                    <a:stretch/>
                  </pic:blipFill>
                  <pic:spPr bwMode="auto">
                    <a:xfrm>
                      <a:off x="0" y="0"/>
                      <a:ext cx="6469547" cy="2925501"/>
                    </a:xfrm>
                    <a:prstGeom prst="rect">
                      <a:avLst/>
                    </a:prstGeom>
                    <a:noFill/>
                    <a:ln>
                      <a:noFill/>
                    </a:ln>
                    <a:extLst>
                      <a:ext uri="{53640926-AAD7-44D8-BBD7-CCE9431645EC}">
                        <a14:shadowObscured xmlns:a14="http://schemas.microsoft.com/office/drawing/2010/main"/>
                      </a:ext>
                    </a:extLst>
                  </pic:spPr>
                </pic:pic>
              </a:graphicData>
            </a:graphic>
          </wp:inline>
        </w:drawing>
      </w:r>
    </w:p>
    <w:p w14:paraId="01F58B36" w14:textId="6E5B87DA" w:rsidR="00B85B65" w:rsidRPr="00B85B65" w:rsidRDefault="00B85B65" w:rsidP="00B85B65">
      <w:pPr>
        <w:pStyle w:val="ListNumber"/>
      </w:pPr>
      <w:r w:rsidRPr="00B85B65">
        <w:t>Lifecycle of an earwig – trace the words and colour the pictures. Identify on the life cycle when the earwig sheds its skin.</w:t>
      </w:r>
    </w:p>
    <w:p w14:paraId="3FDD923C" w14:textId="51465FBA" w:rsidR="00B85B65" w:rsidRDefault="00B85B65" w:rsidP="00B85B65">
      <w:r w:rsidRPr="00B85B65">
        <w:rPr>
          <w:noProof/>
          <w:lang w:eastAsia="en-AU"/>
        </w:rPr>
        <w:drawing>
          <wp:inline distT="0" distB="0" distL="0" distR="0" wp14:anchorId="73090733" wp14:editId="6E83182C">
            <wp:extent cx="6301155" cy="348747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4133" cy="3489127"/>
                    </a:xfrm>
                    <a:prstGeom prst="rect">
                      <a:avLst/>
                    </a:prstGeom>
                    <a:noFill/>
                    <a:ln>
                      <a:noFill/>
                    </a:ln>
                  </pic:spPr>
                </pic:pic>
              </a:graphicData>
            </a:graphic>
          </wp:inline>
        </w:drawing>
      </w:r>
    </w:p>
    <w:p w14:paraId="121A0BA9" w14:textId="77777777" w:rsidR="00B85B65" w:rsidRDefault="00BE5959" w:rsidP="00B85B65">
      <w:pPr>
        <w:pStyle w:val="FeatureBox2"/>
      </w:pPr>
      <w:r w:rsidRPr="00BE5959">
        <w:rPr>
          <w:rStyle w:val="Strong"/>
        </w:rPr>
        <w:t>Follow-up activity:</w:t>
      </w:r>
      <w:r>
        <w:t xml:space="preserve"> </w:t>
      </w:r>
      <w:r w:rsidR="00B85B65">
        <w:t xml:space="preserve">Go on a creepy crawly search at your house. How many creepy crawlies did you find? Draw or take photos of the creepy crawlies. Share your discoveries with someone. </w:t>
      </w:r>
      <w:r w:rsidR="00B85B65" w:rsidRPr="00B85B65">
        <w:rPr>
          <w:rStyle w:val="Strong"/>
        </w:rPr>
        <w:t>Remember:</w:t>
      </w:r>
      <w:r w:rsidR="00B85B65">
        <w:t xml:space="preserve"> do not touch the creepy crawlies!</w:t>
      </w:r>
    </w:p>
    <w:p w14:paraId="71AB8761" w14:textId="19D58AD5" w:rsidR="003109F1" w:rsidRPr="008A585E" w:rsidRDefault="00B85B65" w:rsidP="008A585E">
      <w:pPr>
        <w:rPr>
          <w:rFonts w:cs="Arial"/>
          <w:lang w:eastAsia="zh-CN"/>
        </w:rPr>
      </w:pPr>
      <w:r>
        <w:br w:type="page"/>
      </w:r>
    </w:p>
    <w:p w14:paraId="5C75933E"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259E86DE"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4DA8C837" w14:textId="77777777" w:rsidR="00420DE7" w:rsidRPr="00F6494C" w:rsidRDefault="00420DE7" w:rsidP="00F6494C">
      <w:pPr>
        <w:pStyle w:val="Heading2"/>
      </w:pPr>
      <w:r w:rsidRPr="00F6494C">
        <w:t xml:space="preserve">Learning </w:t>
      </w:r>
      <w:r w:rsidR="00AF4D0B" w:rsidRPr="00F6494C">
        <w:t>intentions</w:t>
      </w:r>
    </w:p>
    <w:p w14:paraId="5F15D074" w14:textId="58C3E9D2" w:rsidR="00420DE7" w:rsidRDefault="002342B2" w:rsidP="00AD7533">
      <w:pPr>
        <w:pStyle w:val="ListBullet"/>
      </w:pPr>
      <w:r>
        <w:t>To</w:t>
      </w:r>
      <w:r w:rsidR="00D61172">
        <w:t xml:space="preserve"> label the parts of a living thing.</w:t>
      </w:r>
    </w:p>
    <w:p w14:paraId="62EAD040" w14:textId="610BBCC1" w:rsidR="00420DE7" w:rsidRDefault="002342B2" w:rsidP="00AD7533">
      <w:pPr>
        <w:pStyle w:val="ListBullet"/>
      </w:pPr>
      <w:r>
        <w:t>To</w:t>
      </w:r>
      <w:r w:rsidR="00D61172">
        <w:t xml:space="preserve"> explore the life cycle of a living thing.</w:t>
      </w:r>
    </w:p>
    <w:p w14:paraId="2F026D03" w14:textId="77777777" w:rsidR="00250E49" w:rsidRPr="00250E49" w:rsidRDefault="00250E49" w:rsidP="005435FF">
      <w:pPr>
        <w:pStyle w:val="Heading2"/>
      </w:pPr>
      <w:r>
        <w:t>NSW Science and Technology</w:t>
      </w:r>
      <w:r w:rsidR="008F3FF2">
        <w:t xml:space="preserve"> K-6</w:t>
      </w:r>
      <w:r>
        <w:t xml:space="preserve"> Syllabus </w:t>
      </w:r>
      <w:r w:rsidR="005435FF">
        <w:t>outcomes</w:t>
      </w:r>
    </w:p>
    <w:tbl>
      <w:tblPr>
        <w:tblStyle w:val="Tableheader"/>
        <w:tblW w:w="9639" w:type="dxa"/>
        <w:tblLook w:val="04A0" w:firstRow="1" w:lastRow="0" w:firstColumn="1" w:lastColumn="0" w:noHBand="0" w:noVBand="1"/>
        <w:tblDescription w:val="Selected outcomes from the NSW Science and Technology Syllabus"/>
      </w:tblPr>
      <w:tblGrid>
        <w:gridCol w:w="2148"/>
        <w:gridCol w:w="3745"/>
        <w:gridCol w:w="3746"/>
      </w:tblGrid>
      <w:tr w:rsidR="006307F4" w14:paraId="62FFA2D5" w14:textId="77777777" w:rsidTr="00D61172">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0B1CE389" w14:textId="77777777" w:rsidR="006307F4" w:rsidRPr="008A585E" w:rsidRDefault="006307F4" w:rsidP="008A585E">
            <w:pPr>
              <w:spacing w:before="192" w:after="192"/>
            </w:pPr>
          </w:p>
        </w:tc>
        <w:tc>
          <w:tcPr>
            <w:tcW w:w="3745" w:type="dxa"/>
          </w:tcPr>
          <w:p w14:paraId="6E51B145" w14:textId="73B0CFD4" w:rsidR="006307F4" w:rsidRPr="008A585E" w:rsidRDefault="008A585E" w:rsidP="008A585E">
            <w:pPr>
              <w:cnfStyle w:val="100000000000" w:firstRow="1" w:lastRow="0" w:firstColumn="0" w:lastColumn="0" w:oddVBand="0" w:evenVBand="0" w:oddHBand="0" w:evenHBand="0" w:firstRowFirstColumn="0" w:firstRowLastColumn="0" w:lastRowFirstColumn="0" w:lastRowLastColumn="0"/>
            </w:pPr>
            <w:r>
              <w:t>Early Stage 1</w:t>
            </w:r>
          </w:p>
        </w:tc>
        <w:tc>
          <w:tcPr>
            <w:tcW w:w="3746" w:type="dxa"/>
          </w:tcPr>
          <w:p w14:paraId="4F0A8E3D" w14:textId="382690C8" w:rsidR="006307F4" w:rsidRPr="008A585E" w:rsidRDefault="008A585E" w:rsidP="008A585E">
            <w:pPr>
              <w:cnfStyle w:val="100000000000" w:firstRow="1" w:lastRow="0" w:firstColumn="0" w:lastColumn="0" w:oddVBand="0" w:evenVBand="0" w:oddHBand="0" w:evenHBand="0" w:firstRowFirstColumn="0" w:firstRowLastColumn="0" w:lastRowFirstColumn="0" w:lastRowLastColumn="0"/>
            </w:pPr>
            <w:r>
              <w:t>Stage 1</w:t>
            </w:r>
          </w:p>
        </w:tc>
      </w:tr>
      <w:tr w:rsidR="006307F4" w14:paraId="67EEB5E8" w14:textId="77777777" w:rsidTr="00D6117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0416BC12" w14:textId="727BDADE" w:rsidR="006307F4" w:rsidRPr="008A585E" w:rsidRDefault="3D74A134" w:rsidP="008A585E">
            <w:r w:rsidRPr="008A585E">
              <w:t>Living World</w:t>
            </w:r>
          </w:p>
        </w:tc>
        <w:tc>
          <w:tcPr>
            <w:tcW w:w="3745" w:type="dxa"/>
          </w:tcPr>
          <w:p w14:paraId="7739A739" w14:textId="142C7FCE" w:rsidR="006307F4" w:rsidRPr="008A585E" w:rsidRDefault="3D74A134" w:rsidP="008A585E">
            <w:pPr>
              <w:cnfStyle w:val="000000100000" w:firstRow="0" w:lastRow="0" w:firstColumn="0" w:lastColumn="0" w:oddVBand="0" w:evenVBand="0" w:oddHBand="1" w:evenHBand="0" w:firstRowFirstColumn="0" w:firstRowLastColumn="0" w:lastRowFirstColumn="0" w:lastRowLastColumn="0"/>
            </w:pPr>
            <w:r w:rsidRPr="008A585E">
              <w:t>explores the characteristics, needs and uses of living things (STe-3LW-ST)</w:t>
            </w:r>
          </w:p>
        </w:tc>
        <w:tc>
          <w:tcPr>
            <w:tcW w:w="3746" w:type="dxa"/>
          </w:tcPr>
          <w:p w14:paraId="79D127BF" w14:textId="2F850C5F" w:rsidR="006307F4" w:rsidRPr="008A585E" w:rsidRDefault="3D74A134" w:rsidP="008A585E">
            <w:pPr>
              <w:cnfStyle w:val="000000100000" w:firstRow="0" w:lastRow="0" w:firstColumn="0" w:lastColumn="0" w:oddVBand="0" w:evenVBand="0" w:oddHBand="1" w:evenHBand="0" w:firstRowFirstColumn="0" w:firstRowLastColumn="0" w:lastRowFirstColumn="0" w:lastRowLastColumn="0"/>
            </w:pPr>
            <w:r w:rsidRPr="008A585E">
              <w:t>describes observable features of living things and their environments (ST1-4LW-S)</w:t>
            </w:r>
          </w:p>
        </w:tc>
      </w:tr>
    </w:tbl>
    <w:p w14:paraId="3BD01AC2" w14:textId="730B3699" w:rsidR="104833A4" w:rsidRPr="00BE7204" w:rsidRDefault="00FC7D04" w:rsidP="00BE7204">
      <w:pPr>
        <w:pStyle w:val="Copyright"/>
        <w:spacing w:before="240"/>
        <w:rPr>
          <w:szCs w:val="20"/>
        </w:rPr>
      </w:pPr>
      <w:hyperlink r:id="rId10">
        <w:r w:rsidR="104833A4" w:rsidRPr="00BE7204">
          <w:rPr>
            <w:rStyle w:val="Hyperlink"/>
            <w:rFonts w:eastAsia="Arial"/>
            <w:sz w:val="20"/>
            <w:szCs w:val="20"/>
            <w:lang w:val="en-US"/>
          </w:rPr>
          <w:t>NSW Science and Technology K-6 Syllabus</w:t>
        </w:r>
      </w:hyperlink>
      <w:r w:rsidR="104833A4" w:rsidRPr="00BE7204">
        <w:rPr>
          <w:rFonts w:eastAsia="Calibri"/>
          <w:szCs w:val="20"/>
          <w:lang w:val="en-US"/>
        </w:rPr>
        <w:t xml:space="preserve"> © 20</w:t>
      </w:r>
      <w:r w:rsidR="104833A4" w:rsidRPr="00BE7204">
        <w:rPr>
          <w:szCs w:val="20"/>
          <w:lang w:val="en-US"/>
        </w:rPr>
        <w:t xml:space="preserve">17 NSW Education Standards Authority (NESA) for and on behalf of the Crown in right of the State of New South Wales. See the </w:t>
      </w:r>
      <w:hyperlink r:id="rId11">
        <w:r w:rsidR="104833A4" w:rsidRPr="00BE7204">
          <w:rPr>
            <w:rStyle w:val="Hyperlink"/>
            <w:rFonts w:eastAsia="Arial"/>
            <w:sz w:val="20"/>
            <w:szCs w:val="20"/>
            <w:lang w:val="en-US"/>
          </w:rPr>
          <w:t>NESA website</w:t>
        </w:r>
      </w:hyperlink>
      <w:r w:rsidR="104833A4" w:rsidRPr="00BE7204">
        <w:rPr>
          <w:szCs w:val="20"/>
          <w:lang w:val="en-US"/>
        </w:rPr>
        <w:t xml:space="preserve"> for additional copyright information.</w:t>
      </w:r>
    </w:p>
    <w:sectPr w:rsidR="104833A4" w:rsidRPr="00BE7204" w:rsidSect="000B3D08">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1EAE8" w14:textId="77777777" w:rsidR="00FC7D04" w:rsidRDefault="00FC7D04" w:rsidP="00191F45">
      <w:r>
        <w:separator/>
      </w:r>
    </w:p>
    <w:p w14:paraId="308DB88C" w14:textId="77777777" w:rsidR="00FC7D04" w:rsidRDefault="00FC7D04"/>
    <w:p w14:paraId="47EDACC6" w14:textId="77777777" w:rsidR="00FC7D04" w:rsidRDefault="00FC7D04"/>
    <w:p w14:paraId="040A0093" w14:textId="77777777" w:rsidR="00FC7D04" w:rsidRDefault="00FC7D04"/>
  </w:endnote>
  <w:endnote w:type="continuationSeparator" w:id="0">
    <w:p w14:paraId="2B92C34D" w14:textId="77777777" w:rsidR="00FC7D04" w:rsidRDefault="00FC7D04" w:rsidP="00191F45">
      <w:r>
        <w:continuationSeparator/>
      </w:r>
    </w:p>
    <w:p w14:paraId="385B2934" w14:textId="77777777" w:rsidR="00FC7D04" w:rsidRDefault="00FC7D04"/>
    <w:p w14:paraId="1C488DA1" w14:textId="77777777" w:rsidR="00FC7D04" w:rsidRDefault="00FC7D04"/>
    <w:p w14:paraId="266E15E2" w14:textId="77777777" w:rsidR="00FC7D04" w:rsidRDefault="00FC7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030A" w14:textId="42523ED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31271">
      <w:rPr>
        <w:noProof/>
      </w:rPr>
      <w:t>2</w:t>
    </w:r>
    <w:r w:rsidRPr="002810D3">
      <w:fldChar w:fldCharType="end"/>
    </w:r>
    <w:r w:rsidRPr="002810D3">
      <w:tab/>
    </w:r>
    <w:r w:rsidR="00954C2C" w:rsidRPr="00954C2C">
      <w:t>ABC TV Education resources – I'm A Creepy Crawly – Earwig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53BD" w14:textId="39DF2FCF"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331271">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B7D3"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09958B9B" wp14:editId="491960CC">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12BE1" w14:textId="77777777" w:rsidR="00FC7D04" w:rsidRDefault="00FC7D04" w:rsidP="00191F45">
      <w:r>
        <w:separator/>
      </w:r>
    </w:p>
    <w:p w14:paraId="4FAD3CDD" w14:textId="77777777" w:rsidR="00FC7D04" w:rsidRDefault="00FC7D04"/>
    <w:p w14:paraId="4404DA3A" w14:textId="77777777" w:rsidR="00FC7D04" w:rsidRDefault="00FC7D04"/>
    <w:p w14:paraId="0934CB26" w14:textId="77777777" w:rsidR="00FC7D04" w:rsidRDefault="00FC7D04"/>
  </w:footnote>
  <w:footnote w:type="continuationSeparator" w:id="0">
    <w:p w14:paraId="56CE7C0A" w14:textId="77777777" w:rsidR="00FC7D04" w:rsidRDefault="00FC7D04" w:rsidP="00191F45">
      <w:r>
        <w:continuationSeparator/>
      </w:r>
    </w:p>
    <w:p w14:paraId="4A797AAD" w14:textId="77777777" w:rsidR="00FC7D04" w:rsidRDefault="00FC7D04"/>
    <w:p w14:paraId="31642008" w14:textId="77777777" w:rsidR="00FC7D04" w:rsidRDefault="00FC7D04"/>
    <w:p w14:paraId="692D9CEF" w14:textId="77777777" w:rsidR="00FC7D04" w:rsidRDefault="00FC7D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6A89"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1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0424"/>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318B"/>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271"/>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5115"/>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85E"/>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4C2C"/>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3C3D"/>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3BE5"/>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2D6"/>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B65"/>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E7204"/>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172"/>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220"/>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C7D04"/>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F41FB19"/>
    <w:rsid w:val="0FBBCD8B"/>
    <w:rsid w:val="104833A4"/>
    <w:rsid w:val="276DB291"/>
    <w:rsid w:val="3D74A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E49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06455">
      <w:bodyDiv w:val="1"/>
      <w:marLeft w:val="0"/>
      <w:marRight w:val="0"/>
      <w:marTop w:val="0"/>
      <w:marBottom w:val="0"/>
      <w:divBdr>
        <w:top w:val="none" w:sz="0" w:space="0" w:color="auto"/>
        <w:left w:val="none" w:sz="0" w:space="0" w:color="auto"/>
        <w:bottom w:val="none" w:sz="0" w:space="0" w:color="auto"/>
        <w:right w:val="none" w:sz="0" w:space="0" w:color="auto"/>
      </w:divBdr>
    </w:div>
    <w:div w:id="178049231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view.abc.net.au/show/im-a-creepy-crawl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mini-footer/copyrigh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educationstandards.nsw.edu.au/wps/portal/nesa/hom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 Creepy Crawly – Earwig</dc:title>
  <dc:subject/>
  <dc:creator>NSW Department of Education</dc:creator>
  <cp:keywords/>
  <dc:description/>
  <cp:lastModifiedBy/>
  <cp:revision>1</cp:revision>
  <dcterms:created xsi:type="dcterms:W3CDTF">2020-06-04T05:00:00Z</dcterms:created>
  <dcterms:modified xsi:type="dcterms:W3CDTF">2020-06-04T05:00:00Z</dcterms:modified>
  <cp:category/>
</cp:coreProperties>
</file>