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99E1" w14:textId="6745630D" w:rsidR="00387587" w:rsidRDefault="00010608" w:rsidP="003812D7">
      <w:pPr>
        <w:pStyle w:val="Heading1"/>
      </w:pPr>
      <w:r>
        <w:t>Introduction</w:t>
      </w:r>
    </w:p>
    <w:p w14:paraId="38ECC81A" w14:textId="4C9CB8EF" w:rsidR="005E339C" w:rsidRDefault="00010608" w:rsidP="003812D7">
      <w:r>
        <w:t xml:space="preserve">This </w:t>
      </w:r>
      <w:r w:rsidR="000662CF">
        <w:t xml:space="preserve">review explores the NSW Department of Education’s </w:t>
      </w:r>
      <w:r w:rsidR="000662CF" w:rsidRPr="2DF86A70">
        <w:rPr>
          <w:i/>
          <w:iCs/>
        </w:rPr>
        <w:t>Learning</w:t>
      </w:r>
      <w:r w:rsidR="00D47E8B" w:rsidRPr="2DF86A70">
        <w:rPr>
          <w:i/>
          <w:iCs/>
        </w:rPr>
        <w:t xml:space="preserve"> Modes for Future-Focused Learning</w:t>
      </w:r>
      <w:r w:rsidR="00D47E8B">
        <w:t>, a</w:t>
      </w:r>
      <w:r w:rsidR="00BB12FD">
        <w:t xml:space="preserve"> set of </w:t>
      </w:r>
      <w:r w:rsidR="005477EB">
        <w:t xml:space="preserve">organising principles </w:t>
      </w:r>
      <w:r w:rsidR="003F5AAA">
        <w:t>to account for different ways in which learning</w:t>
      </w:r>
      <w:r w:rsidR="003901BC">
        <w:t xml:space="preserve"> occurs</w:t>
      </w:r>
      <w:r w:rsidR="00053053">
        <w:t xml:space="preserve"> and describe how</w:t>
      </w:r>
      <w:r w:rsidR="00E37781">
        <w:t xml:space="preserve"> learners and teachers interact </w:t>
      </w:r>
      <w:r w:rsidR="00C6343A">
        <w:t>with space and with one another.</w:t>
      </w:r>
      <w:r w:rsidR="00217892">
        <w:t xml:space="preserve"> Each learning mode is examined with reference to</w:t>
      </w:r>
      <w:r w:rsidR="004E779A">
        <w:t xml:space="preserve">: (1) </w:t>
      </w:r>
      <w:r w:rsidR="00F719B0">
        <w:t xml:space="preserve">key </w:t>
      </w:r>
      <w:r w:rsidR="00E04C3F">
        <w:t>characteristics that define effective learning</w:t>
      </w:r>
      <w:r w:rsidR="00087E87">
        <w:t xml:space="preserve"> with </w:t>
      </w:r>
      <w:r w:rsidR="00C5086E">
        <w:t>th</w:t>
      </w:r>
      <w:r w:rsidR="00A66BBD">
        <w:t>e</w:t>
      </w:r>
      <w:r w:rsidR="00C5086E">
        <w:t xml:space="preserve"> </w:t>
      </w:r>
      <w:r w:rsidR="00087E87">
        <w:t>mode</w:t>
      </w:r>
      <w:r w:rsidR="00F719B0">
        <w:t xml:space="preserve">; (2) </w:t>
      </w:r>
      <w:r w:rsidR="0062618D">
        <w:t xml:space="preserve">the theoretical orientation of learning </w:t>
      </w:r>
      <w:r w:rsidR="00087E87">
        <w:t xml:space="preserve">with </w:t>
      </w:r>
      <w:r w:rsidR="00A66BBD">
        <w:t xml:space="preserve">the </w:t>
      </w:r>
      <w:r w:rsidR="00087E87">
        <w:t xml:space="preserve">mode </w:t>
      </w:r>
      <w:r w:rsidR="00AA47C3">
        <w:t>and how it has shaped contemporary thinking</w:t>
      </w:r>
      <w:r w:rsidR="005D24C6">
        <w:t xml:space="preserve">; </w:t>
      </w:r>
      <w:r w:rsidR="00097B2D">
        <w:t xml:space="preserve">(3) </w:t>
      </w:r>
      <w:r w:rsidR="00BD75C5">
        <w:t xml:space="preserve">alignment </w:t>
      </w:r>
      <w:r w:rsidR="007805A5">
        <w:t>between the learning mode and</w:t>
      </w:r>
      <w:r w:rsidR="0037300C">
        <w:t xml:space="preserve"> calls for development of</w:t>
      </w:r>
      <w:r w:rsidR="007805A5">
        <w:t xml:space="preserve"> </w:t>
      </w:r>
      <w:r w:rsidR="00A5046F">
        <w:t>future</w:t>
      </w:r>
      <w:r w:rsidR="00D40629">
        <w:t xml:space="preserve"> work-related</w:t>
      </w:r>
      <w:r w:rsidR="00A5046F">
        <w:t xml:space="preserve"> knowledge, skills, and dispositions</w:t>
      </w:r>
      <w:r w:rsidR="00167493">
        <w:t>; and</w:t>
      </w:r>
      <w:r w:rsidR="00A5046F">
        <w:t xml:space="preserve"> </w:t>
      </w:r>
      <w:r w:rsidR="005D24C6">
        <w:t>(</w:t>
      </w:r>
      <w:r w:rsidR="00BD75C5">
        <w:t>4</w:t>
      </w:r>
      <w:r w:rsidR="005D24C6">
        <w:t>)</w:t>
      </w:r>
      <w:r w:rsidR="005776E5">
        <w:t xml:space="preserve"> high impact strategies and key factors </w:t>
      </w:r>
      <w:r w:rsidR="00357CA4">
        <w:t xml:space="preserve">that support successful learning </w:t>
      </w:r>
      <w:r w:rsidR="00087E87">
        <w:t xml:space="preserve">associated with the mode. </w:t>
      </w:r>
      <w:r w:rsidR="00991359">
        <w:t xml:space="preserve">A table summary </w:t>
      </w:r>
      <w:r w:rsidR="00F61F97">
        <w:t xml:space="preserve">at the end of the document </w:t>
      </w:r>
      <w:r w:rsidR="0037300C">
        <w:t xml:space="preserve">shows </w:t>
      </w:r>
      <w:r w:rsidR="00F61F97">
        <w:t>how these four components are mapped to each mode</w:t>
      </w:r>
      <w:r w:rsidR="00FE7E78">
        <w:t xml:space="preserve">. </w:t>
      </w:r>
    </w:p>
    <w:p w14:paraId="6800468A" w14:textId="2111F597" w:rsidR="009E0B56" w:rsidRDefault="003C583E" w:rsidP="003812D7">
      <w:pPr>
        <w:pStyle w:val="Heading2"/>
      </w:pPr>
      <w:r>
        <w:t>Collaboration</w:t>
      </w:r>
    </w:p>
    <w:p w14:paraId="56A12F83" w14:textId="1D947616" w:rsidR="00784717" w:rsidRDefault="00677A2A" w:rsidP="003812D7">
      <w:r>
        <w:t>Collaboration</w:t>
      </w:r>
      <w:r w:rsidR="00AC3E21">
        <w:t xml:space="preserve"> is </w:t>
      </w:r>
      <w:r w:rsidR="00473E4F">
        <w:t xml:space="preserve">often viewed as </w:t>
      </w:r>
      <w:r w:rsidR="00934D0F">
        <w:t xml:space="preserve">a philosophy of learning that involves sharing knowledge, experiences, </w:t>
      </w:r>
      <w:r w:rsidR="00FD2D47">
        <w:t xml:space="preserve">and </w:t>
      </w:r>
      <w:r w:rsidR="00BD7F5B">
        <w:t>agency</w:t>
      </w:r>
      <w:r w:rsidR="00934D0F">
        <w:t xml:space="preserve">, </w:t>
      </w:r>
      <w:r w:rsidR="00FD2D47">
        <w:t xml:space="preserve">with </w:t>
      </w:r>
      <w:r w:rsidR="00934D0F">
        <w:t xml:space="preserve">students </w:t>
      </w:r>
      <w:r w:rsidR="005F43C4">
        <w:t>teach</w:t>
      </w:r>
      <w:r w:rsidR="009B4BC9">
        <w:t>ing</w:t>
      </w:r>
      <w:r w:rsidR="005F43C4">
        <w:t xml:space="preserve"> and learn</w:t>
      </w:r>
      <w:r w:rsidR="009B4BC9">
        <w:t>ing</w:t>
      </w:r>
      <w:r w:rsidR="005F43C4">
        <w:t xml:space="preserve"> </w:t>
      </w:r>
      <w:r w:rsidR="00390A30">
        <w:t xml:space="preserve">from </w:t>
      </w:r>
      <w:r w:rsidR="009B4BC9">
        <w:t>one an</w:t>
      </w:r>
      <w:r w:rsidR="005F43C4">
        <w:t xml:space="preserve">other </w:t>
      </w:r>
      <w:r w:rsidR="009B4BC9">
        <w:t xml:space="preserve">while </w:t>
      </w:r>
      <w:r w:rsidR="005F43C4">
        <w:t>develop</w:t>
      </w:r>
      <w:r w:rsidR="009B4BC9">
        <w:t>ing</w:t>
      </w:r>
      <w:r w:rsidR="005F43C4">
        <w:t xml:space="preserve"> positive interdependenc</w:t>
      </w:r>
      <w:r w:rsidR="00831789">
        <w:t>ies</w:t>
      </w:r>
      <w:r w:rsidR="005F43C4">
        <w:t>.</w:t>
      </w:r>
      <w:r w:rsidR="009B4BC9">
        <w:t xml:space="preserve"> </w:t>
      </w:r>
      <w:r w:rsidR="001E1BED">
        <w:t>In contemporary classrooms and workplaces, collaboration is often said to play a vital role in ideation, solving complex problems, developing collective intelligence, increasing confidence, and fostering positive interpersonal skills and dispositions. It is often allied with group work and justified in terms of desirable future work skills. A</w:t>
      </w:r>
      <w:r w:rsidR="000F39C5">
        <w:t xml:space="preserve">uthentic collaboration involves students working together on a common task </w:t>
      </w:r>
      <w:r w:rsidR="00985FED">
        <w:t xml:space="preserve">towards </w:t>
      </w:r>
      <w:r w:rsidR="0055328C">
        <w:t xml:space="preserve">shared </w:t>
      </w:r>
      <w:r w:rsidR="00985FED">
        <w:t>goals</w:t>
      </w:r>
      <w:r w:rsidR="00C10D51">
        <w:t xml:space="preserve"> and </w:t>
      </w:r>
      <w:r w:rsidR="00985FED">
        <w:t xml:space="preserve">is often </w:t>
      </w:r>
      <w:r w:rsidR="00DF3E78">
        <w:t xml:space="preserve">viewed as being embodied in </w:t>
      </w:r>
      <w:r w:rsidR="0055328C">
        <w:t xml:space="preserve">work that </w:t>
      </w:r>
      <w:r w:rsidR="00E82F89">
        <w:t>represents the ideas and efforts of more than one learner</w:t>
      </w:r>
      <w:r w:rsidR="00582167">
        <w:t xml:space="preserve"> </w:t>
      </w:r>
      <w:r w:rsidR="00F02077">
        <w:t xml:space="preserve">and </w:t>
      </w:r>
      <w:r w:rsidR="00582167">
        <w:t xml:space="preserve">more than the </w:t>
      </w:r>
      <w:r w:rsidR="00C10D51">
        <w:t>sum</w:t>
      </w:r>
      <w:r w:rsidR="00582167">
        <w:t xml:space="preserve"> of its parts. </w:t>
      </w:r>
    </w:p>
    <w:p w14:paraId="2E0D50C4" w14:textId="1B5EC29A" w:rsidR="003C583E" w:rsidRDefault="0027606B" w:rsidP="003812D7">
      <w:r>
        <w:t xml:space="preserve">The theoretical </w:t>
      </w:r>
      <w:r w:rsidR="00136F2E">
        <w:t>roots</w:t>
      </w:r>
      <w:r>
        <w:t xml:space="preserve"> of collaborative learning stem from </w:t>
      </w:r>
      <w:r w:rsidR="009B695F">
        <w:t>s</w:t>
      </w:r>
      <w:r w:rsidR="008E604D">
        <w:t>oci</w:t>
      </w:r>
      <w:r w:rsidR="009B3C08">
        <w:t>o</w:t>
      </w:r>
      <w:r w:rsidR="008E604D">
        <w:t>-constructivist viewpoints</w:t>
      </w:r>
      <w:r w:rsidR="00DF229B">
        <w:t xml:space="preserve">. Theorising </w:t>
      </w:r>
      <w:r w:rsidR="00D14126">
        <w:t xml:space="preserve">learning </w:t>
      </w:r>
      <w:r w:rsidR="00DF229B">
        <w:t xml:space="preserve">as </w:t>
      </w:r>
      <w:r w:rsidR="00D14126">
        <w:t xml:space="preserve">occurring on both </w:t>
      </w:r>
      <w:r w:rsidR="00833B84">
        <w:t xml:space="preserve">inter-psychological and </w:t>
      </w:r>
      <w:r w:rsidR="001D0CA0">
        <w:t>intra-psychological planes</w:t>
      </w:r>
      <w:r w:rsidR="00DF229B">
        <w:t>,</w:t>
      </w:r>
      <w:r w:rsidR="00D63C0D">
        <w:t xml:space="preserve"> Vygotsky </w:t>
      </w:r>
      <w:r w:rsidR="00753C6B">
        <w:fldChar w:fldCharType="begin"/>
      </w:r>
      <w:r w:rsidR="00753C6B">
        <w:instrText xml:space="preserve"> ADDIN ZOTERO_ITEM CSL_CITATION {"citationID":"9I4urkCX","properties":{"formattedCitation":"(1987)","plainCitation":"(1987)","noteIndex":0},"citationItems":[{"id":232,"uris":["http://zotero.org/users/702074/items/3UPJZA2E"],"uri":["http://zotero.org/users/702074/items/3UPJZA2E"],"itemData":{"id":232,"type":"book","publisher":"New York: Plenum","source":"Google Scholar","title":"Thinking and speech. The collected works of LS Vygotsky, vol. 1","author":[{"family":"Vygotsky","given":"L. S."}],"issued":{"date-parts":[["1987"]]}},"suppress-author":true}],"schema":"https://github.com/citation-style-language/schema/raw/master/csl-citation.json"} </w:instrText>
      </w:r>
      <w:r w:rsidR="00753C6B">
        <w:fldChar w:fldCharType="separate"/>
      </w:r>
      <w:r w:rsidR="00753C6B" w:rsidRPr="00753C6B">
        <w:rPr>
          <w:rFonts w:ascii="Calibri" w:hAnsi="Calibri" w:cs="Calibri"/>
        </w:rPr>
        <w:t>(1987)</w:t>
      </w:r>
      <w:r w:rsidR="00753C6B">
        <w:fldChar w:fldCharType="end"/>
      </w:r>
      <w:r w:rsidR="009445EF">
        <w:t xml:space="preserve"> </w:t>
      </w:r>
      <w:r w:rsidR="00B4317E">
        <w:t xml:space="preserve">idealised collaboration through </w:t>
      </w:r>
      <w:r w:rsidR="005B1934">
        <w:t>adult guidance</w:t>
      </w:r>
      <w:r w:rsidR="00B4317E">
        <w:t xml:space="preserve"> and/</w:t>
      </w:r>
      <w:r w:rsidR="005B1934">
        <w:t>or with more capable peers</w:t>
      </w:r>
      <w:r w:rsidR="00582167">
        <w:t xml:space="preserve">. </w:t>
      </w:r>
      <w:r w:rsidR="00076442">
        <w:t>A</w:t>
      </w:r>
      <w:r w:rsidR="00390A30">
        <w:t xml:space="preserve">rguing </w:t>
      </w:r>
      <w:r w:rsidR="00344D64">
        <w:t xml:space="preserve">for </w:t>
      </w:r>
      <w:r w:rsidR="00A11D76">
        <w:t>its value in developing independence and autonomy</w:t>
      </w:r>
      <w:r w:rsidR="00076442">
        <w:t>, he stated</w:t>
      </w:r>
      <w:r w:rsidR="00EB6134">
        <w:t xml:space="preserve"> “</w:t>
      </w:r>
      <w:r w:rsidR="00347C34" w:rsidRPr="00FE5626">
        <w:t xml:space="preserve">what the child is able to do in collaboration today, [she/]he will be able to do independently tomorrow” </w:t>
      </w:r>
      <w:r w:rsidR="00347C34">
        <w:t xml:space="preserve">(p. </w:t>
      </w:r>
      <w:r w:rsidR="00AA50DE">
        <w:t xml:space="preserve">211). </w:t>
      </w:r>
      <w:r w:rsidR="00666473">
        <w:t>Social</w:t>
      </w:r>
      <w:r w:rsidR="00FA749D">
        <w:t xml:space="preserve"> </w:t>
      </w:r>
      <w:r w:rsidR="00666473">
        <w:t>constructivism</w:t>
      </w:r>
      <w:r w:rsidR="00367B58">
        <w:t xml:space="preserve"> </w:t>
      </w:r>
      <w:r w:rsidR="00367B58" w:rsidRPr="00234268">
        <w:t>has</w:t>
      </w:r>
      <w:r w:rsidR="00367B58">
        <w:t xml:space="preserve"> </w:t>
      </w:r>
      <w:r w:rsidR="00367B58" w:rsidRPr="00234268">
        <w:t>since</w:t>
      </w:r>
      <w:r w:rsidR="00367B58">
        <w:t xml:space="preserve"> </w:t>
      </w:r>
      <w:r w:rsidR="00367B58" w:rsidRPr="00234268">
        <w:t>been</w:t>
      </w:r>
      <w:r w:rsidR="00367B58">
        <w:t xml:space="preserve"> </w:t>
      </w:r>
      <w:r w:rsidR="00367B58" w:rsidRPr="00234268">
        <w:t>widely</w:t>
      </w:r>
      <w:r w:rsidR="00367B58">
        <w:t xml:space="preserve"> </w:t>
      </w:r>
      <w:r w:rsidR="00367B58" w:rsidRPr="00234268">
        <w:t>recognised</w:t>
      </w:r>
      <w:r w:rsidR="00367B58">
        <w:t xml:space="preserve"> </w:t>
      </w:r>
      <w:r w:rsidR="00367B58" w:rsidRPr="00234268">
        <w:t>as</w:t>
      </w:r>
      <w:r w:rsidR="00367B58">
        <w:t xml:space="preserve"> </w:t>
      </w:r>
      <w:r w:rsidR="00367B58" w:rsidRPr="00234268">
        <w:t>a</w:t>
      </w:r>
      <w:r w:rsidR="00367B58">
        <w:t xml:space="preserve"> </w:t>
      </w:r>
      <w:r w:rsidR="00367B58" w:rsidRPr="00234268">
        <w:t>basis</w:t>
      </w:r>
      <w:r w:rsidR="00367B58">
        <w:t xml:space="preserve"> </w:t>
      </w:r>
      <w:r w:rsidR="00367B58" w:rsidRPr="00234268">
        <w:t>for</w:t>
      </w:r>
      <w:r w:rsidR="00367B58">
        <w:t xml:space="preserve"> </w:t>
      </w:r>
      <w:r w:rsidR="00367B58" w:rsidRPr="00234268">
        <w:t>exploring</w:t>
      </w:r>
      <w:r w:rsidR="00367B58">
        <w:t xml:space="preserve"> </w:t>
      </w:r>
      <w:r w:rsidR="00367B58" w:rsidRPr="00234268">
        <w:t>knowledge</w:t>
      </w:r>
      <w:r w:rsidR="00367B58">
        <w:t xml:space="preserve"> </w:t>
      </w:r>
      <w:r w:rsidR="00367B58" w:rsidRPr="00234268">
        <w:t>building</w:t>
      </w:r>
      <w:r w:rsidR="00367B58">
        <w:t xml:space="preserve"> </w:t>
      </w:r>
      <w:r w:rsidR="00367B58" w:rsidRPr="00234268">
        <w:t>through</w:t>
      </w:r>
      <w:r w:rsidR="00367B58">
        <w:t xml:space="preserve"> </w:t>
      </w:r>
      <w:r w:rsidR="00367B58" w:rsidRPr="00234268">
        <w:t>collaboration.</w:t>
      </w:r>
    </w:p>
    <w:p w14:paraId="7D41768B" w14:textId="22ACC1B7" w:rsidR="006E61E9" w:rsidRDefault="001839B9" w:rsidP="003812D7">
      <w:r>
        <w:t xml:space="preserve">Recent </w:t>
      </w:r>
      <w:r w:rsidR="00542BE9">
        <w:t>analysis</w:t>
      </w:r>
      <w:r>
        <w:t xml:space="preserve"> </w:t>
      </w:r>
      <w:r w:rsidR="00032C69">
        <w:t xml:space="preserve">very clearly shows </w:t>
      </w:r>
      <w:r>
        <w:t xml:space="preserve">that the </w:t>
      </w:r>
      <w:r w:rsidR="00032C69">
        <w:t xml:space="preserve">interpersonal qualities that </w:t>
      </w:r>
      <w:r w:rsidR="00136F2E">
        <w:t xml:space="preserve">underpin </w:t>
      </w:r>
      <w:r w:rsidR="00032C69">
        <w:t xml:space="preserve">collaboration </w:t>
      </w:r>
      <w:r w:rsidR="00377686">
        <w:t xml:space="preserve">are likely to </w:t>
      </w:r>
      <w:r w:rsidR="00032C69">
        <w:t xml:space="preserve">be </w:t>
      </w:r>
      <w:r w:rsidR="00377686">
        <w:t>in strong demand in the future</w:t>
      </w:r>
      <w:r w:rsidR="00AD121C">
        <w:t xml:space="preserve"> and </w:t>
      </w:r>
      <w:r w:rsidR="00A17AEF">
        <w:t xml:space="preserve">will be </w:t>
      </w:r>
      <w:r w:rsidR="00D04D5E">
        <w:t xml:space="preserve">a </w:t>
      </w:r>
      <w:r w:rsidR="00AD121C">
        <w:t xml:space="preserve">necessary </w:t>
      </w:r>
      <w:r w:rsidR="00D04D5E">
        <w:t xml:space="preserve">factor </w:t>
      </w:r>
      <w:r w:rsidR="00EA1CE4">
        <w:t>for</w:t>
      </w:r>
      <w:r w:rsidR="00AD121C">
        <w:t xml:space="preserve"> sustained innovation</w:t>
      </w:r>
      <w:r w:rsidR="00EA1CE4">
        <w:t xml:space="preserve"> nationally and globally</w:t>
      </w:r>
      <w:r w:rsidR="00AD121C">
        <w:t xml:space="preserve">. As OECD explains </w:t>
      </w:r>
      <w:r w:rsidR="00AD121C">
        <w:fldChar w:fldCharType="begin"/>
      </w:r>
      <w:r w:rsidR="00127CC3">
        <w:instrText xml:space="preserve"> ADDIN ZOTERO_ITEM CSL_CITATION {"citationID":"kmzvu2uS","properties":{"formattedCitation":"(2018)","plainCitation":"(2018)","noteIndex":0},"citationItems":[{"id":1108,"uris":["http://zotero.org/users/702074/items/ZP45SF8V"],"uri":["http://zotero.org/users/702074/items/ZP45SF8V"],"itemData":{"id":1108,"type":"webpage","title":"OECD Education 2030","URL":"http://www.oecd.org/education/2030/","author":[{"literal":"OECD"}],"issued":{"date-parts":[["2018"]]}},"suppress-author":true}],"schema":"https://github.com/citation-style-language/schema/raw/master/csl-citation.json"} </w:instrText>
      </w:r>
      <w:r w:rsidR="00AD121C">
        <w:fldChar w:fldCharType="separate"/>
      </w:r>
      <w:r w:rsidR="00127CC3" w:rsidRPr="00127CC3">
        <w:rPr>
          <w:rFonts w:ascii="Calibri" w:hAnsi="Calibri" w:cs="Calibri"/>
        </w:rPr>
        <w:t>(2018)</w:t>
      </w:r>
      <w:r w:rsidR="00AD121C">
        <w:fldChar w:fldCharType="end"/>
      </w:r>
      <w:r w:rsidR="00127CC3">
        <w:t xml:space="preserve">, </w:t>
      </w:r>
      <w:r w:rsidR="005A2D50">
        <w:t>“</w:t>
      </w:r>
      <w:r w:rsidR="00103787">
        <w:t>Increasingly, innovation springs not from individuals thinking and working alone, but through cooperation and collaboration with others to draw on existing knowledge to create new knowledge</w:t>
      </w:r>
      <w:r w:rsidR="00550B2B">
        <w:t xml:space="preserve">” </w:t>
      </w:r>
      <w:r w:rsidR="008C34A8">
        <w:t>(p. 5)</w:t>
      </w:r>
      <w:r w:rsidR="00550B2B">
        <w:t xml:space="preserve">. </w:t>
      </w:r>
      <w:r w:rsidR="000A7F6F">
        <w:t xml:space="preserve">In their discussion of future work skills, </w:t>
      </w:r>
      <w:r w:rsidR="00550B2B">
        <w:t>Davies, Fid</w:t>
      </w:r>
      <w:r w:rsidR="004567A9">
        <w:t xml:space="preserve">ler, and Gorbis </w:t>
      </w:r>
      <w:r w:rsidR="004567A9">
        <w:fldChar w:fldCharType="begin"/>
      </w:r>
      <w:r w:rsidR="00134444">
        <w:instrText xml:space="preserve"> ADDIN ZOTERO_ITEM CSL_CITATION {"citationID":"IPKP10Ko","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4567A9">
        <w:fldChar w:fldCharType="separate"/>
      </w:r>
      <w:r w:rsidR="00134444" w:rsidRPr="00134444">
        <w:rPr>
          <w:rFonts w:ascii="Calibri" w:hAnsi="Calibri" w:cs="Calibri"/>
        </w:rPr>
        <w:t>(2011)</w:t>
      </w:r>
      <w:r w:rsidR="004567A9">
        <w:fldChar w:fldCharType="end"/>
      </w:r>
      <w:r w:rsidR="00AC38DA">
        <w:t xml:space="preserve"> </w:t>
      </w:r>
      <w:r w:rsidR="00D64AD3">
        <w:t>predict</w:t>
      </w:r>
      <w:r w:rsidR="00AC38DA">
        <w:t xml:space="preserve"> a </w:t>
      </w:r>
      <w:r w:rsidR="00D64AD3">
        <w:t xml:space="preserve">significant </w:t>
      </w:r>
      <w:r w:rsidR="00AC38DA">
        <w:t>increase in virtual collaboration</w:t>
      </w:r>
      <w:r w:rsidR="00D64AD3">
        <w:t xml:space="preserve"> </w:t>
      </w:r>
      <w:r w:rsidR="00942F35">
        <w:t xml:space="preserve">as </w:t>
      </w:r>
      <w:r w:rsidR="003111B4">
        <w:t>the</w:t>
      </w:r>
      <w:r w:rsidR="00942F35">
        <w:t xml:space="preserve"> way employees</w:t>
      </w:r>
      <w:r w:rsidR="003B3A2D">
        <w:t xml:space="preserve"> will</w:t>
      </w:r>
      <w:r w:rsidR="00942F35">
        <w:t xml:space="preserve"> work together </w:t>
      </w:r>
      <w:r w:rsidR="00877BDE">
        <w:t>and</w:t>
      </w:r>
      <w:r w:rsidR="00134444">
        <w:t xml:space="preserve"> emphasise </w:t>
      </w:r>
      <w:r w:rsidR="003111B4">
        <w:t xml:space="preserve">the need for </w:t>
      </w:r>
      <w:r w:rsidR="0054582C">
        <w:t>socially intelligent employees who “</w:t>
      </w:r>
      <w:r w:rsidR="00870E06">
        <w:t>are able to quickly assess the emotions of those around them and adapt their words, tone and gestures accordingly</w:t>
      </w:r>
      <w:r w:rsidR="00A44722">
        <w:t>… [which</w:t>
      </w:r>
      <w:r w:rsidR="00AC38DA">
        <w:t xml:space="preserve"> will be</w:t>
      </w:r>
      <w:r w:rsidR="00A44722">
        <w:t xml:space="preserve">] </w:t>
      </w:r>
      <w:r w:rsidR="00870E06">
        <w:t>more important as we are called on to collaborate with larger groups of people in different settings</w:t>
      </w:r>
      <w:r w:rsidR="003A7367">
        <w:t xml:space="preserve">” (p. 8). </w:t>
      </w:r>
      <w:r w:rsidR="00877BDE">
        <w:t xml:space="preserve">Foundation for Young Australians </w:t>
      </w:r>
      <w:r w:rsidR="00877BDE">
        <w:fldChar w:fldCharType="begin"/>
      </w:r>
      <w:r w:rsidR="00877BDE">
        <w:instrText xml:space="preserve"> ADDIN ZOTERO_ITEM CSL_CITATION {"citationID":"DUNxq3Yo","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877BDE">
        <w:fldChar w:fldCharType="separate"/>
      </w:r>
      <w:r w:rsidR="00877BDE" w:rsidRPr="00877BDE">
        <w:rPr>
          <w:rFonts w:ascii="Calibri" w:hAnsi="Calibri" w:cs="Calibri"/>
        </w:rPr>
        <w:t>(2017)</w:t>
      </w:r>
      <w:r w:rsidR="00877BDE">
        <w:fldChar w:fldCharType="end"/>
      </w:r>
      <w:r w:rsidR="00375D2C">
        <w:t xml:space="preserve"> cites a 19% increase in employers’ </w:t>
      </w:r>
      <w:r w:rsidR="00EE49D4">
        <w:t>emphases on teamwork in many current and future jobs</w:t>
      </w:r>
      <w:r w:rsidR="0051550A">
        <w:t xml:space="preserve"> and believe that </w:t>
      </w:r>
      <w:r w:rsidR="007040B7">
        <w:t xml:space="preserve">the automation of many low-skilled jobs will lead to </w:t>
      </w:r>
      <w:r w:rsidR="00163102">
        <w:t xml:space="preserve">much greater focus on </w:t>
      </w:r>
      <w:r w:rsidR="00FA2C82">
        <w:t>“</w:t>
      </w:r>
      <w:r w:rsidR="00515802">
        <w:t>communicators and engagers</w:t>
      </w:r>
      <w:r w:rsidR="006D06A6">
        <w:t xml:space="preserve">… [who are] good at working with people </w:t>
      </w:r>
      <w:r w:rsidR="006E61E9">
        <w:t>to succeed in their future job</w:t>
      </w:r>
      <w:r w:rsidR="00FA2C82">
        <w:t>”</w:t>
      </w:r>
      <w:r w:rsidR="00515802">
        <w:t xml:space="preserve"> </w:t>
      </w:r>
      <w:r w:rsidR="006E61E9">
        <w:t xml:space="preserve">(p. 16). </w:t>
      </w:r>
      <w:r w:rsidR="0075208F">
        <w:t xml:space="preserve">In their modelling of </w:t>
      </w:r>
      <w:r w:rsidR="00410C30">
        <w:t xml:space="preserve">the future Australian workforce, </w:t>
      </w:r>
      <w:r w:rsidR="000B228C">
        <w:t>PwC</w:t>
      </w:r>
      <w:r w:rsidR="00253DF4">
        <w:t>’s</w:t>
      </w:r>
      <w:r w:rsidR="000B228C">
        <w:t xml:space="preserve"> </w:t>
      </w:r>
      <w:r w:rsidR="00410C30">
        <w:fldChar w:fldCharType="begin"/>
      </w:r>
      <w:r w:rsidR="00410C30">
        <w:instrText xml:space="preserve"> ADDIN ZOTERO_ITEM CSL_CITATION {"citationID":"ULi8Kr11","properties":{"formattedCitation":"(2015)","plainCitation":"(2015)","noteIndex":0},"citationItems":[{"id":969,"uris":["http://zotero.org/users/702074/items/MCDK8K6S"],"uri":["http://zotero.org/users/702074/items/MCDK8K6S"],"itemData":{"id":969,"type":"report","title":"Future-proofing Australia’s workforce by growing skills in science, technology, engineering and maths (STEM) - A smart move","URL":"https://www.pwc.com.au/pdf/a-smart-move-pwc-stem-report-april-2015.pdf","author":[{"literal":"PwC"}],"accessed":{"date-parts":[["2018",10,7]]},"issued":{"date-parts":[["2015"]]}},"suppress-author":true}],"schema":"https://github.com/citation-style-language/schema/raw/master/csl-citation.json"} </w:instrText>
      </w:r>
      <w:r w:rsidR="00410C30">
        <w:fldChar w:fldCharType="separate"/>
      </w:r>
      <w:r w:rsidR="00410C30" w:rsidRPr="00410C30">
        <w:rPr>
          <w:rFonts w:ascii="Calibri" w:hAnsi="Calibri" w:cs="Calibri"/>
        </w:rPr>
        <w:t>(2015)</w:t>
      </w:r>
      <w:r w:rsidR="00410C30">
        <w:fldChar w:fldCharType="end"/>
      </w:r>
      <w:r w:rsidR="00253DF4">
        <w:t xml:space="preserve"> list of jobs with low </w:t>
      </w:r>
      <w:r w:rsidR="00572DA1">
        <w:t xml:space="preserve">likelihood of </w:t>
      </w:r>
      <w:r w:rsidR="00253DF4">
        <w:t xml:space="preserve">automation </w:t>
      </w:r>
      <w:r w:rsidR="00572DA1">
        <w:t xml:space="preserve">are in fields where collaboration </w:t>
      </w:r>
      <w:r w:rsidR="003A7B47">
        <w:t>is a requirement</w:t>
      </w:r>
      <w:r w:rsidR="002C7A4D">
        <w:t>, such as education, healthcare, and medicine.</w:t>
      </w:r>
      <w:r w:rsidR="00776FCE">
        <w:t xml:space="preserve"> Their report also identifies large-scale collaboration strategies such as crowdsourcing as a major source of innovation. </w:t>
      </w:r>
    </w:p>
    <w:p w14:paraId="3EBD3E22" w14:textId="29D652BF" w:rsidR="00143DCF" w:rsidRDefault="00521B88" w:rsidP="003812D7">
      <w:r>
        <w:t xml:space="preserve">Drawing on decades of research, </w:t>
      </w:r>
      <w:r w:rsidR="00645105">
        <w:t xml:space="preserve">Hattie’s </w:t>
      </w:r>
      <w:r w:rsidR="00645105">
        <w:fldChar w:fldCharType="begin"/>
      </w:r>
      <w:r w:rsidR="00645105">
        <w:instrText xml:space="preserve"> ADDIN ZOTERO_ITEM CSL_CITATION {"citationID":"Far7vGNl","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00645105">
        <w:fldChar w:fldCharType="separate"/>
      </w:r>
      <w:r w:rsidR="00645105" w:rsidRPr="00645105">
        <w:rPr>
          <w:rFonts w:ascii="Calibri" w:hAnsi="Calibri" w:cs="Calibri"/>
        </w:rPr>
        <w:t>(2019)</w:t>
      </w:r>
      <w:r w:rsidR="00645105">
        <w:fldChar w:fldCharType="end"/>
      </w:r>
      <w:r w:rsidR="001F505C">
        <w:t xml:space="preserve"> most recent</w:t>
      </w:r>
      <w:r w:rsidR="00C26822">
        <w:t xml:space="preserve"> </w:t>
      </w:r>
      <w:r w:rsidR="00645105">
        <w:t xml:space="preserve">meta-analysis identifies </w:t>
      </w:r>
      <w:r w:rsidR="001E3D67">
        <w:t xml:space="preserve">a number of related high-impact strategies </w:t>
      </w:r>
      <w:r w:rsidR="00900FAF">
        <w:t xml:space="preserve">and factors </w:t>
      </w:r>
      <w:r w:rsidR="001E3D67">
        <w:t xml:space="preserve">for </w:t>
      </w:r>
      <w:r w:rsidR="008233E7">
        <w:t xml:space="preserve">effective </w:t>
      </w:r>
      <w:r w:rsidR="001E3D67">
        <w:t>collaboration, including</w:t>
      </w:r>
      <w:r w:rsidR="00143DCF">
        <w:t>:</w:t>
      </w:r>
    </w:p>
    <w:p w14:paraId="775D80F8" w14:textId="34658753" w:rsidR="00E7278C" w:rsidRDefault="00A473DE" w:rsidP="003812D7">
      <w:pPr>
        <w:pStyle w:val="ListBullet"/>
      </w:pPr>
      <w:r>
        <w:t>c</w:t>
      </w:r>
      <w:r w:rsidR="00E7278C">
        <w:t xml:space="preserve">ooperative learning — </w:t>
      </w:r>
      <w:r w:rsidR="00A656DB">
        <w:t>developing positive interdependence</w:t>
      </w:r>
      <w:r w:rsidR="00F80037">
        <w:t>, belonging,</w:t>
      </w:r>
      <w:r w:rsidR="00A656DB">
        <w:t xml:space="preserve"> </w:t>
      </w:r>
      <w:r w:rsidR="00BE4624">
        <w:t xml:space="preserve">and wellbeing </w:t>
      </w:r>
      <w:r w:rsidR="00A656DB">
        <w:t xml:space="preserve">through peer learning, </w:t>
      </w:r>
      <w:r w:rsidR="00F80037">
        <w:t xml:space="preserve">shared problem-solving, </w:t>
      </w:r>
      <w:r w:rsidR="009E2C7D">
        <w:t xml:space="preserve">and a range of cooperative classroom structures. </w:t>
      </w:r>
    </w:p>
    <w:p w14:paraId="5B238C7E" w14:textId="03C01B4A" w:rsidR="00B251A3" w:rsidRDefault="00A473DE" w:rsidP="003812D7">
      <w:pPr>
        <w:pStyle w:val="ListBullet"/>
      </w:pPr>
      <w:r>
        <w:t>p</w:t>
      </w:r>
      <w:r w:rsidR="00B251A3">
        <w:t xml:space="preserve">eer tutoring — </w:t>
      </w:r>
      <w:r w:rsidR="00CF04C0">
        <w:t xml:space="preserve">teaching self-regulation </w:t>
      </w:r>
      <w:r w:rsidR="00574B6F">
        <w:t xml:space="preserve">and control over </w:t>
      </w:r>
      <w:r w:rsidR="0051288F">
        <w:t>learning</w:t>
      </w:r>
      <w:r w:rsidR="005F0B7C">
        <w:t xml:space="preserve">, teaching students to become their own teachers; </w:t>
      </w:r>
      <w:r w:rsidR="00EE4B2D">
        <w:t xml:space="preserve">peer tutors understanding </w:t>
      </w:r>
      <w:r w:rsidR="00A973D8">
        <w:t xml:space="preserve">material at a deeper level </w:t>
      </w:r>
      <w:r w:rsidR="00B11779">
        <w:t xml:space="preserve">to be effective teachers. </w:t>
      </w:r>
    </w:p>
    <w:p w14:paraId="13EE134B" w14:textId="63D8A31A" w:rsidR="00AE3E76" w:rsidRDefault="00A473DE" w:rsidP="003812D7">
      <w:pPr>
        <w:pStyle w:val="ListBullet"/>
      </w:pPr>
      <w:r>
        <w:t>s</w:t>
      </w:r>
      <w:r w:rsidR="00AE3E76">
        <w:t xml:space="preserve">mall group learning — </w:t>
      </w:r>
      <w:r w:rsidR="00320B02">
        <w:t>assigning tasks to small groups</w:t>
      </w:r>
      <w:r w:rsidR="00C716E2">
        <w:t>, teaching group work skills (or students having prior experience)</w:t>
      </w:r>
      <w:r w:rsidR="005A56E9">
        <w:t xml:space="preserve">, </w:t>
      </w:r>
      <w:r w:rsidR="00320B02">
        <w:t>employing cooperative learning strategies</w:t>
      </w:r>
      <w:r w:rsidR="005A56E9">
        <w:t xml:space="preserve">, and adapting content to ability groupings when they are used. </w:t>
      </w:r>
    </w:p>
    <w:p w14:paraId="70243E66" w14:textId="6373EC76" w:rsidR="00876D27" w:rsidRDefault="00A473DE" w:rsidP="003812D7">
      <w:pPr>
        <w:pStyle w:val="ListBullet"/>
      </w:pPr>
      <w:r>
        <w:t>p</w:t>
      </w:r>
      <w:r w:rsidR="00876D27">
        <w:t xml:space="preserve">ositive peer influences — </w:t>
      </w:r>
      <w:r w:rsidR="00C4023B">
        <w:t xml:space="preserve">building a classroom culture where students are influenced by their peers to </w:t>
      </w:r>
      <w:r w:rsidR="00E837EE">
        <w:t xml:space="preserve">undertake prosocial actions. </w:t>
      </w:r>
    </w:p>
    <w:p w14:paraId="7D03009B" w14:textId="3CCC6422" w:rsidR="00900FAF" w:rsidRDefault="00A473DE" w:rsidP="003812D7">
      <w:pPr>
        <w:pStyle w:val="ListBullet"/>
      </w:pPr>
      <w:r>
        <w:t>t</w:t>
      </w:r>
      <w:r w:rsidR="00900FAF">
        <w:t xml:space="preserve">eacher-student relationships — building positive relationships with students by developing their agency, efficacy, and respectfully recognising what the child brings to the class; practising the skills of active listening, empathy, caring, and having a positive regard for others. </w:t>
      </w:r>
    </w:p>
    <w:p w14:paraId="5FDD978C" w14:textId="58551D29" w:rsidR="00900FAF" w:rsidRDefault="00A473DE" w:rsidP="003812D7">
      <w:pPr>
        <w:pStyle w:val="ListBullet"/>
      </w:pPr>
      <w:r>
        <w:t>s</w:t>
      </w:r>
      <w:r w:rsidR="00900FAF">
        <w:t xml:space="preserve">trong classroom cohesion — fostering a sense that all (teachers and students) are working towards positive learning gains by employing goal directedness, positive interpersonal relations, and social support. </w:t>
      </w:r>
    </w:p>
    <w:p w14:paraId="042CCCB1" w14:textId="77777777" w:rsidR="005D66F0" w:rsidRDefault="005D66F0" w:rsidP="003812D7"/>
    <w:p w14:paraId="0AF2D3D7" w14:textId="372FF404" w:rsidR="00143844" w:rsidRDefault="000F37F7" w:rsidP="003812D7">
      <w:pPr>
        <w:pStyle w:val="Heading2"/>
      </w:pPr>
      <w:r>
        <w:t>Discussion</w:t>
      </w:r>
    </w:p>
    <w:p w14:paraId="1E9401EF" w14:textId="128839DB" w:rsidR="003B6D1A" w:rsidRDefault="00BB2435" w:rsidP="003812D7">
      <w:r>
        <w:t>In many learning environments, d</w:t>
      </w:r>
      <w:r w:rsidR="00044E77">
        <w:t xml:space="preserve">iscussion </w:t>
      </w:r>
      <w:r w:rsidR="001918F7">
        <w:t xml:space="preserve">is seen as </w:t>
      </w:r>
      <w:r w:rsidR="007739B8">
        <w:t xml:space="preserve">an </w:t>
      </w:r>
      <w:r w:rsidR="001918F7">
        <w:t xml:space="preserve">integral </w:t>
      </w:r>
      <w:r w:rsidR="006B54F7">
        <w:t xml:space="preserve">lesson </w:t>
      </w:r>
      <w:r>
        <w:t>component</w:t>
      </w:r>
      <w:r w:rsidR="006B54F7">
        <w:t>, taking place in a range of configurations such as whole-class, small-group, and pairs</w:t>
      </w:r>
      <w:r w:rsidR="006E12ED">
        <w:t xml:space="preserve"> </w:t>
      </w:r>
      <w:r w:rsidR="00D56930">
        <w:t>while</w:t>
      </w:r>
      <w:r w:rsidR="006E12ED">
        <w:t xml:space="preserve"> occurring at any stage of the learning sequence. </w:t>
      </w:r>
      <w:r w:rsidR="009C2CB5">
        <w:t xml:space="preserve">High quality </w:t>
      </w:r>
      <w:r w:rsidR="00054550">
        <w:t xml:space="preserve">classroom </w:t>
      </w:r>
      <w:r w:rsidR="009C2CB5">
        <w:t>discussion encompasses effective listening and speaking skills</w:t>
      </w:r>
      <w:r w:rsidR="00B53BD4">
        <w:t xml:space="preserve"> and </w:t>
      </w:r>
      <w:r w:rsidR="00E1225F">
        <w:t xml:space="preserve">is sometimes purposefully structured to develop students’ </w:t>
      </w:r>
      <w:r w:rsidR="00B53BD4">
        <w:t>understanding</w:t>
      </w:r>
      <w:r w:rsidR="00E1225F">
        <w:t xml:space="preserve"> of key concepts</w:t>
      </w:r>
      <w:r w:rsidR="00B53BD4">
        <w:t>, empathy</w:t>
      </w:r>
      <w:r w:rsidR="00E1225F">
        <w:t xml:space="preserve"> towards others</w:t>
      </w:r>
      <w:r w:rsidR="00B53BD4">
        <w:t>,</w:t>
      </w:r>
      <w:r w:rsidR="00E1225F">
        <w:t xml:space="preserve"> ability</w:t>
      </w:r>
      <w:r w:rsidR="00B53BD4">
        <w:t xml:space="preserve"> </w:t>
      </w:r>
      <w:r w:rsidR="00E1225F">
        <w:t xml:space="preserve">to </w:t>
      </w:r>
      <w:r w:rsidR="00B53BD4">
        <w:t>reason, and</w:t>
      </w:r>
      <w:r w:rsidR="00E1225F">
        <w:t>/or</w:t>
      </w:r>
      <w:r w:rsidR="00B53BD4">
        <w:t xml:space="preserve"> </w:t>
      </w:r>
      <w:r w:rsidR="00E1225F">
        <w:t xml:space="preserve">capacity for </w:t>
      </w:r>
      <w:r w:rsidR="00B53BD4">
        <w:t xml:space="preserve">critical thinking. </w:t>
      </w:r>
      <w:r w:rsidR="008C38DF">
        <w:t>T</w:t>
      </w:r>
      <w:r w:rsidR="00B53BD4">
        <w:t>heoretically, discussion</w:t>
      </w:r>
      <w:r w:rsidR="00850D10">
        <w:t xml:space="preserve"> is </w:t>
      </w:r>
      <w:r w:rsidR="008C38DF">
        <w:t xml:space="preserve">seen as </w:t>
      </w:r>
      <w:r w:rsidR="00D81638">
        <w:t xml:space="preserve">ideally </w:t>
      </w:r>
      <w:r w:rsidR="00714A9F">
        <w:t>occurring in the</w:t>
      </w:r>
      <w:r w:rsidR="00D81638">
        <w:t xml:space="preserve"> form of </w:t>
      </w:r>
      <w:r w:rsidR="00A43BD3">
        <w:t xml:space="preserve">meaningful </w:t>
      </w:r>
      <w:r w:rsidR="00850D10">
        <w:t>dialogue.</w:t>
      </w:r>
      <w:r w:rsidR="006038D1">
        <w:t xml:space="preserve"> Contemporary strategies such as Socratic</w:t>
      </w:r>
      <w:r w:rsidR="00143AA9">
        <w:t xml:space="preserve"> discussion are in fact derived from </w:t>
      </w:r>
      <w:r w:rsidR="000558FD">
        <w:t xml:space="preserve">Platonic </w:t>
      </w:r>
      <w:r w:rsidR="00E71E48">
        <w:t>texts</w:t>
      </w:r>
      <w:r w:rsidR="000558FD">
        <w:t xml:space="preserve"> </w:t>
      </w:r>
      <w:r w:rsidR="00490352">
        <w:t xml:space="preserve">written in Ancient times </w:t>
      </w:r>
      <w:r w:rsidR="00804B4C">
        <w:t xml:space="preserve">with Socrates as a </w:t>
      </w:r>
      <w:r w:rsidR="00FF3C50">
        <w:t xml:space="preserve">central figure speaking </w:t>
      </w:r>
      <w:r w:rsidR="006A2C07">
        <w:t xml:space="preserve">in often lengthy dialogue with others to find </w:t>
      </w:r>
      <w:r w:rsidR="00E745E3">
        <w:t xml:space="preserve">the extent of </w:t>
      </w:r>
      <w:r w:rsidR="006A2C07">
        <w:t xml:space="preserve">value and </w:t>
      </w:r>
      <w:r w:rsidR="00573E0C">
        <w:t>truth in their opinions</w:t>
      </w:r>
      <w:r w:rsidR="00713BBF">
        <w:t xml:space="preserve">. </w:t>
      </w:r>
    </w:p>
    <w:p w14:paraId="2FC4DFB4" w14:textId="10B461E3" w:rsidR="00982B51" w:rsidRDefault="00344526" w:rsidP="003812D7">
      <w:r>
        <w:t>E</w:t>
      </w:r>
      <w:r w:rsidR="001F2614">
        <w:t xml:space="preserve">ducational </w:t>
      </w:r>
      <w:r w:rsidR="00045A46">
        <w:t xml:space="preserve">theorists </w:t>
      </w:r>
      <w:r w:rsidR="00D40DC0">
        <w:t xml:space="preserve">such as Dewey and Piaget embraced dialogue </w:t>
      </w:r>
      <w:r w:rsidR="00D81638">
        <w:t xml:space="preserve">as a </w:t>
      </w:r>
      <w:r w:rsidR="00714A9F">
        <w:t xml:space="preserve">vehicle for bridging inter- and intra-psychological </w:t>
      </w:r>
      <w:r w:rsidR="0002341A">
        <w:t xml:space="preserve">planes </w:t>
      </w:r>
      <w:r w:rsidR="00112E1D">
        <w:t xml:space="preserve">whereby students learn </w:t>
      </w:r>
      <w:r w:rsidR="00D613E0">
        <w:t xml:space="preserve">effective </w:t>
      </w:r>
      <w:r w:rsidR="00112E1D">
        <w:t>cognitive processes through external discussion with others that are then internalised</w:t>
      </w:r>
      <w:r w:rsidR="00CE3DFC">
        <w:t xml:space="preserve"> and play a pivotal role in supporting autonomous learning and learner-led inquiry. </w:t>
      </w:r>
      <w:r w:rsidR="00E243E5">
        <w:t xml:space="preserve">Dewey </w:t>
      </w:r>
      <w:r w:rsidR="00766DDF">
        <w:fldChar w:fldCharType="begin"/>
      </w:r>
      <w:r w:rsidR="001A1E34">
        <w:instrText xml:space="preserve"> ADDIN ZOTERO_ITEM CSL_CITATION {"citationID":"uxS0d8Bs","properties":{"formattedCitation":"(1916)","plainCitation":"(1916)","noteIndex":0},"citationItems":[{"id":2236,"uris":["http://zotero.org/users/702074/items/I3TWWWN8"],"uri":["http://zotero.org/users/702074/items/I3TWWWN8"],"itemData":{"id":2236,"type":"book","event-place":"Chicago","publisher":"Chicago University","publisher-place":"Chicago","source":"Google Scholar","title":"Essays in experimental logic","author":[{"family":"Dewey","given":"John"}],"issued":{"date-parts":[["1916"]]}},"suppress-author":true}],"schema":"https://github.com/citation-style-language/schema/raw/master/csl-citation.json"} </w:instrText>
      </w:r>
      <w:r w:rsidR="00766DDF">
        <w:fldChar w:fldCharType="separate"/>
      </w:r>
      <w:r w:rsidR="001A1E34" w:rsidRPr="001A1E34">
        <w:rPr>
          <w:rFonts w:ascii="Calibri" w:hAnsi="Calibri" w:cs="Calibri"/>
        </w:rPr>
        <w:t>(1916)</w:t>
      </w:r>
      <w:r w:rsidR="00766DDF">
        <w:fldChar w:fldCharType="end"/>
      </w:r>
      <w:r w:rsidR="001A1E34">
        <w:t xml:space="preserve"> described this bridging process</w:t>
      </w:r>
      <w:r w:rsidR="00973AAA">
        <w:t xml:space="preserve"> as “the discussion which at first took place by bringing ideas from different persons into contact…. [becoming] a habit of the individual with themselves” </w:t>
      </w:r>
      <w:r w:rsidR="007F6B4E">
        <w:t>(p. 195)</w:t>
      </w:r>
      <w:r w:rsidR="00973AAA">
        <w:t>.</w:t>
      </w:r>
      <w:r w:rsidR="00A460FE">
        <w:t xml:space="preserve"> </w:t>
      </w:r>
      <w:r w:rsidR="00982B51">
        <w:t xml:space="preserve">As Murphy, Wilkinson, Soter and Hennessy </w:t>
      </w:r>
      <w:r w:rsidR="00392C49">
        <w:fldChar w:fldCharType="begin"/>
      </w:r>
      <w:r w:rsidR="00BB52ED">
        <w:instrText xml:space="preserve"> ADDIN ZOTERO_ITEM CSL_CITATION {"citationID":"tMH3wMsB","properties":{"formattedCitation":"(2011)","plainCitation":"(2011)","noteIndex":0},"citationItems":[{"id":2225,"uris":["http://zotero.org/users/702074/items/3GN92AMB"],"uri":["http://zotero.org/users/702074/items/3GN92AMB"],"itemData":{"id":2225,"type":"article-journal","container-title":"Handbook of research on learning and instruction","note":"publisher: Routledge New York, NY","page":"382–407","source":"Google Scholar","title":"Instruction based on discussion","author":[{"family":"Murphy","given":"P. Karen"},{"family":"Wilkinson","given":"Ian AG"},{"family":"Soter","given":"Anna O."},{"family":"Hennessy","given":"M. N."}],"issued":{"date-parts":[["2011"]]}},"suppress-author":true}],"schema":"https://github.com/citation-style-language/schema/raw/master/csl-citation.json"} </w:instrText>
      </w:r>
      <w:r w:rsidR="00392C49">
        <w:fldChar w:fldCharType="separate"/>
      </w:r>
      <w:r w:rsidR="00392C49" w:rsidRPr="00392C49">
        <w:rPr>
          <w:rFonts w:ascii="Calibri" w:hAnsi="Calibri" w:cs="Calibri"/>
        </w:rPr>
        <w:t>(2011)</w:t>
      </w:r>
      <w:r w:rsidR="00392C49">
        <w:fldChar w:fldCharType="end"/>
      </w:r>
      <w:r w:rsidR="00392C49">
        <w:t xml:space="preserve"> elaborate: </w:t>
      </w:r>
    </w:p>
    <w:p w14:paraId="640B978F" w14:textId="2C741286" w:rsidR="00392C49" w:rsidRDefault="005E6CDB" w:rsidP="003812D7">
      <w:pPr>
        <w:pStyle w:val="IndentedQuote"/>
      </w:pPr>
      <w:r>
        <w:t>D</w:t>
      </w:r>
      <w:r w:rsidR="00392C49">
        <w:t>iscussion plays a very important role in the development of logical thought</w:t>
      </w:r>
      <w:r w:rsidR="001F4E4A">
        <w:t>… [and]</w:t>
      </w:r>
      <w:r w:rsidR="00392C49">
        <w:t xml:space="preserve"> embodies the very process whereby ideas are brought together and shaken-up and their viability is tested. This testing of ideas encourages doubt and inquiry on the part of the discussion participants… participants—as a consequence of participating in this meaning-making experience—internalize the process, and thereafter are able to have such discussions within their own consciousness</w:t>
      </w:r>
      <w:r w:rsidR="006775FA">
        <w:t xml:space="preserve"> (p. 433)</w:t>
      </w:r>
      <w:r w:rsidR="001F4E4A">
        <w:t>.</w:t>
      </w:r>
    </w:p>
    <w:p w14:paraId="5F06B81C" w14:textId="040D8C43" w:rsidR="000D7700" w:rsidRDefault="000D7700" w:rsidP="003812D7">
      <w:r>
        <w:t xml:space="preserve">In education, the concepts of </w:t>
      </w:r>
      <w:r w:rsidRPr="00946B40">
        <w:rPr>
          <w:i/>
          <w:iCs/>
        </w:rPr>
        <w:t>dialogic discourse</w:t>
      </w:r>
      <w:r>
        <w:t xml:space="preserve">, </w:t>
      </w:r>
      <w:r w:rsidRPr="00946B40">
        <w:rPr>
          <w:i/>
          <w:iCs/>
        </w:rPr>
        <w:t>dialogic literacy</w:t>
      </w:r>
      <w:r>
        <w:t xml:space="preserve">, and </w:t>
      </w:r>
      <w:r w:rsidRPr="00946B40">
        <w:rPr>
          <w:i/>
          <w:iCs/>
        </w:rPr>
        <w:t>dialogic pedagogy</w:t>
      </w:r>
      <w:r>
        <w:t xml:space="preserve"> all extend from dialogue as an educative process. Bereiter and Scardamalia </w:t>
      </w:r>
      <w:r>
        <w:fldChar w:fldCharType="begin"/>
      </w:r>
      <w:r>
        <w:instrText xml:space="preserve"> ADDIN ZOTERO_ITEM CSL_CITATION {"citationID":"3V2he44A","properties":{"formattedCitation":"(2005)","plainCitation":"(2005)","noteIndex":0},"citationItems":[{"id":2234,"uris":["http://zotero.org/users/702074/items/TI95KDKU"],"uri":["http://zotero.org/users/702074/items/TI95KDKU"],"itemData":{"id":2234,"type":"chapter","container-title":"International handbook of educational policy","page":"749–761","publisher":"Springer","source":"Google Scholar","title":"Technology and literacies: From print literacy to dialogic literacy","title-short":"Technology and literacies","author":[{"family":"Bereiter","given":"Carl"},{"family":"Scardamalia","given":"Marlene"}],"issued":{"date-parts":[["2005"]]}},"suppress-author":true}],"schema":"https://github.com/citation-style-language/schema/raw/master/csl-citation.json"} </w:instrText>
      </w:r>
      <w:r>
        <w:fldChar w:fldCharType="separate"/>
      </w:r>
      <w:r w:rsidRPr="006A3207">
        <w:rPr>
          <w:rFonts w:ascii="Calibri" w:hAnsi="Calibri" w:cs="Calibri"/>
        </w:rPr>
        <w:t>(2005)</w:t>
      </w:r>
      <w:r>
        <w:fldChar w:fldCharType="end"/>
      </w:r>
      <w:r>
        <w:t xml:space="preserve"> explain that </w:t>
      </w:r>
      <w:r w:rsidR="006E74A6">
        <w:t xml:space="preserve">when </w:t>
      </w:r>
      <w:r w:rsidR="002009B6">
        <w:t>dialogue</w:t>
      </w:r>
      <w:r w:rsidR="006E74A6">
        <w:t xml:space="preserve"> is</w:t>
      </w:r>
      <w:r w:rsidR="002009B6">
        <w:t xml:space="preserve"> open-ended, </w:t>
      </w:r>
      <w:r w:rsidR="006E74A6">
        <w:t>the learning goal often “</w:t>
      </w:r>
      <w:r w:rsidR="004C615E">
        <w:t xml:space="preserve">evolves or </w:t>
      </w:r>
      <w:r w:rsidR="006E74A6">
        <w:t>emerge</w:t>
      </w:r>
      <w:r w:rsidR="004C615E">
        <w:t xml:space="preserve">s as the dialogue proceeds… [and] </w:t>
      </w:r>
      <w:r w:rsidR="0053694D">
        <w:t xml:space="preserve">the </w:t>
      </w:r>
      <w:r w:rsidR="004C615E">
        <w:t>ability to sustain this open-ended yet goal directed character would seem to be a hallmark of dialogic literacy</w:t>
      </w:r>
      <w:r w:rsidR="00CA37A1">
        <w:t>”</w:t>
      </w:r>
      <w:r w:rsidR="004C615E">
        <w:t xml:space="preserve"> (p. 13). </w:t>
      </w:r>
    </w:p>
    <w:p w14:paraId="718113F9" w14:textId="0158AAC9" w:rsidR="0088130B" w:rsidRDefault="00A51A11" w:rsidP="003812D7">
      <w:r>
        <w:t xml:space="preserve">Like collaboration, discussion </w:t>
      </w:r>
      <w:r w:rsidR="00002C47">
        <w:t xml:space="preserve">encompasses </w:t>
      </w:r>
      <w:r>
        <w:t xml:space="preserve">a </w:t>
      </w:r>
      <w:r w:rsidR="00002C47">
        <w:t xml:space="preserve">range of interpersonal </w:t>
      </w:r>
      <w:r w:rsidR="00673A5C">
        <w:t xml:space="preserve">qualities </w:t>
      </w:r>
      <w:r w:rsidR="00002C47">
        <w:t xml:space="preserve">that </w:t>
      </w:r>
      <w:r w:rsidR="002F6E4F">
        <w:t>are</w:t>
      </w:r>
      <w:r w:rsidR="003060B2">
        <w:t xml:space="preserve"> perceived as</w:t>
      </w:r>
      <w:r w:rsidR="00001CC8">
        <w:t xml:space="preserve"> necessary for future employment in a rapidly changing world. </w:t>
      </w:r>
      <w:r w:rsidR="008D2743">
        <w:t xml:space="preserve">However, </w:t>
      </w:r>
      <w:r w:rsidR="00205EEC">
        <w:t xml:space="preserve">recent </w:t>
      </w:r>
      <w:r w:rsidR="008D2743">
        <w:t>analys</w:t>
      </w:r>
      <w:r w:rsidR="00961BB1">
        <w:t>is</w:t>
      </w:r>
      <w:r w:rsidR="008D2743">
        <w:t xml:space="preserve"> also underscore</w:t>
      </w:r>
      <w:r w:rsidR="00961BB1">
        <w:t>s</w:t>
      </w:r>
      <w:r w:rsidR="008D2743">
        <w:t xml:space="preserve"> the importance of critical thinking</w:t>
      </w:r>
      <w:r w:rsidR="00961BB1">
        <w:t xml:space="preserve"> as a</w:t>
      </w:r>
      <w:r w:rsidR="00907237">
        <w:t xml:space="preserve"> </w:t>
      </w:r>
      <w:r w:rsidR="00961BB1">
        <w:t xml:space="preserve">skill </w:t>
      </w:r>
      <w:r w:rsidR="00907237">
        <w:t>of increasing importance</w:t>
      </w:r>
      <w:r w:rsidR="00673A5C">
        <w:t xml:space="preserve"> and suggests that discussion plays an important part in the development of this skill</w:t>
      </w:r>
      <w:r w:rsidR="00907237">
        <w:t xml:space="preserve">. </w:t>
      </w:r>
      <w:r w:rsidR="002E7EAF">
        <w:t xml:space="preserve">OECD </w:t>
      </w:r>
      <w:r w:rsidR="002E7EAF">
        <w:fldChar w:fldCharType="begin"/>
      </w:r>
      <w:r w:rsidR="002E7EAF">
        <w:instrText xml:space="preserve"> ADDIN ZOTERO_ITEM CSL_CITATION {"citationID":"Mvf1WpJi","properties":{"formattedCitation":"(2018)","plainCitation":"(2018)","noteIndex":0},"citationItems":[{"id":1108,"uris":["http://zotero.org/users/702074/items/ZP45SF8V"],"uri":["http://zotero.org/users/702074/items/ZP45SF8V"],"itemData":{"id":1108,"type":"webpage","title":"OECD Education 2030","URL":"http://www.oecd.org/education/2030/","author":[{"literal":"OECD"}],"issued":{"date-parts":[["2018"]]}},"suppress-author":true}],"schema":"https://github.com/citation-style-language/schema/raw/master/csl-citation.json"} </w:instrText>
      </w:r>
      <w:r w:rsidR="002E7EAF">
        <w:fldChar w:fldCharType="separate"/>
      </w:r>
      <w:r w:rsidR="002E7EAF" w:rsidRPr="002E7EAF">
        <w:rPr>
          <w:rFonts w:ascii="Calibri" w:hAnsi="Calibri" w:cs="Calibri"/>
        </w:rPr>
        <w:t>(2018)</w:t>
      </w:r>
      <w:r w:rsidR="002E7EAF">
        <w:fldChar w:fldCharType="end"/>
      </w:r>
      <w:r w:rsidR="002E7EAF">
        <w:t xml:space="preserve"> </w:t>
      </w:r>
      <w:r w:rsidR="003060B2">
        <w:t xml:space="preserve">believes that </w:t>
      </w:r>
      <w:r w:rsidR="00883641">
        <w:t>interpersonal connections are key when navigating “through uncertainty, across a wide variety of contexts</w:t>
      </w:r>
      <w:r w:rsidR="00CF3240">
        <w:t xml:space="preserve"> in time, social space, and digital space” (p. 5) while </w:t>
      </w:r>
      <w:r w:rsidR="002E7EAF">
        <w:t xml:space="preserve">Davies, Fidler, and Gorbis </w:t>
      </w:r>
      <w:r w:rsidR="002E7EAF">
        <w:fldChar w:fldCharType="begin"/>
      </w:r>
      <w:r w:rsidR="0082559A">
        <w:instrText xml:space="preserve"> ADDIN ZOTERO_ITEM CSL_CITATION {"citationID":"4qeDGugS","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2E7EAF">
        <w:fldChar w:fldCharType="separate"/>
      </w:r>
      <w:r w:rsidR="0082559A" w:rsidRPr="0082559A">
        <w:rPr>
          <w:rFonts w:ascii="Calibri" w:hAnsi="Calibri" w:cs="Calibri"/>
        </w:rPr>
        <w:t>(2011)</w:t>
      </w:r>
      <w:r w:rsidR="002E7EAF">
        <w:fldChar w:fldCharType="end"/>
      </w:r>
      <w:r w:rsidR="0082559A">
        <w:t xml:space="preserve"> </w:t>
      </w:r>
      <w:r w:rsidR="00CF3240">
        <w:t xml:space="preserve">similarly </w:t>
      </w:r>
      <w:r w:rsidR="003B76E5">
        <w:t>propose</w:t>
      </w:r>
      <w:r w:rsidR="00A3716B">
        <w:t xml:space="preserve"> </w:t>
      </w:r>
      <w:r w:rsidR="00F80B78">
        <w:t xml:space="preserve">the future work skill of </w:t>
      </w:r>
      <w:r w:rsidR="00A3716B">
        <w:t xml:space="preserve">sense-making as the “ability to determine the deeper meaning or significance of what is being expressed” (p.8). </w:t>
      </w:r>
      <w:r w:rsidR="00B0617F">
        <w:t xml:space="preserve">Foundation for Young Australians </w:t>
      </w:r>
      <w:r w:rsidR="00B0617F">
        <w:fldChar w:fldCharType="begin"/>
      </w:r>
      <w:r w:rsidR="00A54471">
        <w:instrText xml:space="preserve"> ADDIN ZOTERO_ITEM CSL_CITATION {"citationID":"CfpiZJla","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B0617F">
        <w:fldChar w:fldCharType="separate"/>
      </w:r>
      <w:r w:rsidR="00A54471" w:rsidRPr="00A54471">
        <w:rPr>
          <w:rFonts w:ascii="Calibri" w:hAnsi="Calibri" w:cs="Calibri"/>
        </w:rPr>
        <w:t>(2017)</w:t>
      </w:r>
      <w:r w:rsidR="00B0617F">
        <w:fldChar w:fldCharType="end"/>
      </w:r>
      <w:r w:rsidR="00A54471">
        <w:t xml:space="preserve"> </w:t>
      </w:r>
      <w:r w:rsidR="005228F2">
        <w:t>highlights</w:t>
      </w:r>
      <w:r w:rsidR="00202ACB">
        <w:t xml:space="preserve"> “t</w:t>
      </w:r>
      <w:r w:rsidR="00202ACB" w:rsidRPr="00202ACB">
        <w:t>he need for judgment and critical thinking at work</w:t>
      </w:r>
      <w:r w:rsidR="00E72853">
        <w:t xml:space="preserve"> —</w:t>
      </w:r>
      <w:r w:rsidR="00202ACB" w:rsidRPr="00202ACB">
        <w:t xml:space="preserve"> such as coming up with innovative ways of doing things differently and experimenting with new ideas and testing hypotheses</w:t>
      </w:r>
      <w:r w:rsidR="00202ACB">
        <w:t xml:space="preserve">” (p. 16). </w:t>
      </w:r>
      <w:r w:rsidR="00BD1AA4">
        <w:t xml:space="preserve">Both PwC </w:t>
      </w:r>
      <w:r w:rsidR="00BD1AA4">
        <w:fldChar w:fldCharType="begin"/>
      </w:r>
      <w:r w:rsidR="00BD1AA4">
        <w:instrText xml:space="preserve"> ADDIN ZOTERO_ITEM CSL_CITATION {"citationID":"xLEj8DLp","properties":{"formattedCitation":"(2015)","plainCitation":"(2015)","noteIndex":0},"citationItems":[{"id":969,"uris":["http://zotero.org/users/702074/items/MCDK8K6S"],"uri":["http://zotero.org/users/702074/items/MCDK8K6S"],"itemData":{"id":969,"type":"report","title":"Future-proofing Australia’s workforce by growing skills in science, technology, engineering and maths (STEM) - A smart move","URL":"https://www.pwc.com.au/pdf/a-smart-move-pwc-stem-report-april-2015.pdf","author":[{"literal":"PwC"}],"accessed":{"date-parts":[["2018",10,7]]},"issued":{"date-parts":[["2015"]]}},"suppress-author":true}],"schema":"https://github.com/citation-style-language/schema/raw/master/csl-citation.json"} </w:instrText>
      </w:r>
      <w:r w:rsidR="00BD1AA4">
        <w:fldChar w:fldCharType="separate"/>
      </w:r>
      <w:r w:rsidR="00BD1AA4" w:rsidRPr="00BD1AA4">
        <w:rPr>
          <w:rFonts w:ascii="Calibri" w:hAnsi="Calibri" w:cs="Calibri"/>
        </w:rPr>
        <w:t>(2015)</w:t>
      </w:r>
      <w:r w:rsidR="00BD1AA4">
        <w:fldChar w:fldCharType="end"/>
      </w:r>
      <w:r w:rsidR="00BD1AA4">
        <w:t xml:space="preserve"> and the Office of the Chief Scientist </w:t>
      </w:r>
      <w:r w:rsidR="00D5459E">
        <w:fldChar w:fldCharType="begin"/>
      </w:r>
      <w:r w:rsidR="00D5459E">
        <w:instrText xml:space="preserve"> ADDIN ZOTERO_ITEM CSL_CITATION {"citationID":"NryjYGdb","properties":{"formattedCitation":"(2016)","plainCitation":"(2016)","noteIndex":0},"citationItems":[{"id":1097,"uris":["http://zotero.org/users/702074/items/W6PLCU4K"],"uri":["http://zotero.org/users/702074/items/W6PLCU4K"],"itemData":{"id":1097,"type":"report","abstract":"Australia's future will rely on science, technology, engineering and mathematics (STEM) - disciplines at the core of innovation. Businesses will rely on STEM to compete in the emerging sectors that new technologies will create, as well as in the existing sectors which new technologies will transform. The Australian workforce will require specialised skills in STEM as well as high STEM literacy across the board to sustain economic growth. While it is known that STEM will be critical, very little is known about who possesses these skills in Australia, where they work or how their careers progress from graduation. This report is a comprehensive overview of available data and as such a measure of Australia's capability for STEM-led change. [Introduction].","event-place":"Canberra City","language":"en","note":"OCLC: 987590664","publisher":"Australian Government - Department of Industry and Science.","publisher-place":"Canberra City","source":"Open WorldCat","title":"Australia's STEM workforce: Science, Technology, Engineering and Mathematics.","title-short":"Australia's STEM workforce","author":[{"literal":"Office of the Chief Scientist"},{"family":"Baranyai","given":"Krisztian"},{"family":"Bowles","given":"Jennifer"},{"family":"Hassan","given":"Samira"},{"family":"Prinsley","given":"Roslyn"},{"family":"Smith","given":"Phillippa"},{"family":"Walter","given":"Chris"},{"literal":"Australia"},{"literal":"Office of the Chief Scientist"}],"issued":{"date-parts":[["2016"]]}},"suppress-author":true}],"schema":"https://github.com/citation-style-language/schema/raw/master/csl-citation.json"} </w:instrText>
      </w:r>
      <w:r w:rsidR="00D5459E">
        <w:fldChar w:fldCharType="separate"/>
      </w:r>
      <w:r w:rsidR="00D5459E" w:rsidRPr="00D5459E">
        <w:rPr>
          <w:rFonts w:ascii="Calibri" w:hAnsi="Calibri" w:cs="Calibri"/>
        </w:rPr>
        <w:t>(2016)</w:t>
      </w:r>
      <w:r w:rsidR="00D5459E">
        <w:fldChar w:fldCharType="end"/>
      </w:r>
      <w:r w:rsidR="00D5459E">
        <w:t xml:space="preserve"> stress the importance of developing </w:t>
      </w:r>
      <w:r w:rsidR="00AA7342">
        <w:t>critical thinking, problem solving, and analytic capabilities</w:t>
      </w:r>
      <w:r w:rsidR="00022F57">
        <w:t xml:space="preserve"> within a STEM context </w:t>
      </w:r>
      <w:r w:rsidR="00586E99">
        <w:t xml:space="preserve">while </w:t>
      </w:r>
      <w:r w:rsidR="00EA4FE2">
        <w:t>argu</w:t>
      </w:r>
      <w:r w:rsidR="00586E99">
        <w:t>ing</w:t>
      </w:r>
      <w:r w:rsidR="00EA4FE2">
        <w:t xml:space="preserve"> that </w:t>
      </w:r>
      <w:r w:rsidR="007B23C9">
        <w:t xml:space="preserve">communication </w:t>
      </w:r>
      <w:r w:rsidR="00586E99">
        <w:t>skills</w:t>
      </w:r>
      <w:r w:rsidR="00783ED9">
        <w:t xml:space="preserve"> acquired through </w:t>
      </w:r>
      <w:r w:rsidR="00594005">
        <w:t>scientific discussion and debate</w:t>
      </w:r>
      <w:r w:rsidR="00586E99">
        <w:t xml:space="preserve"> are equally essential </w:t>
      </w:r>
      <w:r w:rsidR="00AA6957">
        <w:t>in a wide range of</w:t>
      </w:r>
      <w:r w:rsidR="00066C88">
        <w:t xml:space="preserve"> STEM and non-STEM</w:t>
      </w:r>
      <w:r w:rsidR="00AA6957">
        <w:t xml:space="preserve"> occupations. </w:t>
      </w:r>
      <w:r w:rsidR="00AA7342">
        <w:t>Innovation and Science Australia</w:t>
      </w:r>
      <w:r w:rsidR="005F704C">
        <w:t xml:space="preserve"> </w:t>
      </w:r>
      <w:r w:rsidR="004F1552">
        <w:fldChar w:fldCharType="begin"/>
      </w:r>
      <w:r w:rsidR="004F1552">
        <w:instrText xml:space="preserve"> ADDIN ZOTERO_ITEM CSL_CITATION {"citationID":"DVSOBpXz","properties":{"formattedCitation":"(2017)","plainCitation":"(2017)","noteIndex":0},"citationItems":[{"id":970,"uris":["http://zotero.org/users/702074/items/WTFK2B7V"],"uri":["http://zotero.org/users/702074/items/WTFK2B7V"],"itemData":{"id":970,"type":"report","title":"Australia 2030 - Prosperity Through Innovation: a plan for Australia to thrive in the global innovation race","URL":"https://www.industry.gov.au/data-and-publications/australia-2030-prosperity-through-innovation","author":[{"literal":"Innovation and Science Australia"}],"accessed":{"date-parts":[["2018",10,7]]},"issued":{"date-parts":[["2017"]]}},"suppress-author":true}],"schema":"https://github.com/citation-style-language/schema/raw/master/csl-citation.json"} </w:instrText>
      </w:r>
      <w:r w:rsidR="004F1552">
        <w:fldChar w:fldCharType="separate"/>
      </w:r>
      <w:r w:rsidR="004F1552" w:rsidRPr="004F1552">
        <w:rPr>
          <w:rFonts w:ascii="Calibri" w:hAnsi="Calibri" w:cs="Calibri"/>
        </w:rPr>
        <w:t>(2017)</w:t>
      </w:r>
      <w:r w:rsidR="004F1552">
        <w:fldChar w:fldCharType="end"/>
      </w:r>
      <w:r w:rsidR="004F1552">
        <w:t xml:space="preserve"> </w:t>
      </w:r>
      <w:r w:rsidR="006A6F1B">
        <w:t xml:space="preserve">similarly </w:t>
      </w:r>
      <w:r w:rsidR="005F704C">
        <w:t>points to a likely increase of “interaction jobs [that] involve more complex human interactions and judgements</w:t>
      </w:r>
      <w:r w:rsidR="004A11FF">
        <w:t>… [and] will account for 60% of the workforce by 2030”</w:t>
      </w:r>
      <w:r w:rsidR="00BB6D3B">
        <w:t>, further arguing that “s</w:t>
      </w:r>
      <w:r w:rsidR="0088130B">
        <w:t>uccess will require workers to have the ability to communicate and empathise with other</w:t>
      </w:r>
      <w:r w:rsidR="0061067B">
        <w:t xml:space="preserve"> </w:t>
      </w:r>
      <w:r w:rsidR="0088130B">
        <w:t>workers and customers</w:t>
      </w:r>
      <w:r w:rsidR="0061067B">
        <w:t>”</w:t>
      </w:r>
      <w:r w:rsidR="00BB6D3B">
        <w:t xml:space="preserve"> (p. 11, 13). </w:t>
      </w:r>
    </w:p>
    <w:p w14:paraId="11FC41B2" w14:textId="57827FB8" w:rsidR="003B6D1A" w:rsidRDefault="001F505C" w:rsidP="003812D7">
      <w:r>
        <w:t xml:space="preserve">In </w:t>
      </w:r>
      <w:r w:rsidR="00382ACA">
        <w:t>Hattie</w:t>
      </w:r>
      <w:r>
        <w:t>’s</w:t>
      </w:r>
      <w:r w:rsidR="00382ACA">
        <w:t xml:space="preserve"> </w:t>
      </w:r>
      <w:r w:rsidR="00CB5F74">
        <w:fldChar w:fldCharType="begin"/>
      </w:r>
      <w:r w:rsidR="00CB5F74">
        <w:instrText xml:space="preserve"> ADDIN ZOTERO_ITEM CSL_CITATION {"citationID":"WtRasrJU","properties":{"formattedCitation":"(2012)","plainCitation":"(2012)","noteIndex":0},"citationItems":[{"id":1059,"uris":["http://zotero.org/users/702074/items/7NB87Y2X"],"uri":["http://zotero.org/users/702074/items/7NB87Y2X"],"itemData":{"id":1059,"type":"book","abstract":"\"In November 2008, John Hattie's ground-breaking book Visible Learning synthesised the results of more than 15 years research involving millions of students and represented the biggest ever collection of evidence-based research into what actually works in schools to improve learning. Visible Learning for Teachers takes the next step and brings those ground breaking concepts to a completely new audience. Written for students, pre-service and in-service teachers, it explains how to apply the principles of Visible Learning to any classroom anywhere in the world. The author offers concise and user-friendly summaries of the most successful interventions and offers practical step by step guidance to the successful implementation of visible learning and visible teaching in the classroom. This book: - Links the biggest ever research project on teaching strategies to practical classroom implementation - Champions both teacher and student perspectives and contains step by step guidance including lesson preparation, interpreting learning and feedback during the lesson and post lesson follow up - Offers checklists, exercises, case studies and best practice scenarios to assist in raising achievement - Includes whole school checklists and advice for school leaders on facilitating visible learning in their institution - Now includes additional meta-analyses bringing the total cited within the research to over 900 - Comprehensively covers numerous areas of learning activity including pupil motivation, curriculum, meta-cognitive strategies, behaviour, teaching strategies, and classroom management. Visible Learning for Teachers is a must read for any student or teacher who wants an evidence based answer to the question; 'how do we maximise achievement in our schools?'\"-- Provided by publisher","call-number":"LB1025.3 .H38 2012","event-place":"London ; New York","ISBN":"978-0-415-69014-0","language":"en","note":"OCLC: ocn727702478","number-of-pages":"269","publisher":"Routledge","publisher-place":"London ; New York","source":"Library of Congress ISBN","title":"Visible learning for teachers: maximizing impact on learning","title-short":"Visible learning for teachers","author":[{"family":"Hattie","given":"John"}],"issued":{"date-parts":[["2012"]]}},"suppress-author":true}],"schema":"https://github.com/citation-style-language/schema/raw/master/csl-citation.json"} </w:instrText>
      </w:r>
      <w:r w:rsidR="00CB5F74">
        <w:fldChar w:fldCharType="separate"/>
      </w:r>
      <w:r w:rsidR="00CB5F74" w:rsidRPr="00CB5F74">
        <w:rPr>
          <w:rFonts w:ascii="Calibri" w:hAnsi="Calibri" w:cs="Calibri"/>
        </w:rPr>
        <w:t>(2012)</w:t>
      </w:r>
      <w:r w:rsidR="00CB5F74">
        <w:fldChar w:fldCharType="end"/>
      </w:r>
      <w:r w:rsidR="00631FBA">
        <w:t xml:space="preserve"> </w:t>
      </w:r>
      <w:r>
        <w:t xml:space="preserve">revised </w:t>
      </w:r>
      <w:r w:rsidR="008E4FA8">
        <w:t xml:space="preserve">meta-analysis, classroom discussion emerged as </w:t>
      </w:r>
      <w:r w:rsidR="003D2955">
        <w:t>the seventh-</w:t>
      </w:r>
      <w:r w:rsidR="00DE4019">
        <w:t>ranked</w:t>
      </w:r>
      <w:r w:rsidR="008E4FA8">
        <w:t xml:space="preserve"> high</w:t>
      </w:r>
      <w:r w:rsidR="00DE4019">
        <w:t xml:space="preserve"> </w:t>
      </w:r>
      <w:r w:rsidR="008E4FA8">
        <w:t>impact strategy (</w:t>
      </w:r>
      <w:r w:rsidR="008E4FA8">
        <w:rPr>
          <w:i/>
          <w:iCs/>
        </w:rPr>
        <w:t>d</w:t>
      </w:r>
      <w:r w:rsidR="008E4FA8">
        <w:t>=</w:t>
      </w:r>
      <w:r w:rsidR="003D2955">
        <w:t>0.82)</w:t>
      </w:r>
      <w:r w:rsidR="001E0E61">
        <w:t xml:space="preserve"> </w:t>
      </w:r>
      <w:r w:rsidR="000948D7">
        <w:t xml:space="preserve">and </w:t>
      </w:r>
      <w:r w:rsidR="00DD68A4">
        <w:t xml:space="preserve">is </w:t>
      </w:r>
      <w:r w:rsidR="000948D7">
        <w:t>considered particularly powerful as an enabler of high</w:t>
      </w:r>
      <w:r w:rsidR="0707F8CE">
        <w:t>-</w:t>
      </w:r>
      <w:r w:rsidR="000948D7">
        <w:t xml:space="preserve">quality feedback. Other strategies </w:t>
      </w:r>
      <w:r w:rsidR="00EE1C59">
        <w:t xml:space="preserve">encompassed in the author’s </w:t>
      </w:r>
      <w:r w:rsidR="00EE1C59">
        <w:fldChar w:fldCharType="begin"/>
      </w:r>
      <w:r w:rsidR="00AD0E3D">
        <w:instrText xml:space="preserve"> ADDIN ZOTERO_ITEM CSL_CITATION {"citationID":"pNjpw9B2","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00EE1C59">
        <w:fldChar w:fldCharType="separate"/>
      </w:r>
      <w:r w:rsidR="00AD0E3D" w:rsidRPr="00AD0E3D">
        <w:rPr>
          <w:rFonts w:ascii="Calibri" w:hAnsi="Calibri" w:cs="Calibri"/>
        </w:rPr>
        <w:t>(2019)</w:t>
      </w:r>
      <w:r w:rsidR="00EE1C59">
        <w:fldChar w:fldCharType="end"/>
      </w:r>
      <w:r w:rsidR="00AD0E3D">
        <w:t xml:space="preserve"> </w:t>
      </w:r>
      <w:r w:rsidR="00E8087D">
        <w:t xml:space="preserve">most recent research </w:t>
      </w:r>
      <w:r w:rsidR="00EA3616">
        <w:t xml:space="preserve">that relate to discussion </w:t>
      </w:r>
      <w:r w:rsidR="00AD0E3D">
        <w:t>include:</w:t>
      </w:r>
    </w:p>
    <w:p w14:paraId="36723FED" w14:textId="1B1C19A3" w:rsidR="00BC384E" w:rsidRDefault="00A473DE" w:rsidP="003812D7">
      <w:pPr>
        <w:pStyle w:val="ListBullet"/>
      </w:pPr>
      <w:r>
        <w:t>q</w:t>
      </w:r>
      <w:r w:rsidR="0004073A">
        <w:t xml:space="preserve">uestioning — the posing of factual or conceptual questions to </w:t>
      </w:r>
      <w:r w:rsidR="00AF70DC">
        <w:t xml:space="preserve">students </w:t>
      </w:r>
    </w:p>
    <w:p w14:paraId="2CBAB82E" w14:textId="2CC56C7C" w:rsidR="004B1ADA" w:rsidRDefault="00A473DE" w:rsidP="003812D7">
      <w:pPr>
        <w:pStyle w:val="ListBullet"/>
      </w:pPr>
      <w:r>
        <w:t>e</w:t>
      </w:r>
      <w:r w:rsidR="00AF70DC">
        <w:t xml:space="preserve">laborative interrogation </w:t>
      </w:r>
      <w:r w:rsidR="003F482F">
        <w:t xml:space="preserve">— </w:t>
      </w:r>
      <w:r w:rsidR="00B93A46">
        <w:t xml:space="preserve">calling for </w:t>
      </w:r>
      <w:r w:rsidR="00661E55">
        <w:t>students to generate explanations for explicitly stated facts by asking a range of “why” questions</w:t>
      </w:r>
    </w:p>
    <w:p w14:paraId="390BC4C8" w14:textId="1BDF55D0" w:rsidR="00AF70DC" w:rsidRDefault="00A473DE" w:rsidP="003812D7">
      <w:pPr>
        <w:pStyle w:val="ListBullet"/>
      </w:pPr>
      <w:r>
        <w:t>j</w:t>
      </w:r>
      <w:r w:rsidR="004B1ADA">
        <w:t>igsaw method</w:t>
      </w:r>
      <w:r w:rsidR="00661E55">
        <w:t xml:space="preserve"> </w:t>
      </w:r>
      <w:r w:rsidR="004B1ADA">
        <w:t xml:space="preserve">– </w:t>
      </w:r>
      <w:r w:rsidR="000C6929">
        <w:t xml:space="preserve">the introduction of a main topic and several subtopics, assigning </w:t>
      </w:r>
      <w:r w:rsidR="004B260C">
        <w:t xml:space="preserve">expert </w:t>
      </w:r>
      <w:r w:rsidR="000C6929">
        <w:t>groups to subtopics</w:t>
      </w:r>
      <w:r w:rsidR="00F929E2">
        <w:t xml:space="preserve">; students study their subtopic through research and discussion; </w:t>
      </w:r>
      <w:r w:rsidR="00D20883">
        <w:t>students report findings back to the class</w:t>
      </w:r>
      <w:r w:rsidR="004B260C">
        <w:t xml:space="preserve"> and/or home groups.</w:t>
      </w:r>
    </w:p>
    <w:p w14:paraId="7A49363C" w14:textId="2C838DAF" w:rsidR="004B260C" w:rsidRDefault="00A473DE" w:rsidP="003812D7">
      <w:pPr>
        <w:pStyle w:val="ListBullet"/>
      </w:pPr>
      <w:r>
        <w:t>p</w:t>
      </w:r>
      <w:r w:rsidR="00465DBF">
        <w:t>hilosophy in schools — teaching students reasoning and argumentative skills</w:t>
      </w:r>
    </w:p>
    <w:p w14:paraId="48B77651" w14:textId="0A66917A" w:rsidR="00EA6597" w:rsidRDefault="00A473DE" w:rsidP="003812D7">
      <w:pPr>
        <w:pStyle w:val="ListBullet"/>
      </w:pPr>
      <w:r>
        <w:t>t</w:t>
      </w:r>
      <w:r w:rsidR="00354420">
        <w:t xml:space="preserve">eaching communication skills and strategies — explicit teaching of </w:t>
      </w:r>
      <w:r w:rsidR="007B4C33">
        <w:t xml:space="preserve">communication skills and strategies. </w:t>
      </w:r>
    </w:p>
    <w:p w14:paraId="5427515E" w14:textId="219F67A5" w:rsidR="006201C7" w:rsidRDefault="00A473DE" w:rsidP="003812D7">
      <w:pPr>
        <w:pStyle w:val="ListBullet"/>
      </w:pPr>
      <w:r>
        <w:t>i</w:t>
      </w:r>
      <w:r w:rsidR="006201C7">
        <w:t>nductive teaching — encouraging students to reason from observation, or to move logically from observing, testing, and comparing to articulating broad principles</w:t>
      </w:r>
      <w:r w:rsidR="00FE5C19">
        <w:t>.</w:t>
      </w:r>
    </w:p>
    <w:p w14:paraId="24839D2E" w14:textId="7740EE12" w:rsidR="00FE5C19" w:rsidRDefault="00A473DE" w:rsidP="003812D7">
      <w:pPr>
        <w:pStyle w:val="ListBullet"/>
      </w:pPr>
      <w:r>
        <w:t>c</w:t>
      </w:r>
      <w:r w:rsidR="00FE5C19">
        <w:t xml:space="preserve">lassroom cohesion — </w:t>
      </w:r>
      <w:r w:rsidR="005F72AA">
        <w:t xml:space="preserve">developing </w:t>
      </w:r>
      <w:r w:rsidR="00374EF9">
        <w:t xml:space="preserve">a sense that </w:t>
      </w:r>
      <w:r w:rsidR="00DA5F7A">
        <w:t>teachers and students are working together towards positive learning goals</w:t>
      </w:r>
    </w:p>
    <w:p w14:paraId="7FB935E8" w14:textId="432F28FB" w:rsidR="00FE5C19" w:rsidRDefault="00A473DE" w:rsidP="003812D7">
      <w:pPr>
        <w:pStyle w:val="ListBullet"/>
      </w:pPr>
      <w:r>
        <w:t>p</w:t>
      </w:r>
      <w:r w:rsidR="00677F86">
        <w:t xml:space="preserve">ositive peer influences — </w:t>
      </w:r>
      <w:r w:rsidR="00DC020A">
        <w:t xml:space="preserve">building an awareness of positive influences peers can have </w:t>
      </w:r>
      <w:r w:rsidR="00A826B5">
        <w:t>on others’ learning</w:t>
      </w:r>
      <w:r>
        <w:t>.</w:t>
      </w:r>
    </w:p>
    <w:p w14:paraId="193156EB" w14:textId="77777777" w:rsidR="00FC09EA" w:rsidRDefault="00FC09EA" w:rsidP="003812D7"/>
    <w:p w14:paraId="4C75D131" w14:textId="2F1BFA17" w:rsidR="000F37F7" w:rsidRDefault="0024748D" w:rsidP="003812D7">
      <w:pPr>
        <w:pStyle w:val="Heading2"/>
      </w:pPr>
      <w:r>
        <w:t>Feedback and Reflection</w:t>
      </w:r>
    </w:p>
    <w:p w14:paraId="5BA68C5D" w14:textId="3D9A9699" w:rsidR="00CA0275" w:rsidRDefault="00CA37A1" w:rsidP="003812D7">
      <w:r>
        <w:t>Although they are grouped in one learning mode, research shows that feedback and reflection are two distinct</w:t>
      </w:r>
      <w:r w:rsidR="00A21674">
        <w:t xml:space="preserve"> and separately </w:t>
      </w:r>
      <w:r w:rsidR="00134ED1">
        <w:t>theoretically grounded</w:t>
      </w:r>
      <w:r w:rsidR="00A21674">
        <w:t xml:space="preserve"> concepts</w:t>
      </w:r>
      <w:r w:rsidR="00FE0930">
        <w:t>. At the same time, they are two concepts that share much in terms of process and outcomes</w:t>
      </w:r>
      <w:r w:rsidR="00A21674">
        <w:t xml:space="preserve">. </w:t>
      </w:r>
      <w:r w:rsidR="00134ED1">
        <w:t xml:space="preserve">On the one hand, feedback </w:t>
      </w:r>
      <w:r w:rsidR="0099596C">
        <w:t>is seen as an iterative and cyclical part of the learning process</w:t>
      </w:r>
      <w:r w:rsidR="00C0450F">
        <w:t xml:space="preserve"> —</w:t>
      </w:r>
      <w:r w:rsidR="00BF0172">
        <w:t xml:space="preserve"> </w:t>
      </w:r>
      <w:r w:rsidR="003F1914">
        <w:t xml:space="preserve">information </w:t>
      </w:r>
      <w:r w:rsidR="00BF0172">
        <w:t>that is routed back as an input</w:t>
      </w:r>
      <w:r w:rsidR="009311E8">
        <w:t xml:space="preserve"> from cause-and-effect events that form a circuit or loop</w:t>
      </w:r>
      <w:r w:rsidR="004D3EBC">
        <w:t xml:space="preserve">. Feedback </w:t>
      </w:r>
      <w:r w:rsidR="00D862D5">
        <w:t xml:space="preserve">is ideally both </w:t>
      </w:r>
      <w:r w:rsidR="00060F67">
        <w:t>regular and immediate</w:t>
      </w:r>
      <w:r w:rsidR="00A97127">
        <w:t xml:space="preserve">, and students receive feedback from teachers, their peers, and other </w:t>
      </w:r>
      <w:r w:rsidR="00403A8D">
        <w:t xml:space="preserve">physical and non-physical elements within the learning environment. </w:t>
      </w:r>
      <w:r w:rsidR="008B1DCB">
        <w:t xml:space="preserve">Feedback </w:t>
      </w:r>
      <w:r w:rsidR="007534FF">
        <w:t xml:space="preserve">can </w:t>
      </w:r>
      <w:r w:rsidR="008B1DCB">
        <w:t xml:space="preserve">manifest in </w:t>
      </w:r>
      <w:r w:rsidR="00340D58">
        <w:t xml:space="preserve">a wide range of ways such as through spoken dialogue, </w:t>
      </w:r>
      <w:r w:rsidR="0087201D">
        <w:t>writing</w:t>
      </w:r>
      <w:r w:rsidR="00184879">
        <w:t>,</w:t>
      </w:r>
      <w:r w:rsidR="0087201D">
        <w:t xml:space="preserve"> haptic—or other sensory—forms of </w:t>
      </w:r>
      <w:r w:rsidR="00D83FF7">
        <w:t>stimulation, body language</w:t>
      </w:r>
      <w:r w:rsidR="005E73C3">
        <w:t xml:space="preserve">, and so on. </w:t>
      </w:r>
      <w:r w:rsidR="00862741">
        <w:t xml:space="preserve">On the other hand, reflection </w:t>
      </w:r>
      <w:r w:rsidR="00437CB9">
        <w:t xml:space="preserve">usually </w:t>
      </w:r>
      <w:r w:rsidR="00FB2409">
        <w:t>involves students exercising introspection to</w:t>
      </w:r>
      <w:r w:rsidR="00710C23">
        <w:t xml:space="preserve"> more fully understand their learning experiences</w:t>
      </w:r>
      <w:r w:rsidR="00637ACB">
        <w:t>. Reflections could be focused on any aspect of the learning, such as the extent to which ideas explored in one context might be true in others</w:t>
      </w:r>
      <w:r w:rsidR="00EB414E">
        <w:t>,</w:t>
      </w:r>
      <w:r w:rsidR="00001A84">
        <w:t xml:space="preserve"> or</w:t>
      </w:r>
      <w:r w:rsidR="00637ACB">
        <w:t xml:space="preserve"> </w:t>
      </w:r>
      <w:r w:rsidR="00EB414E">
        <w:t>what the learning experience tells the learner about themselves</w:t>
      </w:r>
      <w:r w:rsidR="00001A84">
        <w:t xml:space="preserve">. </w:t>
      </w:r>
      <w:r w:rsidR="00A44F8D">
        <w:t>Although r</w:t>
      </w:r>
      <w:r w:rsidR="00672BB7">
        <w:t xml:space="preserve">eflection is often </w:t>
      </w:r>
      <w:r w:rsidR="00A44F8D">
        <w:t xml:space="preserve">explicitly </w:t>
      </w:r>
      <w:r w:rsidR="00672BB7">
        <w:t>implemented at the end of a learning sequence</w:t>
      </w:r>
      <w:r w:rsidR="00A44F8D">
        <w:t xml:space="preserve">, students can undertake reflection at any stage of the sequence. </w:t>
      </w:r>
    </w:p>
    <w:p w14:paraId="2F4890B9" w14:textId="139B6CB9" w:rsidR="008F1CA4" w:rsidRPr="00967A9B" w:rsidRDefault="00E01259" w:rsidP="003812D7">
      <w:r>
        <w:t xml:space="preserve">Feedback is </w:t>
      </w:r>
      <w:r w:rsidR="00A5129D">
        <w:t xml:space="preserve">most often theoretically grounded in </w:t>
      </w:r>
      <w:r w:rsidR="00A47854">
        <w:t>social constructivism</w:t>
      </w:r>
      <w:r w:rsidR="004E4DAC">
        <w:t xml:space="preserve">. Vygotsky </w:t>
      </w:r>
      <w:r w:rsidR="002702A6">
        <w:fldChar w:fldCharType="begin"/>
      </w:r>
      <w:r w:rsidR="007B480A">
        <w:instrText xml:space="preserve"> ADDIN ZOTERO_ITEM CSL_CITATION {"citationID":"i5ANpGW4","properties":{"formattedCitation":"(1978)","plainCitation":"(1978)","noteIndex":0},"citationItems":[{"id":791,"uris":["http://zotero.org/users/702074/items/GAPSQG7D"],"uri":["http://zotero.org/users/702074/items/GAPSQG7D"],"itemData":{"id":791,"type":"book","event-place":"Cambridge","publisher":"Harvard University Press","publisher-place":"Cambridge","source":"Google Scholar","title":"Mind in society: The development of higher psychological processes","title-short":"Mind in society","author":[{"family":"Vygotsky","given":"L. S."}],"accessed":{"date-parts":[["2013",4,18]]},"issued":{"date-parts":[["1978"]]}},"suppress-author":true}],"schema":"https://github.com/citation-style-language/schema/raw/master/csl-citation.json"} </w:instrText>
      </w:r>
      <w:r w:rsidR="002702A6">
        <w:fldChar w:fldCharType="separate"/>
      </w:r>
      <w:r w:rsidR="007B480A" w:rsidRPr="007B480A">
        <w:rPr>
          <w:rFonts w:ascii="Calibri" w:hAnsi="Calibri" w:cs="Calibri"/>
        </w:rPr>
        <w:t>(1978)</w:t>
      </w:r>
      <w:r w:rsidR="002702A6">
        <w:fldChar w:fldCharType="end"/>
      </w:r>
      <w:r w:rsidR="009925ED">
        <w:t xml:space="preserve"> </w:t>
      </w:r>
      <w:r w:rsidR="00C95593">
        <w:t>argued that both</w:t>
      </w:r>
      <w:r w:rsidR="004E4DAC">
        <w:t xml:space="preserve"> peer and corrective feedback </w:t>
      </w:r>
      <w:r w:rsidR="00C95593">
        <w:t xml:space="preserve">were </w:t>
      </w:r>
      <w:r w:rsidR="004E4DAC">
        <w:t xml:space="preserve">essential </w:t>
      </w:r>
      <w:r w:rsidR="00C95593">
        <w:t xml:space="preserve">for </w:t>
      </w:r>
      <w:r w:rsidR="002702A6">
        <w:t xml:space="preserve">developing the learner’s </w:t>
      </w:r>
      <w:r w:rsidR="00BD5B88">
        <w:t>zone of proximal development</w:t>
      </w:r>
      <w:r w:rsidR="002702A6">
        <w:t xml:space="preserve"> (ZPD</w:t>
      </w:r>
      <w:r w:rsidR="007C10AD">
        <w:t>),</w:t>
      </w:r>
      <w:r w:rsidR="00722CA6">
        <w:t xml:space="preserve"> a tool that he believed “permits us to delineate the child’s immediate future and his</w:t>
      </w:r>
      <w:r w:rsidR="00FE06BB">
        <w:t>[/</w:t>
      </w:r>
      <w:r w:rsidR="0039065B">
        <w:t>her]</w:t>
      </w:r>
      <w:r w:rsidR="00722CA6">
        <w:t xml:space="preserve"> dynamic developmental state, </w:t>
      </w:r>
      <w:r w:rsidR="00520D95">
        <w:t xml:space="preserve">allowing not only for what already has been achieved developmentally but also for what is in the course of maturing” (p. 87). </w:t>
      </w:r>
      <w:r w:rsidR="00852550">
        <w:t xml:space="preserve">When </w:t>
      </w:r>
      <w:r w:rsidR="00E9208A">
        <w:t>examined in the context of the ZPD, feedback provides an essential bridge between</w:t>
      </w:r>
      <w:r w:rsidR="00087442">
        <w:t xml:space="preserve"> these two developmental states.</w:t>
      </w:r>
      <w:r w:rsidR="003E7520">
        <w:t xml:space="preserve"> </w:t>
      </w:r>
      <w:r w:rsidR="008F1CA4">
        <w:t xml:space="preserve">Hattie and Timperley </w:t>
      </w:r>
      <w:r w:rsidR="008F1CA4">
        <w:fldChar w:fldCharType="begin"/>
      </w:r>
      <w:r w:rsidR="00496931">
        <w:instrText xml:space="preserve"> ADDIN ZOTERO_ITEM CSL_CITATION {"citationID":"npwmPxgp","properties":{"formattedCitation":"(2007)","plainCitation":"(2007)","noteIndex":0},"citationItems":[{"id":1022,"uris":["http://zotero.org/users/702074/items/U7VTGW8Q"],"uri":["http://zotero.org/users/702074/items/U7VTGW8Q"],"itemData":{"id":1022,"type":"article-journal","container-title":"Review of Educational Research","DOI":"10.3102/003465430298487","issue":"1","page":"86","source":"Google Scholar","title":"The Power of Feedback","volume":"77","author":[{"family":"Hattie","given":"John"},{"family":"Timperley","given":"Helen"}],"issued":{"date-parts":[["2007"]]}},"suppress-author":true}],"schema":"https://github.com/citation-style-language/schema/raw/master/csl-citation.json"} </w:instrText>
      </w:r>
      <w:r w:rsidR="008F1CA4">
        <w:fldChar w:fldCharType="separate"/>
      </w:r>
      <w:r w:rsidR="00496931" w:rsidRPr="00496931">
        <w:rPr>
          <w:rFonts w:ascii="Calibri" w:hAnsi="Calibri" w:cs="Calibri"/>
        </w:rPr>
        <w:t>(2007)</w:t>
      </w:r>
      <w:r w:rsidR="008F1CA4">
        <w:fldChar w:fldCharType="end"/>
      </w:r>
      <w:r w:rsidR="007A6687">
        <w:t xml:space="preserve"> conceptualise feedback as </w:t>
      </w:r>
      <w:r w:rsidR="00526B93">
        <w:t>“information provided by an agent (for example, teacher, peer, book, self, experience) regarding aspects of one’s performance or understanding</w:t>
      </w:r>
      <w:r w:rsidR="009557F6">
        <w:t xml:space="preserve">… thus a ‘consequence’ of performance” (p. 81). </w:t>
      </w:r>
      <w:r w:rsidR="00CF3F08">
        <w:t xml:space="preserve">Based on </w:t>
      </w:r>
      <w:r w:rsidR="003C071D">
        <w:t>several meta-analyses, t</w:t>
      </w:r>
      <w:r w:rsidR="009557F6">
        <w:t>he</w:t>
      </w:r>
      <w:r w:rsidR="001C4C09">
        <w:t>y</w:t>
      </w:r>
      <w:r w:rsidR="009557F6">
        <w:t xml:space="preserve"> </w:t>
      </w:r>
      <w:r w:rsidR="00E5510E">
        <w:t>conclude that feedback has an overwhelming</w:t>
      </w:r>
      <w:r w:rsidR="001E666B">
        <w:t>ly</w:t>
      </w:r>
      <w:r w:rsidR="00E5510E">
        <w:t xml:space="preserve"> positive </w:t>
      </w:r>
      <w:r w:rsidR="001E666B">
        <w:t xml:space="preserve">impact </w:t>
      </w:r>
      <w:r w:rsidR="00E5510E">
        <w:t xml:space="preserve">on </w:t>
      </w:r>
      <w:r w:rsidR="00880301">
        <w:t xml:space="preserve">learning but qualify that it must meaningfully address three </w:t>
      </w:r>
      <w:r w:rsidR="00A779CA">
        <w:t xml:space="preserve">groups </w:t>
      </w:r>
      <w:r w:rsidR="005C76AF">
        <w:t xml:space="preserve">of questions: (1) </w:t>
      </w:r>
      <w:r w:rsidR="00653B5E">
        <w:t>W</w:t>
      </w:r>
      <w:r w:rsidR="005C76AF">
        <w:t xml:space="preserve">here am I going </w:t>
      </w:r>
      <w:r w:rsidR="001E666B">
        <w:t>/ W</w:t>
      </w:r>
      <w:r w:rsidR="005C76AF">
        <w:t>hat are the goals? (2) How am I going</w:t>
      </w:r>
      <w:r w:rsidR="001E666B">
        <w:t xml:space="preserve"> / W</w:t>
      </w:r>
      <w:r w:rsidR="005C76AF">
        <w:t xml:space="preserve">hat </w:t>
      </w:r>
      <w:r w:rsidR="00653B5E">
        <w:t>progress is being made towards the goals</w:t>
      </w:r>
      <w:r w:rsidR="001E666B">
        <w:t xml:space="preserve">? and (3) </w:t>
      </w:r>
      <w:r w:rsidR="00A779CA">
        <w:t xml:space="preserve">Where to next? / What activities need to be undertaken to make better progress? </w:t>
      </w:r>
      <w:r w:rsidR="00967A9B">
        <w:t>According to the authors, t</w:t>
      </w:r>
      <w:r w:rsidR="00A779CA">
        <w:t xml:space="preserve">hese three question groups respectively reflect </w:t>
      </w:r>
      <w:r w:rsidR="00967A9B">
        <w:t xml:space="preserve">three types of feedback: </w:t>
      </w:r>
      <w:r w:rsidR="00967A9B">
        <w:rPr>
          <w:i/>
          <w:iCs/>
        </w:rPr>
        <w:t xml:space="preserve">feed up, feedback, </w:t>
      </w:r>
      <w:r w:rsidR="00967A9B">
        <w:t xml:space="preserve">and </w:t>
      </w:r>
      <w:r w:rsidR="00967A9B">
        <w:rPr>
          <w:i/>
          <w:iCs/>
        </w:rPr>
        <w:t>feed forward</w:t>
      </w:r>
      <w:r w:rsidR="00967A9B">
        <w:t xml:space="preserve">. </w:t>
      </w:r>
    </w:p>
    <w:p w14:paraId="75FB7CC6" w14:textId="15C8D255" w:rsidR="00896250" w:rsidRPr="00A54D88" w:rsidRDefault="00896250" w:rsidP="003812D7">
      <w:r w:rsidRPr="001B0E2B">
        <w:t>Dewey</w:t>
      </w:r>
      <w:r w:rsidR="00401F43">
        <w:t xml:space="preserve"> </w:t>
      </w:r>
      <w:r w:rsidR="00401F43">
        <w:fldChar w:fldCharType="begin"/>
      </w:r>
      <w:r w:rsidR="00A45F0C">
        <w:instrText xml:space="preserve"> ADDIN ZOTERO_ITEM CSL_CITATION {"citationID":"BpgrfPXi","properties":{"formattedCitation":"(1938a)","plainCitation":"(1938a)","noteIndex":0},"citationItems":[{"id":440,"uris":["http://zotero.org/users/702074/items/W4Z2BPIE"],"uri":["http://zotero.org/users/702074/items/W4Z2BPIE"],"itemData":{"id":440,"type":"book","publisher":"New York: Macmillan","source":"Google Scholar","title":"Education and Experience","author":[{"family":"Dewey","given":"John"}],"issued":{"date-parts":[["1938"]]}},"suppress-author":true}],"schema":"https://github.com/citation-style-language/schema/raw/master/csl-citation.json"} </w:instrText>
      </w:r>
      <w:r w:rsidR="00401F43">
        <w:fldChar w:fldCharType="separate"/>
      </w:r>
      <w:r w:rsidR="00A45F0C" w:rsidRPr="00A45F0C">
        <w:rPr>
          <w:rFonts w:ascii="Calibri" w:hAnsi="Calibri" w:cs="Calibri"/>
        </w:rPr>
        <w:t>(1938a)</w:t>
      </w:r>
      <w:r w:rsidR="00401F43">
        <w:fldChar w:fldCharType="end"/>
      </w:r>
      <w:r w:rsidRPr="001B0E2B">
        <w:t xml:space="preserve"> </w:t>
      </w:r>
      <w:r w:rsidR="00525962">
        <w:t xml:space="preserve">is often seen as </w:t>
      </w:r>
      <w:r w:rsidRPr="001B0E2B">
        <w:t xml:space="preserve">the first </w:t>
      </w:r>
      <w:r>
        <w:t>notable</w:t>
      </w:r>
      <w:r w:rsidR="006B2229">
        <w:t xml:space="preserve"> </w:t>
      </w:r>
      <w:r>
        <w:t>educator</w:t>
      </w:r>
      <w:r w:rsidRPr="001B0E2B">
        <w:t xml:space="preserve"> to fully explore </w:t>
      </w:r>
      <w:r>
        <w:t xml:space="preserve">the educational </w:t>
      </w:r>
      <w:r w:rsidR="00A072A9">
        <w:t>significance</w:t>
      </w:r>
      <w:r>
        <w:t xml:space="preserve"> of </w:t>
      </w:r>
      <w:r w:rsidRPr="001B0E2B">
        <w:t xml:space="preserve">reflection in </w:t>
      </w:r>
      <w:r w:rsidR="00AF3837">
        <w:t xml:space="preserve">modern </w:t>
      </w:r>
      <w:r w:rsidR="009C041F">
        <w:t>W</w:t>
      </w:r>
      <w:r w:rsidR="006B2229">
        <w:t xml:space="preserve">estern education. </w:t>
      </w:r>
      <w:r w:rsidR="006B2229">
        <w:rPr>
          <w:lang w:val="en-US"/>
        </w:rPr>
        <w:t xml:space="preserve">He </w:t>
      </w:r>
      <w:r w:rsidR="003C071D">
        <w:rPr>
          <w:lang w:val="en-US"/>
        </w:rPr>
        <w:t>present</w:t>
      </w:r>
      <w:r w:rsidR="00C87EF3">
        <w:rPr>
          <w:lang w:val="en-US"/>
        </w:rPr>
        <w:t>s</w:t>
      </w:r>
      <w:r w:rsidR="00EF2178">
        <w:rPr>
          <w:lang w:val="en-US"/>
        </w:rPr>
        <w:t xml:space="preserve"> a four-</w:t>
      </w:r>
      <w:r>
        <w:rPr>
          <w:lang w:val="en-US"/>
        </w:rPr>
        <w:t xml:space="preserve">stage process that emphasises the important relationship between experience and action. The first three stages of reflection all pertain to experience. Stages 1 and 2 involve </w:t>
      </w:r>
      <w:r w:rsidRPr="00830FE9">
        <w:rPr>
          <w:i/>
          <w:lang w:val="en-US"/>
        </w:rPr>
        <w:t xml:space="preserve">presence </w:t>
      </w:r>
      <w:r>
        <w:rPr>
          <w:lang w:val="en-US"/>
        </w:rPr>
        <w:t xml:space="preserve">to experience and </w:t>
      </w:r>
      <w:r>
        <w:rPr>
          <w:i/>
          <w:lang w:val="en-US"/>
        </w:rPr>
        <w:t xml:space="preserve">description </w:t>
      </w:r>
      <w:r>
        <w:rPr>
          <w:lang w:val="en-US"/>
        </w:rPr>
        <w:t xml:space="preserve">of experience, while Stage 3 involves </w:t>
      </w:r>
      <w:r>
        <w:rPr>
          <w:i/>
          <w:lang w:val="en-US"/>
        </w:rPr>
        <w:t>analysis</w:t>
      </w:r>
      <w:r>
        <w:rPr>
          <w:lang w:val="en-US"/>
        </w:rPr>
        <w:t xml:space="preserve"> of experience. These three stages culminate in Stage 4, “intelligent action,” which represents a kind of informed practice through changed attitudes or perspectives. Dewey sees the process as cyclical and iterative. In this way, reflection does not, strictly speaking, happen at the end of a learning experience; however, it is an important tool for future activity: </w:t>
      </w:r>
    </w:p>
    <w:p w14:paraId="4BEEBB34" w14:textId="44626D04" w:rsidR="00896250" w:rsidRDefault="00896250" w:rsidP="003812D7">
      <w:pPr>
        <w:pStyle w:val="IndentedQuote"/>
      </w:pPr>
      <w:r>
        <w:t xml:space="preserve">Through reflection, what an individual has learned in the way of knowledge and skill in one situation becomes an instrument of understanding and dealing effectively with the situations which follow. The process goes on as long as life and learning continue </w:t>
      </w:r>
      <w:r>
        <w:fldChar w:fldCharType="begin"/>
      </w:r>
      <w:r w:rsidR="00A45F0C">
        <w:instrText xml:space="preserve"> ADDIN ZOTERO_ITEM CSL_CITATION {"citationID":"BS6Kc9l2","properties":{"formattedCitation":"(1938a, p. 44)","plainCitation":"(1938a, p. 44)","noteIndex":0},"citationItems":[{"id":440,"uris":["http://zotero.org/users/702074/items/W4Z2BPIE"],"uri":["http://zotero.org/users/702074/items/W4Z2BPIE"],"itemData":{"id":440,"type":"book","publisher":"New York: Macmillan","source":"Google Scholar","title":"Education and Experience","author":[{"family":"Dewey","given":"John"}],"issued":{"date-parts":[["1938"]]}},"locator":"44","suppress-author":true}],"schema":"https://github.com/citation-style-language/schema/raw/master/csl-citation.json"} </w:instrText>
      </w:r>
      <w:r>
        <w:fldChar w:fldCharType="separate"/>
      </w:r>
      <w:r w:rsidR="00A45F0C" w:rsidRPr="00A45F0C">
        <w:rPr>
          <w:rFonts w:ascii="Calibri" w:hAnsi="Calibri" w:cs="Calibri"/>
        </w:rPr>
        <w:t>(1938a, p. 44)</w:t>
      </w:r>
      <w:r>
        <w:fldChar w:fldCharType="end"/>
      </w:r>
      <w:r>
        <w:t>.</w:t>
      </w:r>
    </w:p>
    <w:p w14:paraId="39464039" w14:textId="0362EE96" w:rsidR="00F939C7" w:rsidRDefault="00F939C7" w:rsidP="003812D7">
      <w:r w:rsidRPr="00BD07EB">
        <w:t xml:space="preserve">Others have since built on Dewey’s </w:t>
      </w:r>
      <w:r>
        <w:t>theories</w:t>
      </w:r>
      <w:r w:rsidRPr="00BD07EB">
        <w:t xml:space="preserve"> in exploring how knowledge acquired through the process of reflection can best inform future practice. In particular, Schön</w:t>
      </w:r>
      <w:r w:rsidR="00875826">
        <w:t xml:space="preserve"> </w:t>
      </w:r>
      <w:r w:rsidRPr="00BD07EB">
        <w:fldChar w:fldCharType="begin"/>
      </w:r>
      <w:r w:rsidR="00C74B00">
        <w:instrText xml:space="preserve"> ADDIN ZOTERO_ITEM CSL_CITATION {"citationID":"k7RcFpwe","properties":{"formattedCitation":"(1995)","plainCitation":"(1995)","noteIndex":0},"citationItems":[{"id":692,"uris":["http://zotero.org/users/702074/items/8NM7S5D4"],"uri":["http://zotero.org/users/702074/items/8NM7S5D4"],"itemData":{"id":692,"type":"article-journal","container-title":"Change: The Magazine of Higher Learning","issue":"6","page":"27–34","source":"Google Scholar","title":"Knowing-in-action: The new scholarship requires a new epistemology","title-short":"Knowing-in-action","URL":"http://www.tandfonline.com/doi/pdf/10.1080/00091383.1995.10544673","volume":"27","author":[{"family":"Schön","given":"Donald A."}],"accessed":{"date-parts":[["2015",7,21]]},"issued":{"date-parts":[["1995"]]}},"suppress-author":true}],"schema":"https://github.com/citation-style-language/schema/raw/master/csl-citation.json"} </w:instrText>
      </w:r>
      <w:r w:rsidRPr="00BD07EB">
        <w:fldChar w:fldCharType="separate"/>
      </w:r>
      <w:r w:rsidRPr="00BD07EB">
        <w:t>(1995)</w:t>
      </w:r>
      <w:r w:rsidRPr="00BD07EB">
        <w:fldChar w:fldCharType="end"/>
      </w:r>
      <w:r w:rsidR="00875826">
        <w:t xml:space="preserve"> presents</w:t>
      </w:r>
      <w:r w:rsidRPr="00BD07EB">
        <w:t xml:space="preserve"> two key concepts</w:t>
      </w:r>
      <w:r w:rsidR="008E4A11">
        <w:t>,</w:t>
      </w:r>
      <w:r w:rsidRPr="00BD07EB">
        <w:t xml:space="preserve"> “knowing-in-action” and “reflection-in-action</w:t>
      </w:r>
      <w:r>
        <w:t>,</w:t>
      </w:r>
      <w:r w:rsidRPr="00BD07EB">
        <w:t>”</w:t>
      </w:r>
      <w:r>
        <w:t xml:space="preserve"> both of which describe how experience can be interpreted while the </w:t>
      </w:r>
      <w:r w:rsidR="008E4A11">
        <w:t xml:space="preserve">learning experience is </w:t>
      </w:r>
      <w:r>
        <w:t xml:space="preserve">undertaken. As Hatton and Smith </w:t>
      </w:r>
      <w:r>
        <w:fldChar w:fldCharType="begin"/>
      </w:r>
      <w:r w:rsidR="009A3DB7">
        <w:instrText xml:space="preserve"> ADDIN ZOTERO_ITEM CSL_CITATION {"citationID":"dfioidgej","properties":{"formattedCitation":"(1995)","plainCitation":"(1995)","noteIndex":0},"citationItems":[{"id":"3kHHBMhe/PQdseHLr","uris":["http://zotero.org/users/702074/items/3CX8GV23"],"uri":["http://zotero.org/users/702074/items/3CX8GV23"],"itemData":{"id":1845,"type":"article-journal","title":"Reflection in teacher education: Towards definition and implementation","container-title":"Teaching and teacher education","page":"33–49","volume":"11","issue":"1","source":"Google Scholar","shortTitle":"Reflection in teacher education","author":[{"family":"Hatton","given":"Neville"},{"family":"Smith","given":"David"}],"issued":{"date-parts":[["1995"]]}},"suppress-author":true}],"schema":"https://github.com/citation-style-language/schema/raw/master/csl-citation.json"} </w:instrText>
      </w:r>
      <w:r>
        <w:fldChar w:fldCharType="separate"/>
      </w:r>
      <w:r>
        <w:rPr>
          <w:noProof/>
        </w:rPr>
        <w:t>(1995)</w:t>
      </w:r>
      <w:r>
        <w:fldChar w:fldCharType="end"/>
      </w:r>
      <w:r>
        <w:t xml:space="preserve"> summarise, “Dewey himself also spoke of ‘reflective action’</w:t>
      </w:r>
      <w:r w:rsidRPr="00C67975">
        <w:t xml:space="preserve"> presumably addressing the implementation of solutions once problems had been thought through, and it is clear that most </w:t>
      </w:r>
      <w:r>
        <w:t xml:space="preserve">[reflective] </w:t>
      </w:r>
      <w:r w:rsidRPr="00C67975">
        <w:t xml:space="preserve">writers are concerned with the </w:t>
      </w:r>
      <w:r>
        <w:t>complete-cycle of professional ‘doing’</w:t>
      </w:r>
      <w:r w:rsidRPr="00C67975">
        <w:t xml:space="preserve"> coupled with reflection which then leads to modified action</w:t>
      </w:r>
      <w:r>
        <w:t>”</w:t>
      </w:r>
      <w:r w:rsidRPr="00C67975">
        <w:t xml:space="preserve"> (p. 34). </w:t>
      </w:r>
    </w:p>
    <w:p w14:paraId="7B019E20" w14:textId="09B131FF" w:rsidR="00BD3F46" w:rsidRDefault="005E32E1" w:rsidP="003812D7">
      <w:r>
        <w:t>As some jobs become automated</w:t>
      </w:r>
      <w:r w:rsidR="00303AAF">
        <w:t xml:space="preserve">, analysis suggests </w:t>
      </w:r>
      <w:r w:rsidR="00384F6E">
        <w:t>non-automated work</w:t>
      </w:r>
      <w:r w:rsidR="00303AAF">
        <w:t xml:space="preserve"> </w:t>
      </w:r>
      <w:r w:rsidR="00384F6E">
        <w:t xml:space="preserve">is </w:t>
      </w:r>
      <w:r w:rsidR="00303AAF">
        <w:t xml:space="preserve">likely to </w:t>
      </w:r>
      <w:r w:rsidR="00384F6E">
        <w:t xml:space="preserve">substantially incorporate </w:t>
      </w:r>
      <w:r w:rsidR="00303AAF">
        <w:t xml:space="preserve">feedback and reflection as two very important strategies </w:t>
      </w:r>
      <w:r w:rsidR="000B03A6">
        <w:t xml:space="preserve">for future innovation. OECD </w:t>
      </w:r>
      <w:r w:rsidR="000B03A6">
        <w:fldChar w:fldCharType="begin"/>
      </w:r>
      <w:r w:rsidR="0057116D">
        <w:instrText xml:space="preserve"> ADDIN ZOTERO_ITEM CSL_CITATION {"citationID":"WDtput7o","properties":{"formattedCitation":"(2018)","plainCitation":"(2018)","noteIndex":0},"citationItems":[{"id":1108,"uris":["http://zotero.org/users/702074/items/ZP45SF8V"],"uri":["http://zotero.org/users/702074/items/ZP45SF8V"],"itemData":{"id":1108,"type":"webpage","title":"OECD Education 2030","URL":"http://www.oecd.org/education/2030/","author":[{"literal":"OECD"}],"issued":{"date-parts":[["2018"]]}},"suppress-author":true}],"schema":"https://github.com/citation-style-language/schema/raw/master/csl-citation.json"} </w:instrText>
      </w:r>
      <w:r w:rsidR="000B03A6">
        <w:fldChar w:fldCharType="separate"/>
      </w:r>
      <w:r w:rsidR="0057116D" w:rsidRPr="0057116D">
        <w:rPr>
          <w:rFonts w:ascii="Calibri" w:hAnsi="Calibri" w:cs="Calibri"/>
        </w:rPr>
        <w:t>(2018)</w:t>
      </w:r>
      <w:r w:rsidR="000B03A6">
        <w:fldChar w:fldCharType="end"/>
      </w:r>
      <w:r w:rsidR="0057116D">
        <w:t xml:space="preserve"> argues </w:t>
      </w:r>
      <w:r w:rsidR="00217BB0">
        <w:t xml:space="preserve">strongly for the development of </w:t>
      </w:r>
      <w:r w:rsidR="0057116D">
        <w:t xml:space="preserve">reflective practice </w:t>
      </w:r>
      <w:r w:rsidR="00217BB0">
        <w:t xml:space="preserve">as a future work skill tied to </w:t>
      </w:r>
      <w:r w:rsidR="00532D48">
        <w:t>“</w:t>
      </w:r>
      <w:r w:rsidR="000A434A">
        <w:t>the ability to take a critical stance when deciding, choosing and acting, by stepping back from what is known or assumed and looking at a situation from other, different perspectives</w:t>
      </w:r>
      <w:r w:rsidR="00532D48">
        <w:t>”</w:t>
      </w:r>
      <w:r w:rsidR="00125833">
        <w:t xml:space="preserve"> (p. 6)</w:t>
      </w:r>
      <w:r w:rsidR="00217BB0">
        <w:t xml:space="preserve">. Foundation for Young Australians </w:t>
      </w:r>
      <w:r w:rsidR="00217BB0">
        <w:fldChar w:fldCharType="begin"/>
      </w:r>
      <w:r w:rsidR="009D6518">
        <w:instrText xml:space="preserve"> ADDIN ZOTERO_ITEM CSL_CITATION {"citationID":"l5JjlAT9","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217BB0">
        <w:fldChar w:fldCharType="separate"/>
      </w:r>
      <w:r w:rsidR="009D6518" w:rsidRPr="009D6518">
        <w:rPr>
          <w:rFonts w:ascii="Calibri" w:hAnsi="Calibri" w:cs="Calibri"/>
        </w:rPr>
        <w:t>(2017)</w:t>
      </w:r>
      <w:r w:rsidR="00217BB0">
        <w:fldChar w:fldCharType="end"/>
      </w:r>
      <w:r w:rsidR="009D6518">
        <w:t xml:space="preserve"> identifies the likelihood that future jobs will involve substantially less time spent on administration and more time on </w:t>
      </w:r>
      <w:r w:rsidR="00194CA1">
        <w:t xml:space="preserve">activities such as feedback </w:t>
      </w:r>
      <w:r w:rsidR="00A60380">
        <w:t xml:space="preserve">and reflection </w:t>
      </w:r>
      <w:r w:rsidR="00194CA1">
        <w:t xml:space="preserve">when working with others, such as during weekly team meetings. </w:t>
      </w:r>
      <w:r w:rsidR="00A60380">
        <w:t xml:space="preserve">In </w:t>
      </w:r>
      <w:r w:rsidR="00710EE0">
        <w:t xml:space="preserve">their conception of future work skills, Davies, Fidler, and Gorbis </w:t>
      </w:r>
      <w:r w:rsidR="00710EE0">
        <w:fldChar w:fldCharType="begin"/>
      </w:r>
      <w:r w:rsidR="00D270BD">
        <w:instrText xml:space="preserve"> ADDIN ZOTERO_ITEM CSL_CITATION {"citationID":"rJYCCbBU","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710EE0">
        <w:fldChar w:fldCharType="separate"/>
      </w:r>
      <w:r w:rsidR="00D270BD" w:rsidRPr="00D270BD">
        <w:rPr>
          <w:rFonts w:ascii="Calibri" w:hAnsi="Calibri" w:cs="Calibri"/>
        </w:rPr>
        <w:t>(2011)</w:t>
      </w:r>
      <w:r w:rsidR="00710EE0">
        <w:fldChar w:fldCharType="end"/>
      </w:r>
      <w:r w:rsidR="00D270BD">
        <w:t xml:space="preserve"> </w:t>
      </w:r>
      <w:r w:rsidR="00BD3F46">
        <w:t>highlight a range of competencies that require strong metacogniti</w:t>
      </w:r>
      <w:r w:rsidR="00FD0FAB">
        <w:t>ve awareness</w:t>
      </w:r>
      <w:r w:rsidR="00D17F01">
        <w:t>—drawing on reflection—</w:t>
      </w:r>
      <w:r w:rsidR="00FD0FAB">
        <w:t xml:space="preserve">such as sense-making, novel and adaptive thinking, a design mindset, and cognitive load management. </w:t>
      </w:r>
    </w:p>
    <w:p w14:paraId="4B93B932" w14:textId="2231A992" w:rsidR="00F337BF" w:rsidRDefault="000C6CC3" w:rsidP="003812D7">
      <w:r>
        <w:t xml:space="preserve">Hattie’s </w:t>
      </w:r>
      <w:r w:rsidR="00C74B00">
        <w:fldChar w:fldCharType="begin"/>
      </w:r>
      <w:r w:rsidR="00C74B00">
        <w:instrText xml:space="preserve"> ADDIN ZOTERO_ITEM CSL_CITATION {"citationID":"jHiFmbS7","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00C74B00">
        <w:fldChar w:fldCharType="separate"/>
      </w:r>
      <w:r w:rsidR="00C74B00" w:rsidRPr="00C74B00">
        <w:rPr>
          <w:rFonts w:ascii="Calibri" w:hAnsi="Calibri" w:cs="Calibri"/>
        </w:rPr>
        <w:t>(2019)</w:t>
      </w:r>
      <w:r w:rsidR="00C74B00">
        <w:fldChar w:fldCharType="end"/>
      </w:r>
      <w:r w:rsidR="00C74B00">
        <w:t xml:space="preserve"> research suggests several </w:t>
      </w:r>
      <w:r w:rsidR="0017166B">
        <w:t xml:space="preserve">strategies </w:t>
      </w:r>
      <w:r w:rsidR="00F71F90">
        <w:t xml:space="preserve">and factors </w:t>
      </w:r>
      <w:r w:rsidR="0017166B">
        <w:t xml:space="preserve">can be linked to feedback and reflection, including: </w:t>
      </w:r>
    </w:p>
    <w:p w14:paraId="2C54AA15" w14:textId="6A8D959D" w:rsidR="00F71F90" w:rsidRDefault="00686379" w:rsidP="003812D7">
      <w:pPr>
        <w:pStyle w:val="ListBullet"/>
      </w:pPr>
      <w:r>
        <w:t>c</w:t>
      </w:r>
      <w:r w:rsidR="00F71F90">
        <w:t>lear goal intentions — linking goal intentions to plans to overcome expected obstacles.</w:t>
      </w:r>
    </w:p>
    <w:p w14:paraId="5C89ACD6" w14:textId="782C1ABD" w:rsidR="00F71F90" w:rsidRDefault="00686379" w:rsidP="003812D7">
      <w:pPr>
        <w:pStyle w:val="ListBullet"/>
      </w:pPr>
      <w:r>
        <w:t>s</w:t>
      </w:r>
      <w:r w:rsidR="00F71F90">
        <w:t>elf-reported grades — students assessing the quality of their own work or their level of mastery over a given subject domain</w:t>
      </w:r>
    </w:p>
    <w:p w14:paraId="47EA5A23" w14:textId="4F0AB5F3" w:rsidR="0080003D" w:rsidRDefault="00686379" w:rsidP="003812D7">
      <w:pPr>
        <w:pStyle w:val="ListBullet"/>
      </w:pPr>
      <w:r>
        <w:t>s</w:t>
      </w:r>
      <w:r w:rsidR="0080003D">
        <w:t>elf-judgement and reflection — cultivating in students the ability to dispassionately apply established standards to their own work; developing students’ ability to reflect on their work, discern its relationship to established standards</w:t>
      </w:r>
      <w:r w:rsidR="0041162C">
        <w:t>,</w:t>
      </w:r>
      <w:r w:rsidR="0080003D">
        <w:t xml:space="preserve"> and make self-judgements </w:t>
      </w:r>
    </w:p>
    <w:p w14:paraId="47AD20B4" w14:textId="51C6F727" w:rsidR="0017166B" w:rsidRDefault="00686379" w:rsidP="003812D7">
      <w:pPr>
        <w:pStyle w:val="ListBullet"/>
      </w:pPr>
      <w:r>
        <w:t>p</w:t>
      </w:r>
      <w:r w:rsidR="0017166B">
        <w:t xml:space="preserve">ositive self-concept — </w:t>
      </w:r>
      <w:r w:rsidR="00CF126A">
        <w:t xml:space="preserve">fostering a sense of confidence </w:t>
      </w:r>
      <w:r w:rsidR="00C5073C">
        <w:t>and the development of a positive sense of self through cognitive appraisals</w:t>
      </w:r>
      <w:r w:rsidR="00D87EA5">
        <w:t xml:space="preserve">, acceptance of feedback, </w:t>
      </w:r>
      <w:r w:rsidR="009953C2">
        <w:t xml:space="preserve">benchmarking to difficult goals, </w:t>
      </w:r>
      <w:r w:rsidR="008F58C6">
        <w:t xml:space="preserve">and </w:t>
      </w:r>
      <w:r w:rsidR="009953C2">
        <w:t>comparison to subject criteria (and not other students)</w:t>
      </w:r>
    </w:p>
    <w:p w14:paraId="6C8C0648" w14:textId="186C87B2" w:rsidR="008F7315" w:rsidRDefault="00686379" w:rsidP="003812D7">
      <w:pPr>
        <w:pStyle w:val="ListBullet"/>
      </w:pPr>
      <w:r>
        <w:t>p</w:t>
      </w:r>
      <w:r w:rsidR="00CF1CF6">
        <w:t xml:space="preserve">rior achievement </w:t>
      </w:r>
      <w:r w:rsidR="00696E18">
        <w:t>—</w:t>
      </w:r>
      <w:r w:rsidR="001220E0">
        <w:t xml:space="preserve"> developing reflection tasks that encourage students to integrate </w:t>
      </w:r>
      <w:r w:rsidR="005C5C0B">
        <w:t>prior knowledge with present learning activities</w:t>
      </w:r>
    </w:p>
    <w:p w14:paraId="594B8556" w14:textId="2D38D40F" w:rsidR="00696E18" w:rsidRDefault="00686379" w:rsidP="003812D7">
      <w:pPr>
        <w:pStyle w:val="ListBullet"/>
      </w:pPr>
      <w:r>
        <w:t>s</w:t>
      </w:r>
      <w:r w:rsidR="00696E18">
        <w:t xml:space="preserve">elf-efficacy — </w:t>
      </w:r>
      <w:r w:rsidR="005A6ABC">
        <w:t xml:space="preserve">developing students’ confidence </w:t>
      </w:r>
      <w:r w:rsidR="003C016B">
        <w:t xml:space="preserve">and positive self-perceptions through regular feedback and/or reflection. </w:t>
      </w:r>
    </w:p>
    <w:p w14:paraId="35D287DE" w14:textId="77777777" w:rsidR="00027170" w:rsidRDefault="00027170" w:rsidP="003812D7"/>
    <w:p w14:paraId="74B9B21C" w14:textId="4341C867" w:rsidR="0024748D" w:rsidRDefault="0024748D" w:rsidP="003812D7">
      <w:pPr>
        <w:pStyle w:val="Heading2"/>
      </w:pPr>
      <w:r>
        <w:t>Guided</w:t>
      </w:r>
    </w:p>
    <w:p w14:paraId="5C0769DF" w14:textId="2B01D249" w:rsidR="0074482A" w:rsidRDefault="009C7845" w:rsidP="003812D7">
      <w:r w:rsidRPr="00081126">
        <w:rPr>
          <w:i/>
          <w:iCs/>
        </w:rPr>
        <w:t>Guided</w:t>
      </w:r>
      <w:r>
        <w:t xml:space="preserve"> </w:t>
      </w:r>
      <w:r w:rsidR="00DA1841">
        <w:t>is a</w:t>
      </w:r>
      <w:r w:rsidR="00204AE8">
        <w:t>n adjective</w:t>
      </w:r>
      <w:r w:rsidR="00DA1841">
        <w:t xml:space="preserve"> that </w:t>
      </w:r>
      <w:r w:rsidR="008506C9">
        <w:t xml:space="preserve">broadly describes learning taking place </w:t>
      </w:r>
      <w:r w:rsidR="003237A1">
        <w:t xml:space="preserve">with some form of expert </w:t>
      </w:r>
      <w:r w:rsidR="008506C9">
        <w:t>guidance</w:t>
      </w:r>
      <w:r w:rsidR="003237A1">
        <w:t xml:space="preserve">. </w:t>
      </w:r>
      <w:r w:rsidR="00D64A6E">
        <w:t>Although</w:t>
      </w:r>
      <w:r w:rsidR="004D6D12">
        <w:t xml:space="preserve"> the expert is often conceptualised as </w:t>
      </w:r>
      <w:r w:rsidR="00A13EF9">
        <w:t>a more knowledgeable person</w:t>
      </w:r>
      <w:r w:rsidR="00011D1B">
        <w:t>—such as a</w:t>
      </w:r>
      <w:r w:rsidR="000F7B34">
        <w:t xml:space="preserve"> competent</w:t>
      </w:r>
      <w:r w:rsidR="00011D1B">
        <w:t xml:space="preserve"> peer, the teacher</w:t>
      </w:r>
      <w:r w:rsidR="00A13EF9">
        <w:t>,</w:t>
      </w:r>
      <w:r w:rsidR="00403EED">
        <w:t xml:space="preserve"> or </w:t>
      </w:r>
      <w:r w:rsidR="002F4EB9">
        <w:t xml:space="preserve">an </w:t>
      </w:r>
      <w:r w:rsidR="00403EED">
        <w:t>outside expert—</w:t>
      </w:r>
      <w:r w:rsidR="00A13EF9">
        <w:t xml:space="preserve">guided learning </w:t>
      </w:r>
      <w:r w:rsidR="003B375A">
        <w:t>increasingly</w:t>
      </w:r>
      <w:r w:rsidR="00A13EF9">
        <w:t xml:space="preserve"> </w:t>
      </w:r>
      <w:r w:rsidR="00C414D4">
        <w:t xml:space="preserve">refers to </w:t>
      </w:r>
      <w:r w:rsidR="00A13EF9">
        <w:t>other systems that provide expertise</w:t>
      </w:r>
      <w:r w:rsidR="00C85B18">
        <w:t xml:space="preserve"> indirectly</w:t>
      </w:r>
      <w:r w:rsidR="00A13EF9">
        <w:t>, such as a</w:t>
      </w:r>
      <w:r w:rsidR="00C85B18">
        <w:t xml:space="preserve"> technology-based simulation</w:t>
      </w:r>
      <w:r w:rsidR="00543FEA">
        <w:t>, dataset,</w:t>
      </w:r>
      <w:r w:rsidR="00011D1B">
        <w:t xml:space="preserve"> or virtual guided tour. </w:t>
      </w:r>
      <w:r w:rsidR="001E0A1D">
        <w:t xml:space="preserve">Guidance can also arguably </w:t>
      </w:r>
      <w:r w:rsidR="0060682B">
        <w:t xml:space="preserve">be </w:t>
      </w:r>
      <w:r w:rsidR="00C414D4">
        <w:t xml:space="preserve">an inherent </w:t>
      </w:r>
      <w:r w:rsidR="001E0A1D">
        <w:t>component of task design, such as a scaffolded assessment task</w:t>
      </w:r>
      <w:r w:rsidR="00C83CC9">
        <w:t xml:space="preserve"> or drill-and-practice exercise</w:t>
      </w:r>
      <w:r w:rsidR="00DF6752">
        <w:t>.</w:t>
      </w:r>
    </w:p>
    <w:p w14:paraId="03AF6690" w14:textId="5710F4E1" w:rsidR="009C7845" w:rsidRDefault="00145A0C" w:rsidP="003812D7">
      <w:r>
        <w:t xml:space="preserve">Guided learning is </w:t>
      </w:r>
      <w:r w:rsidR="002326D0">
        <w:t>most often</w:t>
      </w:r>
      <w:r>
        <w:t xml:space="preserve"> theoretically </w:t>
      </w:r>
      <w:r w:rsidR="00881BA6">
        <w:t>based on</w:t>
      </w:r>
      <w:r>
        <w:t xml:space="preserve"> the work of Piaget </w:t>
      </w:r>
      <w:r w:rsidR="00D565BB">
        <w:fldChar w:fldCharType="begin"/>
      </w:r>
      <w:r w:rsidR="00D565BB">
        <w:instrText xml:space="preserve"> ADDIN ZOTERO_ITEM CSL_CITATION {"citationID":"L3EwF2qU","properties":{"formattedCitation":"(1973)","plainCitation":"(1973)","noteIndex":0},"citationItems":[{"id":1112,"uris":["http://zotero.org/users/702074/items/MDLLNHD3"],"uri":["http://zotero.org/users/702074/items/MDLLNHD3"],"itemData":{"id":1112,"type":"book","publisher":"HarperCollins Publishers","title":"Main trends in interdisciplinary research","volume":"5","author":[{"family":"Piaget","given":"Jean"}],"issued":{"date-parts":[["1973"]]}},"suppress-author":true}],"schema":"https://github.com/citation-style-language/schema/raw/master/csl-citation.json"} </w:instrText>
      </w:r>
      <w:r w:rsidR="00D565BB">
        <w:fldChar w:fldCharType="separate"/>
      </w:r>
      <w:r w:rsidR="00D565BB" w:rsidRPr="00D565BB">
        <w:rPr>
          <w:rFonts w:ascii="Calibri" w:hAnsi="Calibri" w:cs="Calibri"/>
        </w:rPr>
        <w:t>(1973)</w:t>
      </w:r>
      <w:r w:rsidR="00D565BB">
        <w:fldChar w:fldCharType="end"/>
      </w:r>
      <w:r w:rsidR="00D565BB">
        <w:t xml:space="preserve"> and</w:t>
      </w:r>
      <w:r w:rsidR="00540809">
        <w:t xml:space="preserve">, more specifically, his </w:t>
      </w:r>
      <w:r w:rsidR="00D865CF">
        <w:t xml:space="preserve">four stages of cognitive development: (1) the sensorimotor </w:t>
      </w:r>
      <w:r w:rsidR="00655B70">
        <w:t>stage</w:t>
      </w:r>
      <w:r w:rsidR="00D9103F">
        <w:t xml:space="preserve"> (infancy)</w:t>
      </w:r>
      <w:r w:rsidR="00655B70">
        <w:t>, where intelligence is demonstrated through motor activity without the use of symbols</w:t>
      </w:r>
      <w:r w:rsidR="00D9103F">
        <w:t xml:space="preserve">; (2) </w:t>
      </w:r>
      <w:r w:rsidR="00680695">
        <w:t xml:space="preserve">the </w:t>
      </w:r>
      <w:r w:rsidR="00D9103F">
        <w:t xml:space="preserve">pre-operational stage (toddlers and early childhood), where </w:t>
      </w:r>
      <w:r w:rsidR="005C6F55">
        <w:t xml:space="preserve">intelligence is demonstrated through the use of symbols, language matures, </w:t>
      </w:r>
      <w:r w:rsidR="00680695">
        <w:t>and memory and imagination are developed; (3) the concrete operational stage (</w:t>
      </w:r>
      <w:r w:rsidR="00220509">
        <w:t xml:space="preserve">elementary and early adolescence), where intelligence is demonstrated through </w:t>
      </w:r>
      <w:r w:rsidR="00EB3C86">
        <w:t>logical and systematic manipulation of symbols related to concrete objects; and (4) formal operational stage (adolescence and adulthood)</w:t>
      </w:r>
      <w:r w:rsidR="00FD35B1">
        <w:t xml:space="preserve">, where intelligence is demonstrated through the logical use of symbols related to abstract concepts. </w:t>
      </w:r>
      <w:r w:rsidR="006316F8">
        <w:t xml:space="preserve">Piaget’s theory has led to subsequent </w:t>
      </w:r>
      <w:r w:rsidR="00DC3881">
        <w:t>thinking about how to best guide learners at each stage of development</w:t>
      </w:r>
      <w:r w:rsidR="00DF6752">
        <w:t>.</w:t>
      </w:r>
      <w:r w:rsidR="00310626">
        <w:t xml:space="preserve"> One of the most explicitly linked approaches </w:t>
      </w:r>
      <w:r w:rsidR="00430AA2">
        <w:t xml:space="preserve">to guided learning according to the learner’s cognitive stage has been </w:t>
      </w:r>
      <w:r w:rsidR="00D23A16">
        <w:t xml:space="preserve">Piagetian programs, </w:t>
      </w:r>
      <w:r w:rsidR="00234559">
        <w:t>which en</w:t>
      </w:r>
      <w:r w:rsidR="00904308">
        <w:t>courages teachers to “know the ways they [students] think, and how thinking may be constrained by their stages of development</w:t>
      </w:r>
      <w:r w:rsidR="0054013E">
        <w:t>… to [inform] how teachers choose materials</w:t>
      </w:r>
      <w:r w:rsidR="0097618E">
        <w:t xml:space="preserve"> and tasks, how the concept of difficulty and challenge can be realised in different tasks, and the importance of developing successive and </w:t>
      </w:r>
      <w:r w:rsidR="006316ED">
        <w:t xml:space="preserve">simultaneous thinking” </w:t>
      </w:r>
      <w:r w:rsidR="00483C92">
        <w:fldChar w:fldCharType="begin"/>
      </w:r>
      <w:r w:rsidR="00483C92">
        <w:instrText xml:space="preserve"> ADDIN ZOTERO_ITEM CSL_CITATION {"citationID":"FMgr3JRF","properties":{"formattedCitation":"(Hattie, 2009, p. 43)","plainCitation":"(Hattie, 2009, p. 43)","noteIndex":0},"citationItems":[{"id":974,"uris":["http://zotero.org/users/702074/items/6I2UHB94"],"uri":["http://zotero.org/users/702074/items/6I2UHB94"],"itemData":{"id":974,"type":"book","event-place":"London","publisher":"Routledge","publisher-place":"London","source":"Google Scholar","title":"Visible learning: A synthesis of over 800 meta-analyses relating to achievement","title-short":"Visible learning","author":[{"family":"Hattie","given":"John"}],"issued":{"date-parts":[["2009"]]}},"locator":"43"}],"schema":"https://github.com/citation-style-language/schema/raw/master/csl-citation.json"} </w:instrText>
      </w:r>
      <w:r w:rsidR="00483C92">
        <w:fldChar w:fldCharType="separate"/>
      </w:r>
      <w:r w:rsidR="00483C92" w:rsidRPr="00483C92">
        <w:rPr>
          <w:rFonts w:ascii="Calibri" w:hAnsi="Calibri" w:cs="Calibri"/>
        </w:rPr>
        <w:t>(Hattie, 2009, p. 43)</w:t>
      </w:r>
      <w:r w:rsidR="00483C92">
        <w:fldChar w:fldCharType="end"/>
      </w:r>
      <w:r w:rsidR="00483C92">
        <w:t xml:space="preserve">. </w:t>
      </w:r>
    </w:p>
    <w:p w14:paraId="65551E4C" w14:textId="1B2A4681" w:rsidR="007542AD" w:rsidRDefault="00575D25" w:rsidP="003812D7">
      <w:r>
        <w:t xml:space="preserve">Analyses of future work skills suggest that guided learning will continue to be important into the future, albeit with an increasing focus on </w:t>
      </w:r>
      <w:r w:rsidR="00F1462D">
        <w:t xml:space="preserve">systems-based guidance. </w:t>
      </w:r>
      <w:r w:rsidR="00862AEC">
        <w:t xml:space="preserve">PwC </w:t>
      </w:r>
      <w:r w:rsidR="00862AEC">
        <w:fldChar w:fldCharType="begin"/>
      </w:r>
      <w:r w:rsidR="00862AEC">
        <w:instrText xml:space="preserve"> ADDIN ZOTERO_ITEM CSL_CITATION {"citationID":"gt1TiDyn","properties":{"formattedCitation":"(2015)","plainCitation":"(2015)","noteIndex":0},"citationItems":[{"id":969,"uris":["http://zotero.org/users/702074/items/MCDK8K6S"],"uri":["http://zotero.org/users/702074/items/MCDK8K6S"],"itemData":{"id":969,"type":"report","title":"Future-proofing Australia’s workforce by growing skills in science, technology, engineering and maths (STEM) - A smart move","URL":"https://www.pwc.com.au/pdf/a-smart-move-pwc-stem-report-april-2015.pdf","author":[{"literal":"PwC"}],"accessed":{"date-parts":[["2018",10,7]]},"issued":{"date-parts":[["2015"]]}},"suppress-author":true}],"schema":"https://github.com/citation-style-language/schema/raw/master/csl-citation.json"} </w:instrText>
      </w:r>
      <w:r w:rsidR="00862AEC">
        <w:fldChar w:fldCharType="separate"/>
      </w:r>
      <w:r w:rsidR="00862AEC" w:rsidRPr="00862AEC">
        <w:rPr>
          <w:rFonts w:ascii="Calibri" w:hAnsi="Calibri" w:cs="Calibri"/>
        </w:rPr>
        <w:t>(2015)</w:t>
      </w:r>
      <w:r w:rsidR="00862AEC">
        <w:fldChar w:fldCharType="end"/>
      </w:r>
      <w:r w:rsidR="00862AEC">
        <w:t xml:space="preserve"> views machine learning as a major source</w:t>
      </w:r>
      <w:r w:rsidR="00255445">
        <w:t xml:space="preserve"> of </w:t>
      </w:r>
      <w:r w:rsidR="00545933">
        <w:t xml:space="preserve">potential </w:t>
      </w:r>
      <w:r w:rsidR="00255445">
        <w:t xml:space="preserve">productivity gains </w:t>
      </w:r>
      <w:r w:rsidR="00506088">
        <w:t>by allowing individuals to work with</w:t>
      </w:r>
      <w:r w:rsidR="00A735DC">
        <w:t>, and learn from,</w:t>
      </w:r>
      <w:r w:rsidR="00506088">
        <w:t xml:space="preserve"> massive </w:t>
      </w:r>
      <w:r w:rsidR="00A735DC">
        <w:t xml:space="preserve">amounts of data. Innovation and Science Australia </w:t>
      </w:r>
      <w:r w:rsidR="008F23A8">
        <w:fldChar w:fldCharType="begin"/>
      </w:r>
      <w:r w:rsidR="008F23A8">
        <w:instrText xml:space="preserve"> ADDIN ZOTERO_ITEM CSL_CITATION {"citationID":"IUaYWXZd","properties":{"formattedCitation":"(2017)","plainCitation":"(2017)","noteIndex":0},"citationItems":[{"id":970,"uris":["http://zotero.org/users/702074/items/WTFK2B7V"],"uri":["http://zotero.org/users/702074/items/WTFK2B7V"],"itemData":{"id":970,"type":"report","title":"Australia 2030 - Prosperity Through Innovation: a plan for Australia to thrive in the global innovation race","URL":"https://www.industry.gov.au/data-and-publications/australia-2030-prosperity-through-innovation","author":[{"literal":"Innovation and Science Australia"}],"accessed":{"date-parts":[["2018",10,7]]},"issued":{"date-parts":[["2017"]]}},"suppress-author":true}],"schema":"https://github.com/citation-style-language/schema/raw/master/csl-citation.json"} </w:instrText>
      </w:r>
      <w:r w:rsidR="008F23A8">
        <w:fldChar w:fldCharType="separate"/>
      </w:r>
      <w:r w:rsidR="008F23A8" w:rsidRPr="008F23A8">
        <w:rPr>
          <w:rFonts w:ascii="Calibri" w:hAnsi="Calibri" w:cs="Calibri"/>
        </w:rPr>
        <w:t>(2017)</w:t>
      </w:r>
      <w:r w:rsidR="008F23A8">
        <w:fldChar w:fldCharType="end"/>
      </w:r>
      <w:r w:rsidR="00E4232D">
        <w:t xml:space="preserve"> </w:t>
      </w:r>
      <w:r w:rsidR="00360AD0">
        <w:t>forecasts that “</w:t>
      </w:r>
      <w:r w:rsidR="00A83355">
        <w:t>92 per cent of future jobs will need digital skills, and 45 per cent of jobs will need people who can configure and work confidently with digital systems and technology</w:t>
      </w:r>
      <w:r w:rsidR="00360AD0">
        <w:t xml:space="preserve">” </w:t>
      </w:r>
      <w:r w:rsidR="00600804">
        <w:t xml:space="preserve">(p. </w:t>
      </w:r>
      <w:r w:rsidR="00000FF6">
        <w:t>2</w:t>
      </w:r>
      <w:r w:rsidR="00600804">
        <w:t xml:space="preserve">). </w:t>
      </w:r>
      <w:r w:rsidR="00E4232D">
        <w:t xml:space="preserve">Davies, Fidler, and Gorbis </w:t>
      </w:r>
      <w:r w:rsidR="00E4232D">
        <w:fldChar w:fldCharType="begin"/>
      </w:r>
      <w:r w:rsidR="00C17F2A">
        <w:instrText xml:space="preserve"> ADDIN ZOTERO_ITEM CSL_CITATION {"citationID":"iZjk2rHf","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E4232D">
        <w:fldChar w:fldCharType="separate"/>
      </w:r>
      <w:r w:rsidR="00C17F2A" w:rsidRPr="00C17F2A">
        <w:rPr>
          <w:rFonts w:ascii="Calibri" w:hAnsi="Calibri" w:cs="Calibri"/>
        </w:rPr>
        <w:t>(2011)</w:t>
      </w:r>
      <w:r w:rsidR="00E4232D">
        <w:fldChar w:fldCharType="end"/>
      </w:r>
      <w:r w:rsidR="00C17F2A">
        <w:t xml:space="preserve"> similarly stress the importance of being </w:t>
      </w:r>
      <w:r w:rsidR="004F210D">
        <w:t xml:space="preserve">computationally </w:t>
      </w:r>
      <w:r w:rsidR="00C17F2A">
        <w:t xml:space="preserve">guided by </w:t>
      </w:r>
      <w:r w:rsidR="004F210D">
        <w:t xml:space="preserve">big data while </w:t>
      </w:r>
      <w:r w:rsidR="00B57858">
        <w:t xml:space="preserve">“understanding </w:t>
      </w:r>
      <w:r w:rsidR="004F210D">
        <w:t>that models are onl</w:t>
      </w:r>
      <w:r w:rsidR="002A4D57">
        <w:t xml:space="preserve">y as good as the data feeding </w:t>
      </w:r>
      <w:r w:rsidR="003B33B1">
        <w:t>them</w:t>
      </w:r>
      <w:r w:rsidR="00B57858">
        <w:t xml:space="preserve">… and </w:t>
      </w:r>
      <w:r w:rsidR="00C15C63">
        <w:t>not becoming paralysed when lacking an algorithm for every system to guide decision making” (p. 10)</w:t>
      </w:r>
      <w:r w:rsidR="00724AF8">
        <w:t xml:space="preserve">. At the same time as </w:t>
      </w:r>
      <w:r w:rsidR="00B9697F">
        <w:t xml:space="preserve">systems-based guidance </w:t>
      </w:r>
      <w:r w:rsidR="009644DB">
        <w:t xml:space="preserve">develops a stronger presence in future work, there will remain the need for individuals to guide, and be guided by, others. </w:t>
      </w:r>
      <w:r w:rsidR="00466C46">
        <w:t xml:space="preserve">Foundation for Young Australians </w:t>
      </w:r>
      <w:r w:rsidR="00466C46">
        <w:fldChar w:fldCharType="begin"/>
      </w:r>
      <w:r w:rsidR="00466C46">
        <w:instrText xml:space="preserve"> ADDIN ZOTERO_ITEM CSL_CITATION {"citationID":"z8l1NLIx","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466C46">
        <w:fldChar w:fldCharType="separate"/>
      </w:r>
      <w:r w:rsidR="00466C46" w:rsidRPr="00466C46">
        <w:rPr>
          <w:rFonts w:ascii="Calibri" w:hAnsi="Calibri" w:cs="Calibri"/>
        </w:rPr>
        <w:t>(2017)</w:t>
      </w:r>
      <w:r w:rsidR="00466C46">
        <w:fldChar w:fldCharType="end"/>
      </w:r>
      <w:r w:rsidR="006878E2">
        <w:t xml:space="preserve"> estimates that across all </w:t>
      </w:r>
      <w:r w:rsidR="004D5F57">
        <w:t>future</w:t>
      </w:r>
      <w:r w:rsidR="0039493B">
        <w:t xml:space="preserve"> skilled</w:t>
      </w:r>
      <w:r w:rsidR="004D5F57">
        <w:t xml:space="preserve"> </w:t>
      </w:r>
      <w:r w:rsidR="006878E2">
        <w:t>jobs</w:t>
      </w:r>
      <w:r w:rsidR="004D5F57">
        <w:t>, “</w:t>
      </w:r>
      <w:r w:rsidR="00F26B92">
        <w:t xml:space="preserve">the average employee will spend an extra 2 hours per week maintaining relationships with clients and co-workers and having close interactions with other people </w:t>
      </w:r>
      <w:r w:rsidR="00592D42">
        <w:t>and 1.5 extra hours on complex reasoning, decision making, and creative tasks</w:t>
      </w:r>
      <w:r w:rsidR="004D5F57">
        <w:t>”</w:t>
      </w:r>
      <w:r w:rsidR="00592D42">
        <w:t xml:space="preserve"> (p. 9). </w:t>
      </w:r>
    </w:p>
    <w:p w14:paraId="3A85EC00" w14:textId="0F3F8F84" w:rsidR="00BC4CF2" w:rsidRDefault="004E40AA" w:rsidP="003812D7">
      <w:r>
        <w:t>Hattie</w:t>
      </w:r>
      <w:r w:rsidR="00053FB8">
        <w:t>’s</w:t>
      </w:r>
      <w:r w:rsidR="00BC4CF2">
        <w:t xml:space="preserve"> </w:t>
      </w:r>
      <w:r w:rsidR="00BC4CF2">
        <w:fldChar w:fldCharType="begin"/>
      </w:r>
      <w:r w:rsidR="006D3B9F">
        <w:instrText xml:space="preserve"> ADDIN ZOTERO_ITEM CSL_CITATION {"citationID":"jzGolJnc","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00BC4CF2">
        <w:fldChar w:fldCharType="separate"/>
      </w:r>
      <w:r w:rsidR="006D3B9F" w:rsidRPr="006D3B9F">
        <w:rPr>
          <w:rFonts w:ascii="Calibri" w:hAnsi="Calibri" w:cs="Calibri"/>
        </w:rPr>
        <w:t>(2019)</w:t>
      </w:r>
      <w:r w:rsidR="00BC4CF2">
        <w:fldChar w:fldCharType="end"/>
      </w:r>
      <w:r w:rsidR="00053FB8">
        <w:t xml:space="preserve"> </w:t>
      </w:r>
      <w:r w:rsidR="00CC0041">
        <w:t xml:space="preserve">research identifies a wide range of </w:t>
      </w:r>
      <w:r w:rsidR="000566F3">
        <w:t xml:space="preserve">influences </w:t>
      </w:r>
      <w:r w:rsidR="00CC0041">
        <w:t xml:space="preserve">which could be </w:t>
      </w:r>
      <w:r w:rsidR="00521013">
        <w:t xml:space="preserve">linked </w:t>
      </w:r>
      <w:r w:rsidR="00CC0041">
        <w:t>to be guided</w:t>
      </w:r>
      <w:r w:rsidR="00521013">
        <w:t xml:space="preserve"> learning</w:t>
      </w:r>
      <w:r w:rsidR="00CC0041">
        <w:t xml:space="preserve">, including </w:t>
      </w:r>
      <w:r w:rsidR="006653F8">
        <w:t xml:space="preserve">a range of bespoke </w:t>
      </w:r>
      <w:r w:rsidR="00521013">
        <w:t xml:space="preserve">curriculum programs </w:t>
      </w:r>
      <w:r w:rsidR="003D2EC7">
        <w:t xml:space="preserve">and cognitive strategies. </w:t>
      </w:r>
      <w:r w:rsidR="00906344">
        <w:t>Among these</w:t>
      </w:r>
      <w:r w:rsidR="003D2EC7">
        <w:t xml:space="preserve">, </w:t>
      </w:r>
      <w:r w:rsidR="00906344">
        <w:t xml:space="preserve">key examples </w:t>
      </w:r>
      <w:r w:rsidR="003D2EC7">
        <w:t xml:space="preserve">include: </w:t>
      </w:r>
    </w:p>
    <w:p w14:paraId="466E9ECE" w14:textId="7A0A4C2B" w:rsidR="003F387B" w:rsidRDefault="006653F8" w:rsidP="003812D7">
      <w:pPr>
        <w:pStyle w:val="ListBullet"/>
      </w:pPr>
      <w:r>
        <w:t>P</w:t>
      </w:r>
      <w:r w:rsidR="003F387B">
        <w:t xml:space="preserve">iagetian programs — explicitly choosing materials and designing tasks in accordance with Piagetian stages of cognitive development. </w:t>
      </w:r>
    </w:p>
    <w:p w14:paraId="4DB282E8" w14:textId="74AA0405" w:rsidR="003D2EC7" w:rsidRDefault="006653F8" w:rsidP="003812D7">
      <w:pPr>
        <w:pStyle w:val="ListBullet"/>
      </w:pPr>
      <w:r>
        <w:t>c</w:t>
      </w:r>
      <w:r w:rsidR="00984EE0">
        <w:t xml:space="preserve">onceptual change programs — </w:t>
      </w:r>
      <w:r w:rsidR="00D47F23">
        <w:t xml:space="preserve">uncovering students’ preconceptions about a particular topic and using various </w:t>
      </w:r>
      <w:r w:rsidR="00E42274">
        <w:t>techniques to help students change their conceptual framework.</w:t>
      </w:r>
    </w:p>
    <w:p w14:paraId="6EEE4CA7" w14:textId="4D3B17E9" w:rsidR="00BA09FC" w:rsidRDefault="006653F8" w:rsidP="003812D7">
      <w:pPr>
        <w:pStyle w:val="ListBullet"/>
      </w:pPr>
      <w:r>
        <w:t>c</w:t>
      </w:r>
      <w:r w:rsidR="00BA09FC">
        <w:t xml:space="preserve">ognitive task analysis </w:t>
      </w:r>
      <w:r>
        <w:t xml:space="preserve">(CTA) </w:t>
      </w:r>
      <w:r w:rsidR="00BA09FC">
        <w:t xml:space="preserve">— explicitly targeting key cognitive drivers of the behaviour of people engaged in particular tasks; shaping instructional approaches for inexpert students who require guidance through the learning process. </w:t>
      </w:r>
    </w:p>
    <w:p w14:paraId="67813B1D" w14:textId="75122699" w:rsidR="00E472D2" w:rsidRDefault="006653F8" w:rsidP="003812D7">
      <w:pPr>
        <w:pStyle w:val="ListBullet"/>
      </w:pPr>
      <w:r>
        <w:t>s</w:t>
      </w:r>
      <w:r w:rsidR="00E472D2">
        <w:t xml:space="preserve">caffolding — </w:t>
      </w:r>
      <w:r w:rsidR="00F74B8B">
        <w:t xml:space="preserve">establishing, and gradually removing, </w:t>
      </w:r>
      <w:r w:rsidR="00AC5446">
        <w:t xml:space="preserve">forms of </w:t>
      </w:r>
      <w:r w:rsidR="00F74B8B">
        <w:t xml:space="preserve">outside </w:t>
      </w:r>
      <w:r w:rsidR="00967A70">
        <w:t xml:space="preserve">assistance that enable students to </w:t>
      </w:r>
      <w:r w:rsidR="00E04BFD">
        <w:t xml:space="preserve">complete tasks. </w:t>
      </w:r>
    </w:p>
    <w:p w14:paraId="3E046E5A" w14:textId="7DBE178E" w:rsidR="002F49E1" w:rsidRDefault="006653F8" w:rsidP="003812D7">
      <w:pPr>
        <w:pStyle w:val="ListBullet"/>
      </w:pPr>
      <w:r>
        <w:t>i</w:t>
      </w:r>
      <w:r w:rsidR="002F49E1">
        <w:t xml:space="preserve">ntelligent tutoring systems — </w:t>
      </w:r>
      <w:r w:rsidR="0032511C">
        <w:t>using systems</w:t>
      </w:r>
      <w:r w:rsidR="001F37E5">
        <w:t xml:space="preserve"> that aim to provide instructional advice on a one-on</w:t>
      </w:r>
      <w:r w:rsidR="000D52E8">
        <w:t>-</w:t>
      </w:r>
      <w:r w:rsidR="001F37E5">
        <w:t>one</w:t>
      </w:r>
      <w:r w:rsidR="000D52E8">
        <w:t xml:space="preserve"> </w:t>
      </w:r>
      <w:r w:rsidR="001F37E5">
        <w:t>basis, and to develop and test models about the cognitive processes involved in instructio</w:t>
      </w:r>
      <w:r w:rsidR="000D52E8">
        <w:t>n</w:t>
      </w:r>
    </w:p>
    <w:p w14:paraId="440C9BFD" w14:textId="446D1346" w:rsidR="006C55A5" w:rsidRDefault="006653F8" w:rsidP="003812D7">
      <w:pPr>
        <w:pStyle w:val="ListBullet"/>
      </w:pPr>
      <w:r>
        <w:t>p</w:t>
      </w:r>
      <w:r w:rsidR="006C55A5">
        <w:t>arental involvement —</w:t>
      </w:r>
      <w:r w:rsidR="00445127">
        <w:t xml:space="preserve"> active participation by parents in the child’s schooling</w:t>
      </w:r>
    </w:p>
    <w:p w14:paraId="2AE458B1" w14:textId="5471F95E" w:rsidR="00617AAD" w:rsidRDefault="006653F8" w:rsidP="003812D7">
      <w:pPr>
        <w:pStyle w:val="ListBullet"/>
      </w:pPr>
      <w:r>
        <w:t>t</w:t>
      </w:r>
      <w:r w:rsidR="00BF3253">
        <w:t xml:space="preserve">eacher-learner relationships — </w:t>
      </w:r>
      <w:r w:rsidR="00933083">
        <w:t xml:space="preserve">developing strong relationships that encourage students to view teachers as a guide </w:t>
      </w:r>
      <w:r w:rsidR="009F39AA">
        <w:t xml:space="preserve">able to assist them in their learning. </w:t>
      </w:r>
    </w:p>
    <w:p w14:paraId="2107665C" w14:textId="6AE92B82" w:rsidR="0024748D" w:rsidRDefault="0024748D" w:rsidP="003812D7"/>
    <w:p w14:paraId="7FB8D1EC" w14:textId="462B5FD4" w:rsidR="0024748D" w:rsidRDefault="00797C90" w:rsidP="003812D7">
      <w:pPr>
        <w:pStyle w:val="Heading2"/>
      </w:pPr>
      <w:r>
        <w:t>Explicit</w:t>
      </w:r>
    </w:p>
    <w:p w14:paraId="58E635B4" w14:textId="52023A20" w:rsidR="00AF009D" w:rsidRDefault="00FC62C0" w:rsidP="003812D7">
      <w:r>
        <w:t>Also referred to as direct instruction, e</w:t>
      </w:r>
      <w:r w:rsidR="001C6E3C">
        <w:t xml:space="preserve">xplicit instruction </w:t>
      </w:r>
      <w:r w:rsidR="00F07FE5">
        <w:t xml:space="preserve">involves the explicit teaching of skills and </w:t>
      </w:r>
      <w:r w:rsidR="000A6426">
        <w:t>content to students</w:t>
      </w:r>
      <w:r w:rsidR="00DC19F0">
        <w:t xml:space="preserve">, often through carefully structured </w:t>
      </w:r>
      <w:r>
        <w:t>demonstrations</w:t>
      </w:r>
      <w:r w:rsidR="00C52B5D">
        <w:t>, lectures,</w:t>
      </w:r>
      <w:r>
        <w:t xml:space="preserve"> and presentations. </w:t>
      </w:r>
      <w:r w:rsidR="00734C79">
        <w:t xml:space="preserve">It is sometimes seen as a more traditional approach, historically being suited to </w:t>
      </w:r>
      <w:r w:rsidR="00222D6C">
        <w:t xml:space="preserve">large classrooms at a time when access to information was </w:t>
      </w:r>
      <w:r w:rsidR="00921B4B">
        <w:t xml:space="preserve">scarce and assessment tended to prioritise declarative and factual forms of knowledge. </w:t>
      </w:r>
      <w:r w:rsidR="00AF009D">
        <w:t xml:space="preserve">During the 1970s and 1980s, the </w:t>
      </w:r>
      <w:r w:rsidR="0033781E">
        <w:t xml:space="preserve">wide acceptance </w:t>
      </w:r>
      <w:r w:rsidR="00AF009D">
        <w:t xml:space="preserve">of constructivist </w:t>
      </w:r>
      <w:r w:rsidR="0033781E">
        <w:t>learning theor</w:t>
      </w:r>
      <w:r w:rsidR="00144049">
        <w:t>y</w:t>
      </w:r>
      <w:r w:rsidR="0033781E">
        <w:t xml:space="preserve"> </w:t>
      </w:r>
      <w:r w:rsidR="007221FB">
        <w:t xml:space="preserve">in </w:t>
      </w:r>
      <w:r w:rsidR="004610A2">
        <w:t>W</w:t>
      </w:r>
      <w:r w:rsidR="007221FB">
        <w:t xml:space="preserve">estern education </w:t>
      </w:r>
      <w:r w:rsidR="0033781E">
        <w:t xml:space="preserve">led to an emphasis on student-centred learning, which some </w:t>
      </w:r>
      <w:r w:rsidR="006543A3">
        <w:t xml:space="preserve">saw as opposed to </w:t>
      </w:r>
      <w:r w:rsidR="00395C0C">
        <w:t xml:space="preserve">more teacher-centred </w:t>
      </w:r>
      <w:r w:rsidR="00D15771">
        <w:t xml:space="preserve">explicit </w:t>
      </w:r>
      <w:r w:rsidR="007A4CDE">
        <w:t>instruction</w:t>
      </w:r>
      <w:r w:rsidR="00E0092C">
        <w:t xml:space="preserve"> because of its </w:t>
      </w:r>
      <w:r w:rsidR="007A310C">
        <w:t xml:space="preserve">perceived </w:t>
      </w:r>
      <w:r w:rsidR="00E0092C">
        <w:t>emphasis on treating students uniformly.</w:t>
      </w:r>
      <w:r w:rsidR="00A16B8F">
        <w:t xml:space="preserve"> Dewey’s </w:t>
      </w:r>
      <w:r w:rsidR="00A16B8F">
        <w:fldChar w:fldCharType="begin"/>
      </w:r>
      <w:r w:rsidR="00A45F0C">
        <w:instrText xml:space="preserve"> ADDIN ZOTERO_ITEM CSL_CITATION {"citationID":"qYorjuLi","properties":{"formattedCitation":"(1938b)","plainCitation":"(1938b)","noteIndex":0},"citationItems":[{"id":423,"uris":["http://zotero.org/users/702074/items/KFED9SNF"],"uri":["http://zotero.org/users/702074/items/KFED9SNF"],"itemData":{"id":423,"type":"article-journal","container-title":"New York: Holt, Rinehart &amp; Wiston","source":"Google Scholar","title":"The theory of inquiry","author":[{"family":"Dewey","given":"John"}],"accessed":{"date-parts":[["2013",11,24]]},"issued":{"date-parts":[["1938"]]}},"suppress-author":true}],"schema":"https://github.com/citation-style-language/schema/raw/master/csl-citation.json"} </w:instrText>
      </w:r>
      <w:r w:rsidR="00A16B8F">
        <w:fldChar w:fldCharType="separate"/>
      </w:r>
      <w:r w:rsidR="00A45F0C" w:rsidRPr="00A45F0C">
        <w:rPr>
          <w:rFonts w:ascii="Calibri" w:hAnsi="Calibri" w:cs="Calibri"/>
        </w:rPr>
        <w:t>(1938b)</w:t>
      </w:r>
      <w:r w:rsidR="00A16B8F">
        <w:fldChar w:fldCharType="end"/>
      </w:r>
      <w:r w:rsidR="00A45F0C">
        <w:t xml:space="preserve"> theories of learner-led inquiry were also </w:t>
      </w:r>
      <w:r w:rsidR="00C25E62">
        <w:t>used as the basis of a burgeoning focus on inquiry-based learning — again</w:t>
      </w:r>
      <w:r w:rsidR="0000581A">
        <w:t>,</w:t>
      </w:r>
      <w:r w:rsidR="00C25E62">
        <w:t xml:space="preserve"> which some viewed as ideologically opposed to </w:t>
      </w:r>
      <w:r w:rsidR="00814FBE">
        <w:t>explicit</w:t>
      </w:r>
      <w:r w:rsidR="00C25E62">
        <w:t xml:space="preserve"> instruction. </w:t>
      </w:r>
      <w:r w:rsidR="00A63581">
        <w:t>These opposing viewpoints have resulted in</w:t>
      </w:r>
      <w:r w:rsidR="0025138A">
        <w:t xml:space="preserve"> </w:t>
      </w:r>
      <w:r w:rsidR="00E2008F">
        <w:t>much</w:t>
      </w:r>
      <w:r w:rsidR="003C024F">
        <w:t xml:space="preserve"> </w:t>
      </w:r>
      <w:r w:rsidR="0025138A">
        <w:t xml:space="preserve">debate about whether student-centred approaches such as inquiry are superior or inferior to more teacher-centred approaches such as explicit instruction. </w:t>
      </w:r>
    </w:p>
    <w:p w14:paraId="1B469AC6" w14:textId="696BB47D" w:rsidR="006A27A7" w:rsidRDefault="00273E5F" w:rsidP="003812D7">
      <w:r>
        <w:t>In terms of theoretical framing</w:t>
      </w:r>
      <w:r w:rsidR="003C024F">
        <w:t>, e</w:t>
      </w:r>
      <w:r w:rsidR="0025138A">
        <w:t xml:space="preserve">xplicit instruction </w:t>
      </w:r>
      <w:r w:rsidR="003C024F">
        <w:t xml:space="preserve">has occasionally been referred to as  </w:t>
      </w:r>
      <w:r w:rsidR="0025138A" w:rsidRPr="00E6473F">
        <w:rPr>
          <w:i/>
          <w:iCs/>
        </w:rPr>
        <w:t>transmissionist</w:t>
      </w:r>
      <w:r w:rsidR="0025138A">
        <w:t xml:space="preserve"> learning</w:t>
      </w:r>
      <w:r w:rsidR="003C024F">
        <w:t xml:space="preserve">, where the </w:t>
      </w:r>
      <w:r w:rsidR="006F4DC7">
        <w:t xml:space="preserve">teacher </w:t>
      </w:r>
      <w:r w:rsidR="00AF61B2">
        <w:t xml:space="preserve">simply </w:t>
      </w:r>
      <w:r w:rsidR="006F4DC7">
        <w:t xml:space="preserve">imparts knowledge and wisdom to students as receptors. However, </w:t>
      </w:r>
      <w:r w:rsidR="00120D2E">
        <w:t xml:space="preserve">this </w:t>
      </w:r>
      <w:r>
        <w:t xml:space="preserve">theorisation </w:t>
      </w:r>
      <w:r w:rsidR="00120D2E">
        <w:t xml:space="preserve">lacks </w:t>
      </w:r>
      <w:r>
        <w:t xml:space="preserve">empirical </w:t>
      </w:r>
      <w:r w:rsidR="00120D2E">
        <w:t xml:space="preserve">evidence, and </w:t>
      </w:r>
      <w:r w:rsidR="00DC4F14">
        <w:t xml:space="preserve">current research </w:t>
      </w:r>
      <w:r w:rsidR="006F7EE9">
        <w:t xml:space="preserve">generally </w:t>
      </w:r>
      <w:r w:rsidR="00402943">
        <w:t xml:space="preserve">supports the view that learners construct their own </w:t>
      </w:r>
      <w:r w:rsidR="004E5E58">
        <w:t xml:space="preserve">conceptual </w:t>
      </w:r>
      <w:r w:rsidR="00402943">
        <w:t>understanding</w:t>
      </w:r>
      <w:r w:rsidR="00120D2E">
        <w:t xml:space="preserve"> </w:t>
      </w:r>
      <w:r w:rsidR="004E5E58">
        <w:t xml:space="preserve">rather than simply receiving understanding from the teacher. </w:t>
      </w:r>
      <w:r w:rsidR="00900BEA">
        <w:t xml:space="preserve">A stronger theoretical grounding can be found in cognitivism, which </w:t>
      </w:r>
      <w:r w:rsidR="00687735">
        <w:t xml:space="preserve">is </w:t>
      </w:r>
      <w:r w:rsidR="00A93D1A">
        <w:t>a psychological approach</w:t>
      </w:r>
      <w:r w:rsidR="00F80A4C">
        <w:t xml:space="preserve"> developed </w:t>
      </w:r>
      <w:r w:rsidR="00A652DE">
        <w:t xml:space="preserve">during the 1950s </w:t>
      </w:r>
      <w:r w:rsidR="007A488F">
        <w:t xml:space="preserve">arguing </w:t>
      </w:r>
      <w:r w:rsidR="00F80A4C">
        <w:t xml:space="preserve">that </w:t>
      </w:r>
      <w:r w:rsidR="008C29F7">
        <w:t xml:space="preserve">educational outcomes </w:t>
      </w:r>
      <w:r w:rsidR="0050119E">
        <w:t>can</w:t>
      </w:r>
      <w:r w:rsidR="008C29F7">
        <w:t xml:space="preserve"> be maximised by a more grounded and evidence-informed understanding of mental function. </w:t>
      </w:r>
      <w:r w:rsidR="00E466B3">
        <w:t>One key area of cogni</w:t>
      </w:r>
      <w:r w:rsidR="00E11695">
        <w:t xml:space="preserve">tivism as it applies to learning is the science of long-term memory and the role of education in </w:t>
      </w:r>
      <w:r w:rsidR="0090326D">
        <w:t xml:space="preserve">influencing it. </w:t>
      </w:r>
      <w:r w:rsidR="00EB0D08">
        <w:t xml:space="preserve">Cognitive scientists </w:t>
      </w:r>
      <w:r w:rsidR="000D2CC4">
        <w:t xml:space="preserve">Atkinson and Shiffrin </w:t>
      </w:r>
      <w:r w:rsidR="000D2CC4">
        <w:fldChar w:fldCharType="begin"/>
      </w:r>
      <w:r w:rsidR="0080089F">
        <w:instrText xml:space="preserve"> ADDIN ZOTERO_ITEM CSL_CITATION {"citationID":"HK8rPM3Z","properties":{"formattedCitation":"(1968)","plainCitation":"(1968)","noteIndex":0},"citationItems":[{"id":2242,"uris":["http://zotero.org/users/702074/items/5CLPMHVY"],"uri":["http://zotero.org/users/702074/items/5CLPMHVY"],"itemData":{"id":2242,"type":"article-journal","container-title":"The Psychology of Learning and Motivation","note":"publisher: Academic Press New York","source":"Google Scholar","title":"Human memory: A proposed system and its control processes","title-short":"Human memory","volume":"2","author":[{"family":"Atkinson","given":"Richard C."},{"family":"Shiffrin","given":"Richard M."}],"issued":{"date-parts":[["1968"]]}},"suppress-author":true}],"schema":"https://github.com/citation-style-language/schema/raw/master/csl-citation.json"} </w:instrText>
      </w:r>
      <w:r w:rsidR="000D2CC4">
        <w:fldChar w:fldCharType="separate"/>
      </w:r>
      <w:r w:rsidR="000D2CC4" w:rsidRPr="000D2CC4">
        <w:rPr>
          <w:rFonts w:ascii="Calibri" w:hAnsi="Calibri" w:cs="Calibri"/>
        </w:rPr>
        <w:t>(1968)</w:t>
      </w:r>
      <w:r w:rsidR="000D2CC4">
        <w:fldChar w:fldCharType="end"/>
      </w:r>
      <w:r w:rsidR="000D2CC4">
        <w:t xml:space="preserve"> were among the first to explain the relationship between </w:t>
      </w:r>
      <w:r w:rsidR="007A488F">
        <w:t xml:space="preserve">what they </w:t>
      </w:r>
      <w:r w:rsidR="0050119E">
        <w:t>conceptualised</w:t>
      </w:r>
      <w:r w:rsidR="007A488F">
        <w:t xml:space="preserve"> as </w:t>
      </w:r>
      <w:r w:rsidR="00E07524">
        <w:t xml:space="preserve">the three structural components of the mind: (1) sensory register; (2) short-term store; and (3) long-term store. </w:t>
      </w:r>
      <w:r w:rsidR="006432C3">
        <w:t>The authors explain that both the sensory register and short-term memory are fleeting—with information lost in a matter of seconds—but that the short</w:t>
      </w:r>
      <w:r w:rsidR="00406C1F">
        <w:t>-</w:t>
      </w:r>
      <w:r w:rsidR="006432C3">
        <w:t xml:space="preserve">term memory plays a vital role in </w:t>
      </w:r>
      <w:r w:rsidR="00406C1F">
        <w:t xml:space="preserve">moving information to the long-term memory, where it can be stored indefinitely. </w:t>
      </w:r>
    </w:p>
    <w:p w14:paraId="06122CDD" w14:textId="7B8E4D35" w:rsidR="00DD4986" w:rsidRDefault="00406C1F" w:rsidP="003812D7">
      <w:r>
        <w:t xml:space="preserve">In their synthesis of research on </w:t>
      </w:r>
      <w:r w:rsidR="00BF21DD">
        <w:t xml:space="preserve">explicit instruction, Kirschner, Sweller, and Clark </w:t>
      </w:r>
      <w:r w:rsidR="00BF21DD">
        <w:fldChar w:fldCharType="begin"/>
      </w:r>
      <w:r w:rsidR="00D40065">
        <w:instrText xml:space="preserve"> ADDIN ZOTERO_ITEM CSL_CITATION {"citationID":"HfZyxtTa","properties":{"formattedCitation":"(2006)","plainCitation":"(2006)","noteIndex":0},"citationItems":[{"id":537,"uris":["http://zotero.org/users/702074/items/URGU7U6S"],"uri":["http://zotero.org/users/702074/items/URGU7U6S"],"itemData":{"id":537,"type":"article-journal","container-title":"Educational psychologist","issue":"2","page":"75–86","source":"Google Scholar","title":"Why minimal guidance during instruction does not work: An analysis of the failure of constructivist, discovery, problem-based, experiential, and inquiry-based teaching","title-short":"Why minimal guidance during instruction does not work","URL":"http://www.tandfonline.com/doi/abs/10.1207/s15326985ep4102_1","volume":"41","author":[{"family":"Kirschner","given":"Paul A."},{"family":"Sweller","given":"John"},{"family":"Clark","given":"Richard E."}],"accessed":{"date-parts":[["2014",10,27]]},"issued":{"date-parts":[["2006"]]}},"suppress-author":true}],"schema":"https://github.com/citation-style-language/schema/raw/master/csl-citation.json"} </w:instrText>
      </w:r>
      <w:r w:rsidR="00BF21DD">
        <w:fldChar w:fldCharType="separate"/>
      </w:r>
      <w:r w:rsidR="00D40065" w:rsidRPr="00D40065">
        <w:rPr>
          <w:rFonts w:ascii="Calibri" w:hAnsi="Calibri" w:cs="Calibri"/>
        </w:rPr>
        <w:t>(2006)</w:t>
      </w:r>
      <w:r w:rsidR="00BF21DD">
        <w:fldChar w:fldCharType="end"/>
      </w:r>
      <w:r w:rsidR="007265CB">
        <w:t xml:space="preserve"> now famously argue against learner-centred pedagogies that </w:t>
      </w:r>
      <w:r w:rsidR="000F604F">
        <w:t xml:space="preserve">are often seen to endorse </w:t>
      </w:r>
      <w:r w:rsidR="007265CB">
        <w:t>minimal guidance</w:t>
      </w:r>
      <w:r w:rsidR="00D26AD4">
        <w:t xml:space="preserve"> in favour of </w:t>
      </w:r>
      <w:r w:rsidR="00F255E5">
        <w:t>explicit instruction</w:t>
      </w:r>
      <w:r w:rsidR="000F604F">
        <w:t>, finding across several decades of research that “controlled experiments</w:t>
      </w:r>
      <w:r w:rsidR="00F5612A">
        <w:t xml:space="preserve"> almost uniformly indicate that when dealing</w:t>
      </w:r>
      <w:r w:rsidR="001D79A3">
        <w:t xml:space="preserve"> </w:t>
      </w:r>
      <w:r w:rsidR="00037F39">
        <w:t xml:space="preserve">with novel information, learners should be explicitly shown what to do and how to do it” (p. </w:t>
      </w:r>
      <w:r w:rsidR="00746415">
        <w:t xml:space="preserve">79). The authors qualify that altering long-term memory should be the primary goal of any form of instruction: </w:t>
      </w:r>
      <w:r w:rsidR="001D32EF">
        <w:t>“</w:t>
      </w:r>
      <w:r w:rsidR="00A86891">
        <w:t>T</w:t>
      </w:r>
      <w:r w:rsidR="001D32EF">
        <w:t xml:space="preserve">he architecture of long-term memory provides us with the ultimate justification </w:t>
      </w:r>
      <w:r w:rsidR="00562066">
        <w:t>for instruction. The aim of all instruction is to alter long-term memory. If nothing has changed in long-term memory, nothing has been learned</w:t>
      </w:r>
      <w:r w:rsidR="009368B3">
        <w:t xml:space="preserve">” (p. 77). </w:t>
      </w:r>
      <w:r w:rsidR="00F95828">
        <w:t xml:space="preserve">These findings are </w:t>
      </w:r>
      <w:r w:rsidR="006747E2">
        <w:t xml:space="preserve">somewhat </w:t>
      </w:r>
      <w:r w:rsidR="000E5E76">
        <w:t xml:space="preserve">supported by Hattie’s earlier </w:t>
      </w:r>
      <w:r w:rsidR="00F95828">
        <w:fldChar w:fldCharType="begin"/>
      </w:r>
      <w:r w:rsidR="00BB52ED">
        <w:instrText xml:space="preserve"> ADDIN ZOTERO_ITEM CSL_CITATION {"citationID":"oFge2rEU","properties":{"formattedCitation":"(2009)","plainCitation":"(2009)","noteIndex":0},"citationItems":[{"id":974,"uris":["http://zotero.org/users/702074/items/6I2UHB94"],"uri":["http://zotero.org/users/702074/items/6I2UHB94"],"itemData":{"id":974,"type":"book","event-place":"London","publisher":"Routledge","publisher-place":"London","source":"Google Scholar","title":"Visible learning: A synthesis of over 800 meta-analyses relating to achievement","title-short":"Visible learning","author":[{"family":"Hattie","given":"John"}],"issued":{"date-parts":[["2009"]]}},"suppress-author":true}],"schema":"https://github.com/citation-style-language/schema/raw/master/csl-citation.json"} </w:instrText>
      </w:r>
      <w:r w:rsidR="00F95828">
        <w:fldChar w:fldCharType="separate"/>
      </w:r>
      <w:r w:rsidR="00F95828" w:rsidRPr="00E568EF">
        <w:rPr>
          <w:rFonts w:ascii="Calibri" w:hAnsi="Calibri" w:cs="Calibri"/>
        </w:rPr>
        <w:t>(2009)</w:t>
      </w:r>
      <w:r w:rsidR="00F95828">
        <w:fldChar w:fldCharType="end"/>
      </w:r>
      <w:r w:rsidR="00F95828">
        <w:t xml:space="preserve"> </w:t>
      </w:r>
      <w:r w:rsidR="000E5E76">
        <w:t>meta-analys</w:t>
      </w:r>
      <w:r w:rsidR="00883EAD">
        <w:t xml:space="preserve">is that found </w:t>
      </w:r>
      <w:r w:rsidR="006747E2">
        <w:t>only modest impact for inquiry-based teaching</w:t>
      </w:r>
      <w:r w:rsidR="00330E99">
        <w:t xml:space="preserve"> </w:t>
      </w:r>
      <w:r w:rsidR="007F4354">
        <w:t>(</w:t>
      </w:r>
      <w:r w:rsidR="007F4354">
        <w:rPr>
          <w:i/>
          <w:iCs/>
        </w:rPr>
        <w:t>d</w:t>
      </w:r>
      <w:r w:rsidR="007F4354">
        <w:t xml:space="preserve">=0.31; however, this was revised to 0.46 in the most recent analysis) </w:t>
      </w:r>
      <w:r w:rsidR="00330E99">
        <w:t xml:space="preserve">by contrast to </w:t>
      </w:r>
      <w:r w:rsidR="009C3855">
        <w:t>direct instruction (</w:t>
      </w:r>
      <w:r w:rsidR="009C3855">
        <w:rPr>
          <w:i/>
          <w:iCs/>
        </w:rPr>
        <w:t>d</w:t>
      </w:r>
      <w:r w:rsidR="009C3855">
        <w:t>=</w:t>
      </w:r>
      <w:r w:rsidR="00B55492">
        <w:t>0.59)</w:t>
      </w:r>
      <w:r w:rsidR="006747E2">
        <w:t xml:space="preserve">, although </w:t>
      </w:r>
      <w:r w:rsidR="00F02948">
        <w:t xml:space="preserve">he </w:t>
      </w:r>
      <w:r w:rsidR="006747E2">
        <w:t xml:space="preserve">later comments that inquiry can be very effectively supported by explicit instruction: </w:t>
      </w:r>
      <w:r w:rsidR="00F95828">
        <w:t>“</w:t>
      </w:r>
      <w:r w:rsidR="00F95828" w:rsidRPr="00E568EF">
        <w:t xml:space="preserve">if you are learning surface level information… then problem-based learning and inquiry-based learning is pretty useless… </w:t>
      </w:r>
      <w:r w:rsidR="00F95828">
        <w:t>b</w:t>
      </w:r>
      <w:r w:rsidR="00F95828" w:rsidRPr="00E568EF">
        <w:t>ut if you try to get the kids to build up sufficient knowledge and understanding and vocabulary… that’s the right time and yes, it can work”</w:t>
      </w:r>
      <w:r w:rsidR="00F95828">
        <w:t xml:space="preserve"> </w:t>
      </w:r>
      <w:r w:rsidR="00F95828">
        <w:fldChar w:fldCharType="begin"/>
      </w:r>
      <w:r w:rsidR="00BB52ED">
        <w:instrText xml:space="preserve"> ADDIN ZOTERO_ITEM CSL_CITATION {"citationID":"A9jmUHCb","properties":{"formattedCitation":"(Corwin, 2015, np)","plainCitation":"(Corwin, 2015, np)","noteIndex":0},"citationItems":[{"id":1032,"uris":["http://zotero.org/users/702074/items/QAFBA4IM"],"uri":["http://zotero.org/users/702074/items/QAFBA4IM"],"itemData":{"id":1032,"type":"motion_picture","abstract":"Why does inquiry-based learning only have an effect size of 0.31 when it is an approach to learning that seems to engage students and teachers so readily in the process of learning? \n- Submitted by a  school improvement resource team leader from Montreal, Canada","dimensions":"2:11","event-place":"Canada","publisher-place":"Canada","source":"YouTube","title":"John Hattie on inquiry-based learning","URL":"https://www.youtube.com/watch?v=YUooOYbgSUg","author":[{"literal":"Corwin"}],"accessed":{"date-parts":[["2019",9,5]]},"issued":{"date-parts":[["2015",11,9]]}},"suffix":", np"}],"schema":"https://github.com/citation-style-language/schema/raw/master/csl-citation.json"} </w:instrText>
      </w:r>
      <w:r w:rsidR="00F95828">
        <w:fldChar w:fldCharType="separate"/>
      </w:r>
      <w:r w:rsidR="00F95828" w:rsidRPr="00E568EF">
        <w:rPr>
          <w:rFonts w:ascii="Calibri" w:hAnsi="Calibri" w:cs="Calibri"/>
        </w:rPr>
        <w:t>(Corwin, 2015, np)</w:t>
      </w:r>
      <w:r w:rsidR="00F95828">
        <w:fldChar w:fldCharType="end"/>
      </w:r>
      <w:r w:rsidR="00F95828">
        <w:t>.</w:t>
      </w:r>
      <w:r w:rsidR="003A29DE">
        <w:t xml:space="preserve"> </w:t>
      </w:r>
    </w:p>
    <w:p w14:paraId="2EAD7834" w14:textId="50441471" w:rsidR="00117C0E" w:rsidRDefault="007B239F" w:rsidP="003812D7">
      <w:r>
        <w:t xml:space="preserve">Analysis of future work skills arguably implies </w:t>
      </w:r>
      <w:r w:rsidR="00E75212">
        <w:t xml:space="preserve">the continued relevance of explicit instruction in </w:t>
      </w:r>
      <w:r w:rsidR="004316E6">
        <w:t xml:space="preserve">both </w:t>
      </w:r>
      <w:r w:rsidR="00E75212">
        <w:t xml:space="preserve">preparing students for future work and as a strategy </w:t>
      </w:r>
      <w:r w:rsidR="00F95A5E">
        <w:t>with which individuals should be equipped</w:t>
      </w:r>
      <w:r w:rsidR="00FA5885">
        <w:t xml:space="preserve">. In terms of students’ preparation for the future, </w:t>
      </w:r>
      <w:r w:rsidR="00065329">
        <w:t xml:space="preserve">explicit instruction arguably has a role to play in developing </w:t>
      </w:r>
      <w:r w:rsidR="00FA5885">
        <w:t>both disciplinary STEM knowledge and literacy and numeracy skill</w:t>
      </w:r>
      <w:r w:rsidR="00065329">
        <w:t>s</w:t>
      </w:r>
      <w:r w:rsidR="00CB1D91">
        <w:t xml:space="preserve">. Both Industry and Science Australia </w:t>
      </w:r>
      <w:r w:rsidR="00CB1D91">
        <w:fldChar w:fldCharType="begin"/>
      </w:r>
      <w:r w:rsidR="009272A4">
        <w:instrText xml:space="preserve"> ADDIN ZOTERO_ITEM CSL_CITATION {"citationID":"Mkgm6xug","properties":{"formattedCitation":"(2017)","plainCitation":"(2017)","noteIndex":0},"citationItems":[{"id":970,"uris":["http://zotero.org/users/702074/items/WTFK2B7V"],"uri":["http://zotero.org/users/702074/items/WTFK2B7V"],"itemData":{"id":970,"type":"report","title":"Australia 2030 - Prosperity Through Innovation: a plan for Australia to thrive in the global innovation race","URL":"https://www.industry.gov.au/data-and-publications/australia-2030-prosperity-through-innovation","author":[{"literal":"Innovation and Science Australia"}],"accessed":{"date-parts":[["2018",10,7]]},"issued":{"date-parts":[["2017"]]}},"suppress-author":true}],"schema":"https://github.com/citation-style-language/schema/raw/master/csl-citation.json"} </w:instrText>
      </w:r>
      <w:r w:rsidR="00CB1D91">
        <w:fldChar w:fldCharType="separate"/>
      </w:r>
      <w:r w:rsidR="009272A4" w:rsidRPr="009272A4">
        <w:rPr>
          <w:rFonts w:ascii="Calibri" w:hAnsi="Calibri" w:cs="Calibri"/>
        </w:rPr>
        <w:t>(2017)</w:t>
      </w:r>
      <w:r w:rsidR="00CB1D91">
        <w:fldChar w:fldCharType="end"/>
      </w:r>
      <w:r w:rsidR="005E5407">
        <w:t xml:space="preserve"> and the Office of the Chief Scientist </w:t>
      </w:r>
      <w:r w:rsidR="00255C93">
        <w:fldChar w:fldCharType="begin"/>
      </w:r>
      <w:r w:rsidR="00255C93">
        <w:instrText xml:space="preserve"> ADDIN ZOTERO_ITEM CSL_CITATION {"citationID":"erbTN9O8","properties":{"formattedCitation":"(2014; 2016)","plainCitation":"(2014; 2016)","noteIndex":0},"citationItems":[{"id":1091,"uris":["http://zotero.org/users/702074/items/JG7ZQZBW"],"uri":["http://zotero.org/users/702074/items/JG7ZQZBW"],"itemData":{"id":1091,"type":"report","event-place":"Canberra","publisher":"Australian Government","publisher-place":"Canberra","title":"Science, Technology, Engineering and Mathematics: Australia's Future","URL":"https://www.chiefscientist.gov.au/2014/09/professor-chubb-releases-science-technology-engineering-and-mathematics-australias-future/","author":[{"literal":"Office of the Chief Scientist"}],"issued":{"date-parts":[["2014"]]}},"suppress-author":true},{"id":1097,"uris":["http://zotero.org/users/702074/items/W6PLCU4K"],"uri":["http://zotero.org/users/702074/items/W6PLCU4K"],"itemData":{"id":1097,"type":"report","abstract":"Australia's future will rely on science, technology, engineering and mathematics (STEM) - disciplines at the core of innovation. Businesses will rely on STEM to compete in the emerging sectors that new technologies will create, as well as in the existing sectors which new technologies will transform. The Australian workforce will require specialised skills in STEM as well as high STEM literacy across the board to sustain economic growth. While it is known that STEM will be critical, very little is known about who possesses these skills in Australia, where they work or how their careers progress from graduation. This report is a comprehensive overview of available data and as such a measure of Australia's capability for STEM-led change. [Introduction].","event-place":"Canberra City","language":"en","note":"OCLC: 987590664","publisher":"Australian Government - Department of Industry and Science.","publisher-place":"Canberra City","source":"Open WorldCat","title":"Australia's STEM workforce: Science, Technology, Engineering and Mathematics.","title-short":"Australia's STEM workforce","author":[{"literal":"Office of the Chief Scientist"},{"family":"Baranyai","given":"Krisztian"},{"family":"Bowles","given":"Jennifer"},{"family":"Hassan","given":"Samira"},{"family":"Prinsley","given":"Roslyn"},{"family":"Smith","given":"Phillippa"},{"family":"Walter","given":"Chris"},{"literal":"Australia"},{"literal":"Office of the Chief Scientist"}],"issued":{"date-parts":[["2016"]]}},"suppress-author":true}],"schema":"https://github.com/citation-style-language/schema/raw/master/csl-citation.json"} </w:instrText>
      </w:r>
      <w:r w:rsidR="00255C93">
        <w:fldChar w:fldCharType="separate"/>
      </w:r>
      <w:r w:rsidR="00255C93" w:rsidRPr="00255C93">
        <w:rPr>
          <w:rFonts w:ascii="Calibri" w:hAnsi="Calibri" w:cs="Calibri"/>
        </w:rPr>
        <w:t>(2014; 2016)</w:t>
      </w:r>
      <w:r w:rsidR="00255C93">
        <w:fldChar w:fldCharType="end"/>
      </w:r>
      <w:r w:rsidR="00255C93">
        <w:t xml:space="preserve"> </w:t>
      </w:r>
      <w:r w:rsidR="006F7363">
        <w:t xml:space="preserve">stress the value of strong disciplinary knowledge that is developed through </w:t>
      </w:r>
      <w:r w:rsidR="0066060B">
        <w:t xml:space="preserve">expert instruction. OECD </w:t>
      </w:r>
      <w:r w:rsidR="0066060B">
        <w:fldChar w:fldCharType="begin"/>
      </w:r>
      <w:r w:rsidR="00411C04">
        <w:instrText xml:space="preserve"> ADDIN ZOTERO_ITEM CSL_CITATION {"citationID":"HQn56y39","properties":{"formattedCitation":"(2018)","plainCitation":"(2018)","noteIndex":0},"citationItems":[{"id":1108,"uris":["http://zotero.org/users/702074/items/ZP45SF8V"],"uri":["http://zotero.org/users/702074/items/ZP45SF8V"],"itemData":{"id":1108,"type":"webpage","title":"OECD Education 2030","URL":"http://www.oecd.org/education/2030/","author":[{"literal":"OECD"}],"issued":{"date-parts":[["2018"]]}},"suppress-author":true}],"schema":"https://github.com/citation-style-language/schema/raw/master/csl-citation.json"} </w:instrText>
      </w:r>
      <w:r w:rsidR="0066060B">
        <w:fldChar w:fldCharType="separate"/>
      </w:r>
      <w:r w:rsidR="00411C04" w:rsidRPr="00411C04">
        <w:rPr>
          <w:rFonts w:ascii="Calibri" w:hAnsi="Calibri" w:cs="Calibri"/>
        </w:rPr>
        <w:t>(2018)</w:t>
      </w:r>
      <w:r w:rsidR="0066060B">
        <w:fldChar w:fldCharType="end"/>
      </w:r>
      <w:r w:rsidR="00411C04">
        <w:t xml:space="preserve"> </w:t>
      </w:r>
      <w:r w:rsidR="0066060B">
        <w:t xml:space="preserve">similarly </w:t>
      </w:r>
      <w:r w:rsidR="00411C04">
        <w:t xml:space="preserve">regards literacy and numeracy as </w:t>
      </w:r>
      <w:r w:rsidR="00664A2D">
        <w:t xml:space="preserve">a </w:t>
      </w:r>
      <w:r w:rsidR="009F09FB">
        <w:t>strong foundation for future success</w:t>
      </w:r>
      <w:r w:rsidR="00AD6007">
        <w:t xml:space="preserve">. </w:t>
      </w:r>
      <w:r w:rsidR="00966026">
        <w:t xml:space="preserve">In terms of </w:t>
      </w:r>
      <w:r w:rsidR="00B300DB">
        <w:t xml:space="preserve">work skills, </w:t>
      </w:r>
      <w:r w:rsidR="00AD6007">
        <w:t xml:space="preserve">Foundation for Young Australians </w:t>
      </w:r>
      <w:r w:rsidR="004E79D3">
        <w:fldChar w:fldCharType="begin"/>
      </w:r>
      <w:r w:rsidR="00535068">
        <w:instrText xml:space="preserve"> ADDIN ZOTERO_ITEM CSL_CITATION {"citationID":"BvO0FkOQ","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4E79D3">
        <w:fldChar w:fldCharType="separate"/>
      </w:r>
      <w:r w:rsidR="00535068" w:rsidRPr="00535068">
        <w:rPr>
          <w:rFonts w:ascii="Calibri" w:hAnsi="Calibri" w:cs="Calibri"/>
        </w:rPr>
        <w:t>(2017)</w:t>
      </w:r>
      <w:r w:rsidR="004E79D3">
        <w:fldChar w:fldCharType="end"/>
      </w:r>
      <w:r w:rsidR="00535068">
        <w:t xml:space="preserve"> </w:t>
      </w:r>
      <w:r w:rsidR="00552E26">
        <w:t>believes that future jobs are likely to place considerably more emphasis on written and verbal communication</w:t>
      </w:r>
      <w:r w:rsidR="00DF51B0">
        <w:t xml:space="preserve"> at the same time as </w:t>
      </w:r>
      <w:r w:rsidR="00022F39">
        <w:t xml:space="preserve">forecasting that, “in an average working week, the time spent on tasks requiring advanced technology skills is set to increase by 75 per cent from 4 hours today to 7 hours in 2030” (p. 16). </w:t>
      </w:r>
      <w:r w:rsidR="00321E59">
        <w:t xml:space="preserve">Davies, Fidler, and Gorbis </w:t>
      </w:r>
      <w:r w:rsidR="00321E59">
        <w:fldChar w:fldCharType="begin"/>
      </w:r>
      <w:r w:rsidR="00E82B7B">
        <w:instrText xml:space="preserve"> ADDIN ZOTERO_ITEM CSL_CITATION {"citationID":"7VrpD6R0","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321E59">
        <w:fldChar w:fldCharType="separate"/>
      </w:r>
      <w:r w:rsidR="00E82B7B" w:rsidRPr="00E82B7B">
        <w:rPr>
          <w:rFonts w:ascii="Calibri" w:hAnsi="Calibri" w:cs="Calibri"/>
        </w:rPr>
        <w:t>(2011)</w:t>
      </w:r>
      <w:r w:rsidR="00321E59">
        <w:fldChar w:fldCharType="end"/>
      </w:r>
      <w:r w:rsidR="00E82B7B">
        <w:t xml:space="preserve"> suggest that </w:t>
      </w:r>
      <w:r w:rsidR="00B355D4">
        <w:t>“a</w:t>
      </w:r>
      <w:r w:rsidR="00117C0E">
        <w:t>s immersive and visually stimulating presentation of information becomes the norm, workers will need more sophisticated skills to use these tools to engage and persuade their audiences”</w:t>
      </w:r>
      <w:r w:rsidR="00F00CA4">
        <w:t xml:space="preserve"> (p. 10). </w:t>
      </w:r>
    </w:p>
    <w:p w14:paraId="748D1C71" w14:textId="7CCE58AC" w:rsidR="005D309E" w:rsidRDefault="00B27808" w:rsidP="003812D7">
      <w:r>
        <w:t xml:space="preserve">Hattie’s meta-analyses </w:t>
      </w:r>
      <w:r>
        <w:fldChar w:fldCharType="begin"/>
      </w:r>
      <w:r w:rsidR="00BB52ED">
        <w:instrText xml:space="preserve"> ADDIN ZOTERO_ITEM CSL_CITATION {"citationID":"DvC39504","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fldChar w:fldCharType="separate"/>
      </w:r>
      <w:r w:rsidR="00BB52ED" w:rsidRPr="00BB52ED">
        <w:rPr>
          <w:rFonts w:ascii="Calibri" w:hAnsi="Calibri" w:cs="Calibri"/>
        </w:rPr>
        <w:t>(2019)</w:t>
      </w:r>
      <w:r>
        <w:fldChar w:fldCharType="end"/>
      </w:r>
      <w:r w:rsidR="00BB52ED">
        <w:t xml:space="preserve"> point to several </w:t>
      </w:r>
      <w:r w:rsidR="001317A8">
        <w:t xml:space="preserve">high impact </w:t>
      </w:r>
      <w:r w:rsidR="00BB52ED">
        <w:t xml:space="preserve">strategies related to </w:t>
      </w:r>
      <w:r w:rsidR="00BE2B01">
        <w:t xml:space="preserve">explicit </w:t>
      </w:r>
      <w:r w:rsidR="00BB52ED">
        <w:t>instruction</w:t>
      </w:r>
      <w:r w:rsidR="002A6CF7">
        <w:t xml:space="preserve">. Of note is the relative high impact of </w:t>
      </w:r>
      <w:r w:rsidR="00ED6BD0">
        <w:t xml:space="preserve">literacy and comprehension </w:t>
      </w:r>
      <w:r w:rsidR="002A6CF7">
        <w:t xml:space="preserve">programs that incorporate explicit instruction, such as </w:t>
      </w:r>
      <w:r w:rsidR="00157CD3">
        <w:t>phonics instruction (</w:t>
      </w:r>
      <w:r w:rsidR="00157CD3">
        <w:rPr>
          <w:i/>
          <w:iCs/>
        </w:rPr>
        <w:t>d</w:t>
      </w:r>
      <w:r w:rsidR="00157CD3">
        <w:t>=0.6) stand</w:t>
      </w:r>
      <w:r w:rsidR="004024F9">
        <w:t>ing</w:t>
      </w:r>
      <w:r w:rsidR="00157CD3">
        <w:t xml:space="preserve"> in contrast to </w:t>
      </w:r>
      <w:r w:rsidR="00ED6BD0">
        <w:t xml:space="preserve">literacy approaches that tend towards less direct instruction, such as </w:t>
      </w:r>
      <w:r w:rsidR="00444FE0">
        <w:t>whole language (</w:t>
      </w:r>
      <w:r w:rsidR="00444FE0">
        <w:rPr>
          <w:i/>
          <w:iCs/>
        </w:rPr>
        <w:t>d</w:t>
      </w:r>
      <w:r w:rsidR="00444FE0">
        <w:t xml:space="preserve">=0.06). </w:t>
      </w:r>
      <w:r w:rsidR="005D309E">
        <w:t xml:space="preserve">Other key examples include: </w:t>
      </w:r>
    </w:p>
    <w:p w14:paraId="30824E4A" w14:textId="0EC0F85D" w:rsidR="006511EF" w:rsidRDefault="00A30A17" w:rsidP="003812D7">
      <w:pPr>
        <w:pStyle w:val="ListBullet"/>
      </w:pPr>
      <w:r>
        <w:t>c</w:t>
      </w:r>
      <w:r w:rsidR="00BF3253">
        <w:t>lear goal intentions —</w:t>
      </w:r>
      <w:r w:rsidR="006511EF">
        <w:t xml:space="preserve"> linking goal intentions to plans to overcome expected obstacles</w:t>
      </w:r>
    </w:p>
    <w:p w14:paraId="047F2E29" w14:textId="40977DC6" w:rsidR="006747E2" w:rsidRDefault="00A30A17" w:rsidP="003812D7">
      <w:pPr>
        <w:pStyle w:val="ListBullet"/>
      </w:pPr>
      <w:r>
        <w:t>c</w:t>
      </w:r>
      <w:r w:rsidR="009D0CF3">
        <w:t xml:space="preserve">omprehensive instructional approaches for teachers — </w:t>
      </w:r>
      <w:r w:rsidR="00013E67">
        <w:t xml:space="preserve">programs that are </w:t>
      </w:r>
      <w:r w:rsidR="005400FC">
        <w:t xml:space="preserve">detailed, well-designed and resource-rich for explicitly </w:t>
      </w:r>
      <w:r w:rsidR="00A27005">
        <w:t>supporting instructional approaches such as teaching complex discipline content, improving literacy and numeracy</w:t>
      </w:r>
      <w:r w:rsidR="002C75EE">
        <w:t>, or improving comprehension</w:t>
      </w:r>
    </w:p>
    <w:p w14:paraId="5E6D4A5B" w14:textId="3D1743F9" w:rsidR="005F3EC7" w:rsidRPr="00444FE0" w:rsidRDefault="00A30A17" w:rsidP="003812D7">
      <w:pPr>
        <w:pStyle w:val="ListBullet"/>
      </w:pPr>
      <w:r>
        <w:t>e</w:t>
      </w:r>
      <w:r w:rsidR="005F3EC7">
        <w:t>xplicit teaching strategies —</w:t>
      </w:r>
      <w:r w:rsidR="004311EA">
        <w:t xml:space="preserve"> employing a series of supports or scaffolds, whereby students are guided through the learning process with clear statements about the purpose and rationale for learning the new skill, clear explanations and demonstrations of the instructional target, and supported practice with feedback until independent mastery has been achieved</w:t>
      </w:r>
      <w:r w:rsidR="005F3EC7">
        <w:tab/>
      </w:r>
      <w:r w:rsidR="005F3EC7">
        <w:tab/>
      </w:r>
    </w:p>
    <w:p w14:paraId="09EF912C" w14:textId="63A1466A" w:rsidR="002C75EE" w:rsidRDefault="000E10E9" w:rsidP="003812D7">
      <w:pPr>
        <w:pStyle w:val="ListBullet"/>
      </w:pPr>
      <w:r>
        <w:t>t</w:t>
      </w:r>
      <w:r w:rsidR="00D10015">
        <w:t>eacher clarity —</w:t>
      </w:r>
      <w:r w:rsidR="00621CD6">
        <w:t xml:space="preserve"> instruction that demonstrates effective organisation, explanation, examples, and guid</w:t>
      </w:r>
      <w:r w:rsidR="007C36B6">
        <w:t xml:space="preserve">ed practice; clearly communicating the intentions of the lessons (including skills, knowledge, attitudes, and values students need to learn) and success criteria </w:t>
      </w:r>
    </w:p>
    <w:p w14:paraId="6F7C4DC3" w14:textId="7DB353C2" w:rsidR="00723152" w:rsidRDefault="000E10E9" w:rsidP="003812D7">
      <w:pPr>
        <w:pStyle w:val="ListBullet"/>
      </w:pPr>
      <w:r>
        <w:t>t</w:t>
      </w:r>
      <w:r w:rsidR="00723152">
        <w:t xml:space="preserve">eacher credibility — </w:t>
      </w:r>
      <w:r w:rsidR="00FC28BF">
        <w:t>students regarding their teacher as a credible authority based on their perceptions of competence, trustworthiness, and perceived caring</w:t>
      </w:r>
    </w:p>
    <w:p w14:paraId="4FE7709F" w14:textId="7C8B0E5F" w:rsidR="00805CC6" w:rsidRDefault="000E10E9" w:rsidP="003812D7">
      <w:pPr>
        <w:pStyle w:val="ListBullet"/>
      </w:pPr>
      <w:r>
        <w:t>l</w:t>
      </w:r>
      <w:r w:rsidR="00574AF3">
        <w:t>earning goals vs no goals —</w:t>
      </w:r>
      <w:r w:rsidR="00026EDB">
        <w:t xml:space="preserve"> having goals in place as opposed to having no goals in place. </w:t>
      </w:r>
    </w:p>
    <w:p w14:paraId="4741CB92" w14:textId="77777777" w:rsidR="001317A8" w:rsidRDefault="001317A8" w:rsidP="003812D7"/>
    <w:p w14:paraId="5B9C5523" w14:textId="177B150E" w:rsidR="00946DBE" w:rsidRDefault="00946DBE" w:rsidP="003812D7">
      <w:pPr>
        <w:pStyle w:val="Heading2"/>
      </w:pPr>
      <w:r>
        <w:t>Demonstration</w:t>
      </w:r>
    </w:p>
    <w:p w14:paraId="133AB426" w14:textId="2771DD07" w:rsidR="00E55E44" w:rsidRDefault="00D35B34" w:rsidP="003812D7">
      <w:r>
        <w:t>Demonstration</w:t>
      </w:r>
      <w:r w:rsidR="00536B43">
        <w:t xml:space="preserve"> is the process of showing something—for example, ideas, concepts, processes, </w:t>
      </w:r>
      <w:r w:rsidR="000744BA">
        <w:t xml:space="preserve">arguments, </w:t>
      </w:r>
      <w:r w:rsidR="003F49F0">
        <w:t xml:space="preserve">and </w:t>
      </w:r>
      <w:r w:rsidR="002F3547">
        <w:t>visualisations</w:t>
      </w:r>
      <w:r w:rsidR="003F49F0">
        <w:t>—through reason and/or proof</w:t>
      </w:r>
      <w:r w:rsidR="00F67F07">
        <w:t xml:space="preserve"> and</w:t>
      </w:r>
      <w:r w:rsidR="003F49F0">
        <w:t xml:space="preserve"> </w:t>
      </w:r>
      <w:r w:rsidR="00571574">
        <w:t xml:space="preserve">clarifying </w:t>
      </w:r>
      <w:r w:rsidR="00502CD5">
        <w:t>with</w:t>
      </w:r>
      <w:r w:rsidR="00571574">
        <w:t xml:space="preserve"> examples, </w:t>
      </w:r>
      <w:r w:rsidR="009756AE">
        <w:t>experiments</w:t>
      </w:r>
      <w:r w:rsidR="00E8646E">
        <w:t xml:space="preserve">, and steps. </w:t>
      </w:r>
      <w:r w:rsidR="00427DBE">
        <w:t xml:space="preserve">Although dating back to Ancient times when philosophers </w:t>
      </w:r>
      <w:r w:rsidR="000111B8">
        <w:t>conveyed ideas through definitions of key concepts</w:t>
      </w:r>
      <w:r w:rsidR="00846055">
        <w:t>, principles,</w:t>
      </w:r>
      <w:r w:rsidR="000111B8">
        <w:t xml:space="preserve"> and examples, </w:t>
      </w:r>
      <w:r w:rsidR="00C736B1">
        <w:t xml:space="preserve">modern science has embraced demonstration </w:t>
      </w:r>
      <w:r w:rsidR="00B50816">
        <w:t>to</w:t>
      </w:r>
      <w:r w:rsidR="00C830AE">
        <w:t xml:space="preserve"> develop scientific thinking, understand scientific processes, </w:t>
      </w:r>
      <w:r w:rsidR="00C168FB">
        <w:t xml:space="preserve">test phenomena, and </w:t>
      </w:r>
      <w:r w:rsidR="009B4D35">
        <w:t xml:space="preserve">generate </w:t>
      </w:r>
      <w:r w:rsidR="00C168FB">
        <w:t xml:space="preserve">new scientific knowledge. </w:t>
      </w:r>
      <w:r w:rsidR="00733758">
        <w:t>W</w:t>
      </w:r>
      <w:r w:rsidR="001101A2">
        <w:t>idely used in scientific disciplines, d</w:t>
      </w:r>
      <w:r w:rsidR="00BE790C">
        <w:t xml:space="preserve">emonstration </w:t>
      </w:r>
      <w:r w:rsidR="00922EE1">
        <w:t xml:space="preserve">can </w:t>
      </w:r>
      <w:r w:rsidR="00733758">
        <w:t xml:space="preserve">also </w:t>
      </w:r>
      <w:r w:rsidR="00AA781F">
        <w:t>be</w:t>
      </w:r>
      <w:r w:rsidR="00BE790C">
        <w:t xml:space="preserve"> </w:t>
      </w:r>
      <w:r w:rsidR="00AA781F">
        <w:t xml:space="preserve">broadly applicable to any subject area. </w:t>
      </w:r>
    </w:p>
    <w:p w14:paraId="67E37ECB" w14:textId="381700CD" w:rsidR="00946DBE" w:rsidRDefault="00B22E00" w:rsidP="003812D7">
      <w:r>
        <w:t>Arguably</w:t>
      </w:r>
      <w:r w:rsidR="00260D67">
        <w:t>,</w:t>
      </w:r>
      <w:r w:rsidR="00E55E44">
        <w:t xml:space="preserve"> the best </w:t>
      </w:r>
      <w:r w:rsidR="00937E52">
        <w:t xml:space="preserve">theoretical </w:t>
      </w:r>
      <w:r w:rsidR="00E55E44">
        <w:t>justification</w:t>
      </w:r>
      <w:r w:rsidR="00934923">
        <w:t>s</w:t>
      </w:r>
      <w:r w:rsidR="00E55E44">
        <w:t xml:space="preserve"> </w:t>
      </w:r>
      <w:r w:rsidR="00937E52">
        <w:t xml:space="preserve">for the use of educational demonstrations can be found in the work of Vygotsky </w:t>
      </w:r>
      <w:r w:rsidR="00934923">
        <w:t>and Piaget</w:t>
      </w:r>
      <w:r w:rsidR="007B0982">
        <w:t>,</w:t>
      </w:r>
      <w:r w:rsidR="00B54181">
        <w:t xml:space="preserve"> both of</w:t>
      </w:r>
      <w:r w:rsidR="007B0982">
        <w:t xml:space="preserve"> who</w:t>
      </w:r>
      <w:r w:rsidR="00B54181">
        <w:t>m</w:t>
      </w:r>
      <w:r w:rsidR="007B0982">
        <w:t xml:space="preserve"> believe that teacher intervention </w:t>
      </w:r>
      <w:r w:rsidR="006C5BFE">
        <w:t>can</w:t>
      </w:r>
      <w:r w:rsidR="00765F82">
        <w:t xml:space="preserve"> have meaningful impact when </w:t>
      </w:r>
      <w:r w:rsidR="00732669">
        <w:t xml:space="preserve">instruction </w:t>
      </w:r>
      <w:r w:rsidR="00962261">
        <w:t>is</w:t>
      </w:r>
      <w:r w:rsidR="00732669">
        <w:t xml:space="preserve"> carefully tailored to the developmental stage of the learner</w:t>
      </w:r>
      <w:r w:rsidR="00F55DA1">
        <w:t xml:space="preserve"> to help them grasp difficult concepts</w:t>
      </w:r>
      <w:r w:rsidR="007F5FED">
        <w:t xml:space="preserve">. For example, as Vygotsky </w:t>
      </w:r>
      <w:r w:rsidR="007F5FED">
        <w:fldChar w:fldCharType="begin"/>
      </w:r>
      <w:r w:rsidR="007F5FED">
        <w:instrText xml:space="preserve"> ADDIN ZOTERO_ITEM CSL_CITATION {"citationID":"0ifU29o6","properties":{"formattedCitation":"(1978)","plainCitation":"(1978)","noteIndex":0},"citationItems":[{"id":791,"uris":["http://zotero.org/users/702074/items/GAPSQG7D"],"uri":["http://zotero.org/users/702074/items/GAPSQG7D"],"itemData":{"id":791,"type":"book","event-place":"Cambridge","publisher":"Harvard University Press","publisher-place":"Cambridge","source":"Google Scholar","title":"Mind in society: The development of higher psychological processes","title-short":"Mind in society","author":[{"family":"Vygotsky","given":"L. S."}],"accessed":{"date-parts":[["2013",4,18]]},"issued":{"date-parts":[["1978"]]}},"suppress-author":true}],"schema":"https://github.com/citation-style-language/schema/raw/master/csl-citation.json"} </w:instrText>
      </w:r>
      <w:r w:rsidR="007F5FED">
        <w:fldChar w:fldCharType="separate"/>
      </w:r>
      <w:r w:rsidR="007F5FED" w:rsidRPr="007B0982">
        <w:rPr>
          <w:rFonts w:ascii="Calibri" w:hAnsi="Calibri" w:cs="Calibri"/>
        </w:rPr>
        <w:t>(1978)</w:t>
      </w:r>
      <w:r w:rsidR="007F5FED">
        <w:fldChar w:fldCharType="end"/>
      </w:r>
      <w:r w:rsidR="007F5FED">
        <w:t xml:space="preserve"> explains</w:t>
      </w:r>
      <w:r w:rsidR="000B02DF">
        <w:t>, “</w:t>
      </w:r>
      <w:r w:rsidR="00911DB6">
        <w:t>if a child is having difficulty with a problem in arithmetic and the teacher solves it on the blackboard, the child may grasp the solution in an instant. But if the teacher were to solve a problem in higher mathematics, the child would not be able to understand the solution no matter how many times she imitated it</w:t>
      </w:r>
      <w:r w:rsidR="007D4E55">
        <w:t xml:space="preserve"> (p. 88)</w:t>
      </w:r>
      <w:r w:rsidR="00911DB6">
        <w:t>.</w:t>
      </w:r>
      <w:r w:rsidR="00F55DA1">
        <w:t xml:space="preserve"> </w:t>
      </w:r>
      <w:r w:rsidR="002D15DD">
        <w:t>Both theorists</w:t>
      </w:r>
      <w:r w:rsidR="00B5060E">
        <w:t xml:space="preserve"> also </w:t>
      </w:r>
      <w:r w:rsidR="00371470">
        <w:t xml:space="preserve">promote </w:t>
      </w:r>
      <w:r w:rsidR="00B5060E">
        <w:t xml:space="preserve">demonstration </w:t>
      </w:r>
      <w:r w:rsidR="00371470">
        <w:t>as a</w:t>
      </w:r>
      <w:r w:rsidR="004C6D08">
        <w:t xml:space="preserve"> component of peer teaching</w:t>
      </w:r>
      <w:r w:rsidR="008D6C40">
        <w:t xml:space="preserve">, seeing knowledgeable peers as </w:t>
      </w:r>
      <w:r w:rsidR="00B24152">
        <w:t xml:space="preserve">potentially very effective </w:t>
      </w:r>
      <w:r w:rsidR="003F033F">
        <w:t>teachers of less able learners</w:t>
      </w:r>
      <w:r w:rsidR="00B24152">
        <w:t xml:space="preserve">. </w:t>
      </w:r>
      <w:r w:rsidR="008F7FD4">
        <w:t xml:space="preserve">For Vygotsky, </w:t>
      </w:r>
      <w:r w:rsidR="00CA2A02">
        <w:t xml:space="preserve">demonstration </w:t>
      </w:r>
      <w:r w:rsidR="006C5BFE">
        <w:t xml:space="preserve">represents </w:t>
      </w:r>
      <w:r w:rsidR="00800C8B">
        <w:t xml:space="preserve">a social trigger for the “variety of internal developmental processes </w:t>
      </w:r>
      <w:r w:rsidR="004E7322">
        <w:t xml:space="preserve">that are able to operate only when the child is interacting with people in his environment and in cooperation with his peers” </w:t>
      </w:r>
      <w:r w:rsidR="004E7322">
        <w:fldChar w:fldCharType="begin"/>
      </w:r>
      <w:r w:rsidR="009A3DB7">
        <w:instrText xml:space="preserve"> ADDIN ZOTERO_ITEM CSL_CITATION {"citationID":"GbqNItAv","properties":{"formattedCitation":"(1978, p. 90)","plainCitation":"(1978, p. 90)","noteIndex":0},"citationItems":[{"id":791,"uris":["http://zotero.org/users/702074/items/GAPSQG7D"],"uri":["http://zotero.org/users/702074/items/GAPSQG7D"],"itemData":{"id":791,"type":"book","event-place":"Cambridge","publisher":"Harvard University Press","publisher-place":"Cambridge","source":"Google Scholar","title":"Mind in society: The development of higher psychological processes","title-short":"Mind in society","author":[{"family":"Vygotsky","given":"L. S."}],"accessed":{"date-parts":[["2013",4,18]]},"issued":{"date-parts":[["1978"]]}},"locator":"90","suppress-author":true}],"schema":"https://github.com/citation-style-language/schema/raw/master/csl-citation.json"} </w:instrText>
      </w:r>
      <w:r w:rsidR="004E7322">
        <w:fldChar w:fldCharType="separate"/>
      </w:r>
      <w:r w:rsidR="009A3DB7" w:rsidRPr="009A3DB7">
        <w:rPr>
          <w:rFonts w:ascii="Calibri" w:hAnsi="Calibri" w:cs="Calibri"/>
        </w:rPr>
        <w:t>(1978, p. 90)</w:t>
      </w:r>
      <w:r w:rsidR="004E7322">
        <w:fldChar w:fldCharType="end"/>
      </w:r>
      <w:r w:rsidR="009A3DB7">
        <w:t xml:space="preserve">. </w:t>
      </w:r>
      <w:r w:rsidR="00B85257">
        <w:t>For Piaget</w:t>
      </w:r>
      <w:r w:rsidR="00F74583">
        <w:t xml:space="preserve">, </w:t>
      </w:r>
      <w:r w:rsidR="002931CB">
        <w:t xml:space="preserve">one of the </w:t>
      </w:r>
      <w:r w:rsidR="004B43DC">
        <w:t xml:space="preserve">demonstration is embodied in one of the </w:t>
      </w:r>
      <w:r w:rsidR="002931CB">
        <w:t xml:space="preserve">primary goals of </w:t>
      </w:r>
      <w:r w:rsidR="00AE7F26">
        <w:t xml:space="preserve">education </w:t>
      </w:r>
      <w:r w:rsidR="004B43DC">
        <w:t xml:space="preserve">— </w:t>
      </w:r>
      <w:r w:rsidR="005C6BF3">
        <w:t>“to create the possibilities for a child to invent and discover</w:t>
      </w:r>
      <w:r w:rsidR="00960966">
        <w:t>…</w:t>
      </w:r>
      <w:r w:rsidR="00A8354A">
        <w:t xml:space="preserve"> [not] transmitting structures which may be assimilated at nothing other than the verbal level” </w:t>
      </w:r>
      <w:r w:rsidR="00A8354A">
        <w:fldChar w:fldCharType="begin"/>
      </w:r>
      <w:r w:rsidR="00026BD5">
        <w:instrText xml:space="preserve"> ADDIN ZOTERO_ITEM CSL_CITATION {"citationID":"JYiGA91t","properties":{"formattedCitation":"(Piaget, 1973, p. 3)","plainCitation":"(Piaget, 1973, p. 3)","noteIndex":0},"citationItems":[{"id":1112,"uris":["http://zotero.org/users/702074/items/MDLLNHD3"],"uri":["http://zotero.org/users/702074/items/MDLLNHD3"],"itemData":{"id":1112,"type":"book","publisher":"HarperCollins Publishers","title":"Main trends in interdisciplinary research","volume":"5","author":[{"family":"Piaget","given":"Jean"}],"issued":{"date-parts":[["1973"]]}},"locator":"3"}],"schema":"https://github.com/citation-style-language/schema/raw/master/csl-citation.json"} </w:instrText>
      </w:r>
      <w:r w:rsidR="00A8354A">
        <w:fldChar w:fldCharType="separate"/>
      </w:r>
      <w:r w:rsidR="00026BD5" w:rsidRPr="00026BD5">
        <w:rPr>
          <w:rFonts w:ascii="Calibri" w:hAnsi="Calibri" w:cs="Calibri"/>
        </w:rPr>
        <w:t>(Piaget, 1973, p. 3)</w:t>
      </w:r>
      <w:r w:rsidR="00A8354A">
        <w:fldChar w:fldCharType="end"/>
      </w:r>
      <w:r w:rsidR="004B43DC">
        <w:t>.</w:t>
      </w:r>
    </w:p>
    <w:p w14:paraId="6D6C7CDC" w14:textId="4E4237FD" w:rsidR="00803A5C" w:rsidRDefault="004B43DC" w:rsidP="003812D7">
      <w:r>
        <w:t>For teachers</w:t>
      </w:r>
      <w:r w:rsidR="0038608A">
        <w:t xml:space="preserve">, demonstration forms an integral part of effective </w:t>
      </w:r>
      <w:r w:rsidR="00832AA7">
        <w:t xml:space="preserve">explicit </w:t>
      </w:r>
      <w:r w:rsidR="0038608A">
        <w:t>instruction</w:t>
      </w:r>
      <w:r w:rsidR="002D14FF">
        <w:t xml:space="preserve">, particularly when it is </w:t>
      </w:r>
      <w:r w:rsidR="002D2CAE">
        <w:t xml:space="preserve">linked to modelling. As Hattie </w:t>
      </w:r>
      <w:r w:rsidR="002D2CAE">
        <w:fldChar w:fldCharType="begin"/>
      </w:r>
      <w:r w:rsidR="002D2CAE">
        <w:instrText xml:space="preserve"> ADDIN ZOTERO_ITEM CSL_CITATION {"citationID":"SjUOQXCT","properties":{"formattedCitation":"(2009)","plainCitation":"(2009)","noteIndex":0},"citationItems":[{"id":974,"uris":["http://zotero.org/users/702074/items/6I2UHB94"],"uri":["http://zotero.org/users/702074/items/6I2UHB94"],"itemData":{"id":974,"type":"book","event-place":"London","publisher":"Routledge","publisher-place":"London","source":"Google Scholar","title":"Visible learning: A synthesis of over 800 meta-analyses relating to achievement","title-short":"Visible learning","author":[{"family":"Hattie","given":"John"}],"issued":{"date-parts":[["2009"]]}},"suppress-author":true}],"schema":"https://github.com/citation-style-language/schema/raw/master/csl-citation.json"} </w:instrText>
      </w:r>
      <w:r w:rsidR="002D2CAE">
        <w:fldChar w:fldCharType="separate"/>
      </w:r>
      <w:r w:rsidR="002D2CAE" w:rsidRPr="002D2CAE">
        <w:rPr>
          <w:rFonts w:ascii="Calibri" w:hAnsi="Calibri" w:cs="Calibri"/>
        </w:rPr>
        <w:t>(2009)</w:t>
      </w:r>
      <w:r w:rsidR="002D2CAE">
        <w:fldChar w:fldCharType="end"/>
      </w:r>
      <w:r w:rsidR="002D2CAE">
        <w:t xml:space="preserve"> explains</w:t>
      </w:r>
      <w:r w:rsidR="00586BDC">
        <w:t>, “</w:t>
      </w:r>
      <w:r w:rsidR="002D2CAE">
        <w:t xml:space="preserve">effective teaching occurs when the teacher decides the learning intentions and success criteria, makes them transparent to the students, </w:t>
      </w:r>
      <w:r w:rsidR="002D2CAE" w:rsidRPr="00393C2E">
        <w:rPr>
          <w:i/>
          <w:iCs/>
        </w:rPr>
        <w:t>demonstrates</w:t>
      </w:r>
      <w:r w:rsidR="002D2CAE">
        <w:t xml:space="preserve"> them by modelling, evaluates if they understand what they have been told</w:t>
      </w:r>
      <w:r w:rsidR="00586BDC">
        <w:t xml:space="preserve">… </w:t>
      </w:r>
      <w:r w:rsidR="002D2CAE">
        <w:t>tying it all together with closure</w:t>
      </w:r>
      <w:r w:rsidR="00586BDC">
        <w:t>” (p. 236</w:t>
      </w:r>
      <w:r w:rsidR="00393C2E">
        <w:t>, our emphasis</w:t>
      </w:r>
      <w:r w:rsidR="00586BDC">
        <w:t>).</w:t>
      </w:r>
      <w:r w:rsidR="00C72CF0">
        <w:t xml:space="preserve"> As a form of demonstration, modelling provides the opportunity to </w:t>
      </w:r>
      <w:r w:rsidR="00C45266">
        <w:t xml:space="preserve">show students </w:t>
      </w:r>
      <w:r w:rsidR="00383739">
        <w:t>examples of products at varying stages of completion</w:t>
      </w:r>
      <w:r w:rsidR="008558A6">
        <w:t xml:space="preserve"> and </w:t>
      </w:r>
      <w:r w:rsidR="00AC1A4F">
        <w:t xml:space="preserve">articulate the processes </w:t>
      </w:r>
      <w:r w:rsidR="00162F15">
        <w:t xml:space="preserve">that underpin these products. </w:t>
      </w:r>
      <w:r w:rsidR="00CC47CA">
        <w:t>By extension, demonstration can become a student activity</w:t>
      </w:r>
      <w:r w:rsidR="00B31C19">
        <w:t xml:space="preserve"> and </w:t>
      </w:r>
      <w:r w:rsidR="0027522D">
        <w:t xml:space="preserve">support meaningful learning when students engage in peer teaching, or when they are asked to show how they know </w:t>
      </w:r>
      <w:r w:rsidR="00E51AF2">
        <w:t xml:space="preserve">something or how they have worked through a problem. </w:t>
      </w:r>
      <w:r w:rsidR="0086249D">
        <w:t xml:space="preserve">Hattie </w:t>
      </w:r>
      <w:r w:rsidR="004B79F6">
        <w:fldChar w:fldCharType="begin"/>
      </w:r>
      <w:r w:rsidR="004B79F6">
        <w:instrText xml:space="preserve"> ADDIN ZOTERO_ITEM CSL_CITATION {"citationID":"2bihDBmj","properties":{"formattedCitation":"(2009)","plainCitation":"(2009)","noteIndex":0},"citationItems":[{"id":974,"uris":["http://zotero.org/users/702074/items/6I2UHB94"],"uri":["http://zotero.org/users/702074/items/6I2UHB94"],"itemData":{"id":974,"type":"book","event-place":"London","publisher":"Routledge","publisher-place":"London","source":"Google Scholar","title":"Visible learning: A synthesis of over 800 meta-analyses relating to achievement","title-short":"Visible learning","author":[{"family":"Hattie","given":"John"}],"issued":{"date-parts":[["2009"]]}},"suppress-author":true}],"schema":"https://github.com/citation-style-language/schema/raw/master/csl-citation.json"} </w:instrText>
      </w:r>
      <w:r w:rsidR="004B79F6">
        <w:fldChar w:fldCharType="separate"/>
      </w:r>
      <w:r w:rsidR="004B79F6" w:rsidRPr="004B79F6">
        <w:rPr>
          <w:rFonts w:ascii="Calibri" w:hAnsi="Calibri" w:cs="Calibri"/>
        </w:rPr>
        <w:t>(2009)</w:t>
      </w:r>
      <w:r w:rsidR="004B79F6">
        <w:fldChar w:fldCharType="end"/>
      </w:r>
      <w:r w:rsidR="00036C84">
        <w:t xml:space="preserve"> identifies peer teaching as a high impact</w:t>
      </w:r>
      <w:r w:rsidR="00670B2E">
        <w:t>, “powerful”</w:t>
      </w:r>
      <w:r w:rsidR="00036C84">
        <w:t xml:space="preserve"> strategy </w:t>
      </w:r>
      <w:r w:rsidR="00131BC8">
        <w:t>and notes that “the major influence is that it is an excellent method to teach students to become their own teachers</w:t>
      </w:r>
      <w:r w:rsidR="00E919F3">
        <w:t>… [and</w:t>
      </w:r>
      <w:r w:rsidR="007E3780">
        <w:t xml:space="preserve"> it] has </w:t>
      </w:r>
      <w:r w:rsidR="007E3780" w:rsidRPr="007E3780">
        <w:t>many academic and social benefits for both those tutoring and those being tutored</w:t>
      </w:r>
      <w:r w:rsidR="007E3780">
        <w:t xml:space="preserve">” (p. 186-187). </w:t>
      </w:r>
    </w:p>
    <w:p w14:paraId="1B0CB432" w14:textId="112A2488" w:rsidR="001462D6" w:rsidRDefault="00026733" w:rsidP="003812D7">
      <w:r>
        <w:t>In future,</w:t>
      </w:r>
      <w:r w:rsidR="00B23A0B">
        <w:t xml:space="preserve"> the </w:t>
      </w:r>
      <w:r w:rsidR="000A1A8B">
        <w:t xml:space="preserve">predicted </w:t>
      </w:r>
      <w:r w:rsidR="00B23A0B">
        <w:t xml:space="preserve">emphases on </w:t>
      </w:r>
      <w:r w:rsidR="000A1A8B">
        <w:t xml:space="preserve">communication, interaction, empathy, and </w:t>
      </w:r>
      <w:r w:rsidR="00003F9B">
        <w:t xml:space="preserve">other </w:t>
      </w:r>
      <w:r w:rsidR="00D75F40">
        <w:t>interpersonal skills</w:t>
      </w:r>
      <w:r w:rsidR="00003F9B">
        <w:t xml:space="preserve"> highlights the role that demonstration might play. </w:t>
      </w:r>
      <w:r w:rsidR="00312A50">
        <w:t xml:space="preserve">Foundation for Young Australians </w:t>
      </w:r>
      <w:r w:rsidR="00312A50">
        <w:fldChar w:fldCharType="begin"/>
      </w:r>
      <w:r w:rsidR="00312A50">
        <w:instrText xml:space="preserve"> ADDIN ZOTERO_ITEM CSL_CITATION {"citationID":"bXKdSzhk","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312A50">
        <w:fldChar w:fldCharType="separate"/>
      </w:r>
      <w:r w:rsidR="00312A50" w:rsidRPr="00312A50">
        <w:rPr>
          <w:rFonts w:ascii="Calibri" w:hAnsi="Calibri" w:cs="Calibri"/>
        </w:rPr>
        <w:t>(2017)</w:t>
      </w:r>
      <w:r w:rsidR="00312A50">
        <w:fldChar w:fldCharType="end"/>
      </w:r>
      <w:r w:rsidR="00312A50">
        <w:t xml:space="preserve"> believes there will be a </w:t>
      </w:r>
      <w:r w:rsidR="002B3404">
        <w:t xml:space="preserve">slight </w:t>
      </w:r>
      <w:r w:rsidR="00312A50">
        <w:t xml:space="preserve">decline in formal teaching </w:t>
      </w:r>
      <w:r w:rsidR="002B3404">
        <w:t xml:space="preserve">but considerable increases to other interpersonal </w:t>
      </w:r>
      <w:r w:rsidR="00380BFC">
        <w:t xml:space="preserve">activities such as verbal </w:t>
      </w:r>
      <w:r w:rsidR="00685BA4">
        <w:t xml:space="preserve">and written </w:t>
      </w:r>
      <w:r w:rsidR="00380BFC">
        <w:t>communication</w:t>
      </w:r>
      <w:r w:rsidR="00685BA4">
        <w:t xml:space="preserve">, collaboration, </w:t>
      </w:r>
      <w:r w:rsidR="005508C6">
        <w:t>consultation</w:t>
      </w:r>
      <w:r w:rsidR="00FC234F">
        <w:t>, and interpreting information for others.</w:t>
      </w:r>
      <w:r w:rsidR="00AD273C">
        <w:t xml:space="preserve"> </w:t>
      </w:r>
      <w:r w:rsidR="00D04A02">
        <w:t xml:space="preserve">The report </w:t>
      </w:r>
      <w:r w:rsidR="00410AEB">
        <w:t xml:space="preserve">predicts </w:t>
      </w:r>
      <w:r w:rsidR="00D04A02">
        <w:t xml:space="preserve">changes to </w:t>
      </w:r>
      <w:r w:rsidR="00C01E41">
        <w:t xml:space="preserve">roles such as medical practitioners and accountants </w:t>
      </w:r>
      <w:r w:rsidR="00410AEB">
        <w:t xml:space="preserve">that will see these roles encompass more of these interpersonal activities </w:t>
      </w:r>
      <w:r w:rsidR="00DC4C4E">
        <w:t>with much less time spent on foundational skills and administration.</w:t>
      </w:r>
      <w:r w:rsidR="004311E9">
        <w:t xml:space="preserve"> </w:t>
      </w:r>
      <w:r w:rsidR="00343365">
        <w:t xml:space="preserve">PwC </w:t>
      </w:r>
      <w:r w:rsidR="00343365">
        <w:fldChar w:fldCharType="begin"/>
      </w:r>
      <w:r w:rsidR="00700BDB">
        <w:instrText xml:space="preserve"> ADDIN ZOTERO_ITEM CSL_CITATION {"citationID":"jlGktQXZ","properties":{"formattedCitation":"(2015)","plainCitation":"(2015)","noteIndex":0},"citationItems":[{"id":969,"uris":["http://zotero.org/users/702074/items/MCDK8K6S"],"uri":["http://zotero.org/users/702074/items/MCDK8K6S"],"itemData":{"id":969,"type":"report","title":"Future-proofing Australia’s workforce by growing skills in science, technology, engineering and maths (STEM) - A smart move","URL":"https://www.pwc.com.au/pdf/a-smart-move-pwc-stem-report-april-2015.pdf","author":[{"literal":"PwC"}],"accessed":{"date-parts":[["2018",10,7]]},"issued":{"date-parts":[["2015"]]}},"suppress-author":true}],"schema":"https://github.com/citation-style-language/schema/raw/master/csl-citation.json"} </w:instrText>
      </w:r>
      <w:r w:rsidR="00343365">
        <w:fldChar w:fldCharType="separate"/>
      </w:r>
      <w:r w:rsidR="00700BDB" w:rsidRPr="00700BDB">
        <w:rPr>
          <w:rFonts w:ascii="Calibri" w:hAnsi="Calibri" w:cs="Calibri"/>
        </w:rPr>
        <w:t>(2015)</w:t>
      </w:r>
      <w:r w:rsidR="00343365">
        <w:fldChar w:fldCharType="end"/>
      </w:r>
      <w:r w:rsidR="00700BDB">
        <w:t xml:space="preserve"> similarly highlights low automation jobs as ones far more likely to involve interpersonal activities and draw on </w:t>
      </w:r>
      <w:r w:rsidR="006F1576">
        <w:t xml:space="preserve">demonstration-related skills, citing medicine, education, social welfare, advertising, public relations and information technology as fields where </w:t>
      </w:r>
      <w:r w:rsidR="00C91918">
        <w:t xml:space="preserve">these activities will be required. </w:t>
      </w:r>
      <w:r w:rsidR="000A773B">
        <w:t>As interpersonal skills continue to grow in importance, individuals across these professions will be able to draw on demonstration to mentor junior colleagues, explain difficult concepts</w:t>
      </w:r>
      <w:r w:rsidR="00B86544">
        <w:t>, and engage with industry stakeholders and the wider community.</w:t>
      </w:r>
    </w:p>
    <w:p w14:paraId="0DA6CD5A" w14:textId="4B27405C" w:rsidR="002D2CAE" w:rsidRDefault="00C70163" w:rsidP="003812D7">
      <w:r>
        <w:t xml:space="preserve">According to Hattie </w:t>
      </w:r>
      <w:r>
        <w:fldChar w:fldCharType="begin"/>
      </w:r>
      <w:r w:rsidR="00495481">
        <w:instrText xml:space="preserve"> ADDIN ZOTERO_ITEM CSL_CITATION {"citationID":"PEiHPYsz","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fldChar w:fldCharType="separate"/>
      </w:r>
      <w:r w:rsidR="00495481" w:rsidRPr="00495481">
        <w:rPr>
          <w:rFonts w:ascii="Calibri" w:hAnsi="Calibri" w:cs="Calibri"/>
        </w:rPr>
        <w:t>(2019)</w:t>
      </w:r>
      <w:r>
        <w:fldChar w:fldCharType="end"/>
      </w:r>
      <w:r w:rsidR="00495481">
        <w:t>, h</w:t>
      </w:r>
      <w:r w:rsidR="008558A6">
        <w:t xml:space="preserve">igh impact strategies associated with demonstration include: </w:t>
      </w:r>
    </w:p>
    <w:p w14:paraId="5261AE78" w14:textId="160460F6" w:rsidR="00DC5684" w:rsidRDefault="00E545A7" w:rsidP="003812D7">
      <w:pPr>
        <w:pStyle w:val="ListBullet"/>
      </w:pPr>
      <w:r>
        <w:t>r</w:t>
      </w:r>
      <w:r w:rsidR="00DC5684">
        <w:t>eciprocal teaching — enabling students to learn and use cognitive strategies such as summarising, questioning, clarifying, and predicting; each student takes a turn at being “the teacher”, leading a dialogue, and checking their understanding of content through questioning and summarising</w:t>
      </w:r>
    </w:p>
    <w:p w14:paraId="10E3F11F" w14:textId="71C46284" w:rsidR="0009165D" w:rsidRDefault="00A25058" w:rsidP="003812D7">
      <w:pPr>
        <w:pStyle w:val="ListBullet"/>
      </w:pPr>
      <w:r>
        <w:t>i</w:t>
      </w:r>
      <w:r w:rsidR="0009165D">
        <w:t xml:space="preserve">nductive teaching — </w:t>
      </w:r>
      <w:r w:rsidR="00800BF8">
        <w:t xml:space="preserve">encouraging </w:t>
      </w:r>
      <w:r w:rsidR="00A005DF">
        <w:t>students to reason from observation, or to</w:t>
      </w:r>
      <w:r w:rsidR="002241A4">
        <w:t xml:space="preserve"> </w:t>
      </w:r>
      <w:r w:rsidR="00A005DF">
        <w:t>move logically from observing, testing, and comparing to articulating broad principles</w:t>
      </w:r>
    </w:p>
    <w:p w14:paraId="2F78CE6E" w14:textId="316BCD07" w:rsidR="001A6827" w:rsidRDefault="00A25058" w:rsidP="003812D7">
      <w:pPr>
        <w:pStyle w:val="ListBullet"/>
      </w:pPr>
      <w:r>
        <w:t>c</w:t>
      </w:r>
      <w:r w:rsidR="000C31F6">
        <w:t>oncept mapping —</w:t>
      </w:r>
      <w:r w:rsidR="0091523A">
        <w:t xml:space="preserve"> </w:t>
      </w:r>
      <w:r w:rsidR="0091523A" w:rsidRPr="002241A4">
        <w:t>crea</w:t>
      </w:r>
      <w:r w:rsidR="00F77320" w:rsidRPr="002241A4">
        <w:t>ting graphic representations of course content</w:t>
      </w:r>
    </w:p>
    <w:p w14:paraId="3A835C57" w14:textId="56EFBCC5" w:rsidR="00D47C2F" w:rsidRDefault="00A25058" w:rsidP="003812D7">
      <w:pPr>
        <w:pStyle w:val="ListBullet"/>
      </w:pPr>
      <w:r>
        <w:t>t</w:t>
      </w:r>
      <w:r w:rsidR="001A6827">
        <w:t xml:space="preserve">eacher clarity — </w:t>
      </w:r>
      <w:r w:rsidR="001A47A4">
        <w:t xml:space="preserve">instruction that demonstrates effective organisation, explanation, examples, and guided practice; clearly communicating the intentions of the lessons (including skills, knowledge, attitudes, and values students need to learn) and success criteria. </w:t>
      </w:r>
    </w:p>
    <w:p w14:paraId="7258C3EF" w14:textId="77777777" w:rsidR="00DC5684" w:rsidRDefault="00DC5684" w:rsidP="003812D7"/>
    <w:p w14:paraId="2DACDC36" w14:textId="77777777" w:rsidR="00B02B0E" w:rsidRPr="00946DBE" w:rsidRDefault="00B02B0E" w:rsidP="003812D7">
      <w:pPr>
        <w:pStyle w:val="IndentedQuote"/>
      </w:pPr>
    </w:p>
    <w:p w14:paraId="168DDBCC" w14:textId="2323FF8B" w:rsidR="00797C90" w:rsidRDefault="00CC153A" w:rsidP="003812D7">
      <w:pPr>
        <w:pStyle w:val="Heading2"/>
      </w:pPr>
      <w:r>
        <w:t>Experiential</w:t>
      </w:r>
    </w:p>
    <w:p w14:paraId="07F8AA6C" w14:textId="66D145D1" w:rsidR="00D87050" w:rsidRDefault="00766096" w:rsidP="003812D7">
      <w:r>
        <w:t xml:space="preserve">Experiential </w:t>
      </w:r>
      <w:r w:rsidR="003510FE">
        <w:t>learning is the process of learning through experience</w:t>
      </w:r>
      <w:r w:rsidR="0039617A">
        <w:t xml:space="preserve">. </w:t>
      </w:r>
      <w:r w:rsidR="001E0E13">
        <w:t>Conventionally referred to as hands-on learning</w:t>
      </w:r>
      <w:r w:rsidR="00F77421">
        <w:t xml:space="preserve">—that is, learning through the experience of </w:t>
      </w:r>
      <w:r w:rsidR="00F77421" w:rsidRPr="00A64076">
        <w:rPr>
          <w:i/>
          <w:iCs/>
        </w:rPr>
        <w:t>doing something</w:t>
      </w:r>
      <w:r w:rsidR="00F77421">
        <w:t>—</w:t>
      </w:r>
      <w:r w:rsidR="00C02EBB">
        <w:t xml:space="preserve">it </w:t>
      </w:r>
      <w:r w:rsidR="00196341">
        <w:t xml:space="preserve">often </w:t>
      </w:r>
      <w:r w:rsidR="00BA4431">
        <w:t>incorporate</w:t>
      </w:r>
      <w:r w:rsidR="00196341">
        <w:t>s</w:t>
      </w:r>
      <w:r w:rsidR="00BA4431">
        <w:t xml:space="preserve"> other </w:t>
      </w:r>
      <w:r w:rsidR="00CC4200">
        <w:t xml:space="preserve">approaches such as </w:t>
      </w:r>
      <w:r w:rsidR="00F02C1F">
        <w:t xml:space="preserve">cooperative learning, inquiry, field-based learning, </w:t>
      </w:r>
      <w:r w:rsidR="002A1943">
        <w:t xml:space="preserve">and learner </w:t>
      </w:r>
      <w:r w:rsidR="00F02C1F">
        <w:t>choice</w:t>
      </w:r>
      <w:r w:rsidR="002A1943">
        <w:t xml:space="preserve">. </w:t>
      </w:r>
      <w:r w:rsidR="00D87050">
        <w:t xml:space="preserve">Ideally, experiential learning is seen as an opportunity to </w:t>
      </w:r>
      <w:r w:rsidR="00C41FA0">
        <w:t xml:space="preserve">acquire knowledge in a practical context and, as students work practically, </w:t>
      </w:r>
      <w:r w:rsidR="00757DA0">
        <w:t xml:space="preserve">to </w:t>
      </w:r>
      <w:r w:rsidR="001313BF">
        <w:t xml:space="preserve">enable </w:t>
      </w:r>
      <w:r w:rsidR="00196341">
        <w:t xml:space="preserve">their </w:t>
      </w:r>
      <w:r w:rsidR="001313BF">
        <w:t xml:space="preserve">understanding of key concepts and </w:t>
      </w:r>
      <w:r w:rsidR="006E1957">
        <w:t xml:space="preserve">development of </w:t>
      </w:r>
      <w:r w:rsidR="00794F90">
        <w:t>problem-solving</w:t>
      </w:r>
      <w:r w:rsidR="006E1957">
        <w:t xml:space="preserve"> skills. </w:t>
      </w:r>
      <w:r w:rsidR="00794F90">
        <w:t>The role of the teacher in experiential learning is often seen as the guide</w:t>
      </w:r>
      <w:r w:rsidR="008F2043">
        <w:t xml:space="preserve">, sometimes intervening at key points to explicitly instruct </w:t>
      </w:r>
      <w:r w:rsidR="00143A79">
        <w:t xml:space="preserve">students when necessary or model the use of relevant tools. </w:t>
      </w:r>
    </w:p>
    <w:p w14:paraId="370F329E" w14:textId="6DE01800" w:rsidR="00766096" w:rsidRDefault="00A56055" w:rsidP="003812D7">
      <w:r>
        <w:t>T</w:t>
      </w:r>
      <w:r w:rsidR="007A4EAC">
        <w:t xml:space="preserve">he </w:t>
      </w:r>
      <w:r w:rsidR="00BB08D6">
        <w:t xml:space="preserve">concept of learning by doing dates back to Ancient times and the work of Aristotle, </w:t>
      </w:r>
      <w:r w:rsidR="00AA3D2C">
        <w:t xml:space="preserve">who </w:t>
      </w:r>
      <w:r w:rsidR="00DE23C1">
        <w:t>wrote</w:t>
      </w:r>
      <w:r w:rsidR="00F24247">
        <w:t xml:space="preserve"> that</w:t>
      </w:r>
      <w:r w:rsidR="003D300B">
        <w:t xml:space="preserve"> “</w:t>
      </w:r>
      <w:r w:rsidR="00B04F30">
        <w:t xml:space="preserve">it is neither by nature or in defiance of nature that virtues are implanted in us… nature gives us </w:t>
      </w:r>
      <w:r w:rsidR="00A24BAB">
        <w:t xml:space="preserve">the capacity of receiving them, and that capacity is perfected by habit” </w:t>
      </w:r>
      <w:r w:rsidR="00A24BAB">
        <w:fldChar w:fldCharType="begin"/>
      </w:r>
      <w:r w:rsidR="00825A11">
        <w:instrText xml:space="preserve"> ADDIN ZOTERO_ITEM CSL_CITATION {"citationID":"ldLKmay3","properties":{"formattedCitation":"(Tucker, 2015, p. 43)","plainCitation":"(Tucker, 2015, p. 43)","noteIndex":0},"citationItems":[{"id":2246,"uris":["http://zotero.org/users/702074/items/RJC8XQG6"],"uri":["http://zotero.org/users/702074/items/RJC8XQG6"],"itemData":{"id":2246,"type":"book","abstract":"The seven deadly sins are pride, envy, anger, sloth, gluttony, greed, and lust. The seven virtues are prudence, fortitude, temperance, justice, faith, hope, and love. This book brings all of them together and for the first time lays out their history in a collection of the most important philosophical, religious, literary, and art-historical works.  Starting with the Greco-Roman and Judeo-Christian antecedents, this anthology of source documents traces the virtues-and-vices tradition through its cultural apex during the medieval era and then into their continued development and transformation from the Renaissance to the present. This anthology includes excerpts of Plato&amp;#39;s Republic, the Bible, Dante&amp;#39;s Purgatorio, and the writings of Friedrich Nietzsche and C. S. Lewis. Also included are artworks from medieval manuscripts; paintings by Giotto, Veronese, and Paul Cadmus; prints by Brueghel; and a photograph by Oscar Rejlander. What these works show is the vitality and richness of the virtues and vices in the arts from their origins to the present.  You can continue this book&amp;#39;s conversation by visiting http://www.virtuesvicesinthearts.blogspot.com/. There you can join conversations, find out more, and meet other scholars and artists interested in this vibrant tradition.","event-place":"Eugine, OR","ISBN":"978-1-62564-718-4","language":"en","note":"Google-Books-ID: eUxoBgAAQBAJ","number-of-pages":"303","publisher":"Wipf and Stock Publishers","publisher-place":"Eugine, OR","source":"Google Books","title":"The Virtues and Vices in the Arts: A Sourcebook","title-short":"The Virtues and Vices in the Arts","author":[{"family":"Tucker","given":"Shawn R."}],"issued":{"date-parts":[["2015",1,22]]}},"locator":"43"}],"schema":"https://github.com/citation-style-language/schema/raw/master/csl-citation.json"} </w:instrText>
      </w:r>
      <w:r w:rsidR="00A24BAB">
        <w:fldChar w:fldCharType="separate"/>
      </w:r>
      <w:r w:rsidR="00825A11" w:rsidRPr="00825A11">
        <w:rPr>
          <w:rFonts w:ascii="Calibri" w:hAnsi="Calibri" w:cs="Calibri"/>
        </w:rPr>
        <w:t>(Tucker, 2015, p. 43)</w:t>
      </w:r>
      <w:r w:rsidR="00A24BAB">
        <w:fldChar w:fldCharType="end"/>
      </w:r>
      <w:r w:rsidR="00825A11">
        <w:t xml:space="preserve">. </w:t>
      </w:r>
      <w:r w:rsidR="004610A2">
        <w:t xml:space="preserve">In </w:t>
      </w:r>
      <w:r w:rsidR="00217D3A">
        <w:t xml:space="preserve">modern </w:t>
      </w:r>
      <w:r w:rsidR="004610A2">
        <w:t>Western education</w:t>
      </w:r>
      <w:r>
        <w:t xml:space="preserve">, </w:t>
      </w:r>
      <w:r w:rsidR="00AF1ED3">
        <w:t xml:space="preserve">experiential learning is </w:t>
      </w:r>
      <w:r w:rsidR="00F15B74">
        <w:t xml:space="preserve">theoretically </w:t>
      </w:r>
      <w:r w:rsidR="00D33100">
        <w:t xml:space="preserve">tied to </w:t>
      </w:r>
      <w:r w:rsidR="00F15B74">
        <w:t xml:space="preserve">the work of Lewin, Piaget, and Dewey. </w:t>
      </w:r>
      <w:r w:rsidR="00553266">
        <w:t>Summarising their contribution</w:t>
      </w:r>
      <w:r w:rsidR="00263023">
        <w:t xml:space="preserve">, Kolb </w:t>
      </w:r>
      <w:r w:rsidR="00F21727">
        <w:fldChar w:fldCharType="begin"/>
      </w:r>
      <w:r w:rsidR="00B64B68">
        <w:instrText xml:space="preserve"> ADDIN ZOTERO_ITEM CSL_CITATION {"citationID":"NeHWMCP2","properties":{"formattedCitation":"(2014)","plainCitation":"(2014)","noteIndex":0},"citationItems":[{"id":2229,"uris":["http://zotero.org/users/702074/items/E7YGA6WZ"],"uri":["http://zotero.org/users/702074/items/E7YGA6WZ"],"itemData":{"id":2229,"type":"book","publisher":"FT press","source":"Google Scholar","title":"Experiential learning: Experience as the source of learning and development","title-short":"Experiential learning","author":[{"family":"Kolb","given":"David A."}],"issued":{"date-parts":[["2014"]]}},"suppress-author":true}],"schema":"https://github.com/citation-style-language/schema/raw/master/csl-citation.json"} </w:instrText>
      </w:r>
      <w:r w:rsidR="00F21727">
        <w:fldChar w:fldCharType="separate"/>
      </w:r>
      <w:r w:rsidR="00B64B68" w:rsidRPr="00B64B68">
        <w:rPr>
          <w:rFonts w:ascii="Calibri" w:hAnsi="Calibri" w:cs="Calibri"/>
        </w:rPr>
        <w:t>(2014)</w:t>
      </w:r>
      <w:r w:rsidR="00F21727">
        <w:fldChar w:fldCharType="end"/>
      </w:r>
      <w:r w:rsidR="00263023">
        <w:t xml:space="preserve"> explains: </w:t>
      </w:r>
    </w:p>
    <w:p w14:paraId="3595368D" w14:textId="69D22E28" w:rsidR="00263023" w:rsidRDefault="00263023" w:rsidP="003812D7">
      <w:pPr>
        <w:pStyle w:val="IndentedQuote"/>
      </w:pPr>
      <w:r>
        <w:t xml:space="preserve">Experiential learning theory offers a fundamentally different view of the learning process from that of the </w:t>
      </w:r>
      <w:r w:rsidR="00BE0A6A">
        <w:t>behavioural</w:t>
      </w:r>
      <w:r>
        <w:t xml:space="preserve"> theories of learning based on an empirical epistemology or the more implicit theories of learning that underlie traditional educational methods, methods that for the most part are based on a rational idealist epistemology. From this different perspective emerge some very different prescriptions for the conduct of education, the proper relationship among learning, work, and other life activities, and the creation of knowledge </w:t>
      </w:r>
      <w:r w:rsidR="00B64B68">
        <w:t>(p. 20)</w:t>
      </w:r>
    </w:p>
    <w:p w14:paraId="27262DD4" w14:textId="29B7F3CB" w:rsidR="00D7731B" w:rsidRDefault="00106B23" w:rsidP="003812D7">
      <w:r>
        <w:t xml:space="preserve">Contemporary </w:t>
      </w:r>
      <w:r w:rsidR="00D7731B">
        <w:t>experiential learning encompass</w:t>
      </w:r>
      <w:r>
        <w:t>es</w:t>
      </w:r>
      <w:r w:rsidR="00D079F7">
        <w:t xml:space="preserve"> theories from both psychology and philosophy including</w:t>
      </w:r>
      <w:r w:rsidR="00106BC7">
        <w:t>: (1)</w:t>
      </w:r>
      <w:r>
        <w:t xml:space="preserve"> Lewin’s field theory</w:t>
      </w:r>
      <w:r w:rsidR="00106BC7">
        <w:t xml:space="preserve">, </w:t>
      </w:r>
      <w:r w:rsidR="00482BBD">
        <w:t xml:space="preserve">which holds that behaviour is a function of the field that exists at the time </w:t>
      </w:r>
      <w:r w:rsidR="00106BC7">
        <w:t>behaviour</w:t>
      </w:r>
      <w:r w:rsidR="00482BBD">
        <w:t xml:space="preserve"> occurs</w:t>
      </w:r>
      <w:r w:rsidR="00106BC7">
        <w:t xml:space="preserve">; (2) </w:t>
      </w:r>
      <w:r w:rsidR="002D0F06">
        <w:t>Piaget</w:t>
      </w:r>
      <w:r w:rsidR="00855492">
        <w:t xml:space="preserve">’s </w:t>
      </w:r>
      <w:r w:rsidR="005131D8">
        <w:t xml:space="preserve">theory </w:t>
      </w:r>
      <w:r w:rsidR="00002292">
        <w:t xml:space="preserve">that learning </w:t>
      </w:r>
      <w:r w:rsidR="00002292" w:rsidRPr="00002292">
        <w:t xml:space="preserve">occurs through assimilating new experiences into existing concepts and accommodating </w:t>
      </w:r>
      <w:r w:rsidR="00061063">
        <w:t xml:space="preserve">existing concepts into new experiences; and (3) Dewey’s </w:t>
      </w:r>
      <w:r w:rsidR="005131D8">
        <w:t xml:space="preserve">pragmatist </w:t>
      </w:r>
      <w:r w:rsidR="00E856C6">
        <w:t xml:space="preserve">beliefs that human knowledge represents an adaptive </w:t>
      </w:r>
      <w:r w:rsidR="00DF44B6">
        <w:t>response to the environment</w:t>
      </w:r>
      <w:r w:rsidR="00C96845">
        <w:t xml:space="preserve"> and that learning </w:t>
      </w:r>
      <w:r w:rsidR="00C96845" w:rsidRPr="00AD3F1A">
        <w:t>“cannot take place by direct conveyance of beliefs, emotions and knowledge… it takes place through the intermediary of the environment”</w:t>
      </w:r>
      <w:r w:rsidR="00851EE2">
        <w:t xml:space="preserve"> </w:t>
      </w:r>
      <w:r w:rsidR="00851EE2">
        <w:fldChar w:fldCharType="begin"/>
      </w:r>
      <w:r w:rsidR="00851EE2">
        <w:instrText xml:space="preserve"> ADDIN ZOTERO_ITEM CSL_CITATION {"citationID":"VAdslgbc","properties":{"formattedCitation":"(1916, p. 12)","plainCitation":"(1916, p. 12)","noteIndex":0},"citationItems":[{"id":2236,"uris":["http://zotero.org/users/702074/items/I3TWWWN8"],"uri":["http://zotero.org/users/702074/items/I3TWWWN8"],"itemData":{"id":2236,"type":"book","event-place":"Chicago","publisher":"Chicago University","publisher-place":"Chicago","source":"Google Scholar","title":"Essays in experimental logic","author":[{"family":"Dewey","given":"John"}],"issued":{"date-parts":[["1916"]]}},"locator":"12","suppress-author":true}],"schema":"https://github.com/citation-style-language/schema/raw/master/csl-citation.json"} </w:instrText>
      </w:r>
      <w:r w:rsidR="00851EE2">
        <w:fldChar w:fldCharType="separate"/>
      </w:r>
      <w:r w:rsidR="00851EE2" w:rsidRPr="00851EE2">
        <w:rPr>
          <w:rFonts w:ascii="Calibri" w:hAnsi="Calibri" w:cs="Calibri"/>
        </w:rPr>
        <w:t>(1916, p. 12)</w:t>
      </w:r>
      <w:r w:rsidR="00851EE2">
        <w:fldChar w:fldCharType="end"/>
      </w:r>
      <w:r w:rsidR="00C96845" w:rsidRPr="00AD3F1A">
        <w:t>.</w:t>
      </w:r>
      <w:r w:rsidR="00BD44DA">
        <w:t xml:space="preserve"> </w:t>
      </w:r>
      <w:r w:rsidR="00032DE3">
        <w:t xml:space="preserve">These theories collectively </w:t>
      </w:r>
      <w:r w:rsidR="00395CDF">
        <w:t xml:space="preserve">represent a view of learning as being ideally agentive </w:t>
      </w:r>
      <w:r w:rsidR="009E26FF">
        <w:t>and learner-led, thus being consistent with constructivist student-centred forms of learning</w:t>
      </w:r>
      <w:r w:rsidR="00003174">
        <w:t xml:space="preserve"> and </w:t>
      </w:r>
      <w:r w:rsidR="00175664">
        <w:t xml:space="preserve">arguably </w:t>
      </w:r>
      <w:r w:rsidR="00003174">
        <w:t>compatible with a wide range of constructivist strategies and approaches.</w:t>
      </w:r>
    </w:p>
    <w:p w14:paraId="111084CC" w14:textId="3E6DB8EE" w:rsidR="000E5A6C" w:rsidRDefault="00545A29" w:rsidP="003812D7">
      <w:r>
        <w:t>In terms of future work skills, it could be argued that most forms of on-the-job learning</w:t>
      </w:r>
      <w:r w:rsidR="00557005">
        <w:t xml:space="preserve"> are likely to</w:t>
      </w:r>
      <w:r>
        <w:t xml:space="preserve"> embody experiential learning in some form. Davies</w:t>
      </w:r>
      <w:r w:rsidR="005E41A9">
        <w:t xml:space="preserve">, Fidler, and Gorbis </w:t>
      </w:r>
      <w:r w:rsidR="005E41A9">
        <w:fldChar w:fldCharType="begin"/>
      </w:r>
      <w:r w:rsidR="005E41A9">
        <w:instrText xml:space="preserve"> ADDIN ZOTERO_ITEM CSL_CITATION {"citationID":"drK0tnTO","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5E41A9">
        <w:fldChar w:fldCharType="separate"/>
      </w:r>
      <w:r w:rsidR="005E41A9" w:rsidRPr="005E41A9">
        <w:rPr>
          <w:rFonts w:ascii="Calibri" w:hAnsi="Calibri" w:cs="Calibri"/>
        </w:rPr>
        <w:t>(2011)</w:t>
      </w:r>
      <w:r w:rsidR="005E41A9">
        <w:fldChar w:fldCharType="end"/>
      </w:r>
      <w:r w:rsidR="005E41A9">
        <w:t xml:space="preserve"> refer to the concept of “situational adaptability… [which is] the ability to respond to the unique unexpected </w:t>
      </w:r>
      <w:r w:rsidR="00DF080A">
        <w:t>circumstances of the moment” (p. 9)</w:t>
      </w:r>
      <w:r w:rsidR="00557005">
        <w:t>, while</w:t>
      </w:r>
      <w:r w:rsidR="00DF080A">
        <w:t xml:space="preserve"> OECD </w:t>
      </w:r>
      <w:r w:rsidR="00DF080A">
        <w:fldChar w:fldCharType="begin"/>
      </w:r>
      <w:r w:rsidR="00E534AD">
        <w:instrText xml:space="preserve"> ADDIN ZOTERO_ITEM CSL_CITATION {"citationID":"8PrRo73s","properties":{"formattedCitation":"(2018)","plainCitation":"(2018)","noteIndex":0},"citationItems":[{"id":1108,"uris":["http://zotero.org/users/702074/items/ZP45SF8V"],"uri":["http://zotero.org/users/702074/items/ZP45SF8V"],"itemData":{"id":1108,"type":"webpage","title":"OECD Education 2030","URL":"http://www.oecd.org/education/2030/","author":[{"literal":"OECD"}],"issued":{"date-parts":[["2018"]]}},"suppress-author":true}],"schema":"https://github.com/citation-style-language/schema/raw/master/csl-citation.json"} </w:instrText>
      </w:r>
      <w:r w:rsidR="00DF080A">
        <w:fldChar w:fldCharType="separate"/>
      </w:r>
      <w:r w:rsidR="00E534AD" w:rsidRPr="00E534AD">
        <w:rPr>
          <w:rFonts w:ascii="Calibri" w:hAnsi="Calibri" w:cs="Calibri"/>
        </w:rPr>
        <w:t>(2018)</w:t>
      </w:r>
      <w:r w:rsidR="00DF080A">
        <w:fldChar w:fldCharType="end"/>
      </w:r>
      <w:r w:rsidR="002C3805">
        <w:t xml:space="preserve"> refers to </w:t>
      </w:r>
      <w:r w:rsidR="00B8258D">
        <w:t xml:space="preserve">“the learning compass” as a similar concept for showing “how young people can navigate their lives and their world” (p. 4). </w:t>
      </w:r>
      <w:r w:rsidR="00340EED">
        <w:t xml:space="preserve">Foundation for Young Australians </w:t>
      </w:r>
      <w:r w:rsidR="00340EED">
        <w:fldChar w:fldCharType="begin"/>
      </w:r>
      <w:r w:rsidR="00340EED">
        <w:instrText xml:space="preserve"> ADDIN ZOTERO_ITEM CSL_CITATION {"citationID":"28RQp6Av","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340EED">
        <w:fldChar w:fldCharType="separate"/>
      </w:r>
      <w:r w:rsidR="00340EED" w:rsidRPr="00340EED">
        <w:rPr>
          <w:rFonts w:ascii="Calibri" w:hAnsi="Calibri" w:cs="Calibri"/>
        </w:rPr>
        <w:t>(2017)</w:t>
      </w:r>
      <w:r w:rsidR="00340EED">
        <w:fldChar w:fldCharType="end"/>
      </w:r>
      <w:r w:rsidR="00340EED">
        <w:t xml:space="preserve"> points to </w:t>
      </w:r>
      <w:r w:rsidR="00901FF7">
        <w:t>likely increases in experiential learning on the job</w:t>
      </w:r>
      <w:r w:rsidR="00372C80">
        <w:t xml:space="preserve"> with implications </w:t>
      </w:r>
      <w:r w:rsidR="00E16543">
        <w:t>for how individuals will need to respond and adapt to their environment:</w:t>
      </w:r>
    </w:p>
    <w:p w14:paraId="125C5962" w14:textId="13EEEFDD" w:rsidR="00E16543" w:rsidRDefault="00E16543" w:rsidP="003812D7">
      <w:pPr>
        <w:pStyle w:val="IndentedQuote"/>
      </w:pPr>
      <w:r>
        <w:t xml:space="preserve">Today’s young people will need to spend more hours learning on the job than ever before. In fact, Australian workers will spend one-third of their hours at work learning, a 30 per cent increase from today. Continuous learning will be part of our everyday engagement in work. Learning on the job will require us all to constantly respond to new information and new technology when making decisions (p. 14). </w:t>
      </w:r>
    </w:p>
    <w:p w14:paraId="239BABE7" w14:textId="082BA17D" w:rsidR="00C96845" w:rsidRDefault="00003174" w:rsidP="003812D7">
      <w:r>
        <w:t xml:space="preserve">Hattie’s meta-analyses </w:t>
      </w:r>
      <w:r>
        <w:fldChar w:fldCharType="begin"/>
      </w:r>
      <w:r w:rsidR="00B53FA7">
        <w:instrText xml:space="preserve"> ADDIN ZOTERO_ITEM CSL_CITATION {"citationID":"LQXH2JMs","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fldChar w:fldCharType="separate"/>
      </w:r>
      <w:r w:rsidR="00B53FA7" w:rsidRPr="00B53FA7">
        <w:rPr>
          <w:rFonts w:ascii="Calibri" w:hAnsi="Calibri" w:cs="Calibri"/>
        </w:rPr>
        <w:t>(2019)</w:t>
      </w:r>
      <w:r>
        <w:fldChar w:fldCharType="end"/>
      </w:r>
      <w:r w:rsidR="00B53FA7">
        <w:t xml:space="preserve"> </w:t>
      </w:r>
      <w:r w:rsidR="00B3519D">
        <w:t xml:space="preserve">suggest several high impact strategies </w:t>
      </w:r>
      <w:r w:rsidR="00BC53E1">
        <w:t xml:space="preserve">that can be linked to experiential learning, including: </w:t>
      </w:r>
    </w:p>
    <w:p w14:paraId="2F584F5E" w14:textId="4BFCD446" w:rsidR="00322F55" w:rsidRDefault="00A25058" w:rsidP="003812D7">
      <w:pPr>
        <w:pStyle w:val="ListBullet"/>
      </w:pPr>
      <w:r>
        <w:t>i</w:t>
      </w:r>
      <w:r w:rsidR="00BC53E1">
        <w:t xml:space="preserve">nquiry-based teaching — </w:t>
      </w:r>
      <w:r w:rsidR="00322F55">
        <w:t>students generating questions and seeking to develop</w:t>
      </w:r>
    </w:p>
    <w:p w14:paraId="0CDEFA80" w14:textId="390136E0" w:rsidR="00BC53E1" w:rsidRDefault="00322F55" w:rsidP="003812D7">
      <w:pPr>
        <w:pStyle w:val="ListBullet"/>
      </w:pPr>
      <w:r>
        <w:t>answers through the accumulation of evidence, asking questions or problems</w:t>
      </w:r>
      <w:r w:rsidR="004D024D">
        <w:t>;</w:t>
      </w:r>
      <w:r>
        <w:t xml:space="preserve"> small</w:t>
      </w:r>
      <w:r w:rsidR="00E67DC5">
        <w:t>-</w:t>
      </w:r>
      <w:r>
        <w:t>scale investigations, or projects</w:t>
      </w:r>
    </w:p>
    <w:p w14:paraId="57D8E3AB" w14:textId="7EA3107B" w:rsidR="005B2DE5" w:rsidRDefault="00A25058" w:rsidP="003812D7">
      <w:pPr>
        <w:pStyle w:val="ListBullet"/>
      </w:pPr>
      <w:r>
        <w:t>t</w:t>
      </w:r>
      <w:r w:rsidR="005B2DE5">
        <w:t>ransfer strategies —</w:t>
      </w:r>
      <w:r w:rsidR="00140BC6">
        <w:t xml:space="preserve"> students being able to make a spontaneous, unprompted, and appropriate transfer of a learning or problem-solving strategy from one context to another</w:t>
      </w:r>
    </w:p>
    <w:p w14:paraId="7623AB63" w14:textId="0F7D6BFD" w:rsidR="00DD58C3" w:rsidRDefault="00A25058" w:rsidP="003812D7">
      <w:pPr>
        <w:pStyle w:val="ListBullet"/>
      </w:pPr>
      <w:r>
        <w:t>t</w:t>
      </w:r>
      <w:r w:rsidR="00DD58C3">
        <w:t xml:space="preserve">actile stimulation programs — </w:t>
      </w:r>
      <w:r w:rsidR="00316714">
        <w:t>providing students with tactile stimulation and environment manipulation aimed to increase focus and time-on-task and attention</w:t>
      </w:r>
    </w:p>
    <w:p w14:paraId="3A261C7C" w14:textId="50BC281B" w:rsidR="006D452B" w:rsidRDefault="00A25058" w:rsidP="003812D7">
      <w:pPr>
        <w:pStyle w:val="ListBullet"/>
      </w:pPr>
      <w:r>
        <w:t>p</w:t>
      </w:r>
      <w:r w:rsidR="006D452B">
        <w:t>ositive self-concept</w:t>
      </w:r>
      <w:r w:rsidR="00316714">
        <w:t xml:space="preserve"> — </w:t>
      </w:r>
      <w:r w:rsidR="002E770A">
        <w:t>fostering a sense of confidence and the development of a positive sense of self through cognitive appraisals, acceptance of feedback, benchmarking to difficult goals, and comparison to subject criteria (and not other students)</w:t>
      </w:r>
    </w:p>
    <w:p w14:paraId="3C548F1C" w14:textId="1AD6AEEB" w:rsidR="006D452B" w:rsidRDefault="00A25058" w:rsidP="003812D7">
      <w:pPr>
        <w:pStyle w:val="ListBullet"/>
      </w:pPr>
      <w:r>
        <w:t>s</w:t>
      </w:r>
      <w:r w:rsidR="008D1AD7">
        <w:t>elf-efficacy</w:t>
      </w:r>
      <w:r w:rsidR="00EF0B41">
        <w:t xml:space="preserve"> — developing students’ confidence and positive self-perceptions through regular feedback and/or reflection.</w:t>
      </w:r>
    </w:p>
    <w:p w14:paraId="7D0826FB" w14:textId="3CCC7594" w:rsidR="000A04D9" w:rsidRDefault="000A04D9" w:rsidP="003812D7"/>
    <w:p w14:paraId="47077F70" w14:textId="32ED1EC6" w:rsidR="00CC153A" w:rsidRDefault="004E6888" w:rsidP="003812D7">
      <w:pPr>
        <w:pStyle w:val="Heading2"/>
      </w:pPr>
      <w:r>
        <w:t>Independent</w:t>
      </w:r>
    </w:p>
    <w:p w14:paraId="181AFA69" w14:textId="3C642AA2" w:rsidR="003934D1" w:rsidRPr="003812D7" w:rsidRDefault="00B52E4B" w:rsidP="003812D7">
      <w:r w:rsidRPr="003812D7">
        <w:t xml:space="preserve">Often referred to as autonomous learning, independent learning </w:t>
      </w:r>
      <w:r w:rsidR="00C177D7" w:rsidRPr="003812D7">
        <w:t xml:space="preserve">is </w:t>
      </w:r>
      <w:r w:rsidR="003934D1" w:rsidRPr="003812D7">
        <w:t xml:space="preserve">viewed </w:t>
      </w:r>
      <w:r w:rsidR="00C177D7" w:rsidRPr="003812D7">
        <w:t>a</w:t>
      </w:r>
      <w:r w:rsidR="00CC1AFE" w:rsidRPr="003812D7">
        <w:t>s both a</w:t>
      </w:r>
      <w:r w:rsidR="00C177D7" w:rsidRPr="003812D7">
        <w:t xml:space="preserve"> </w:t>
      </w:r>
      <w:r w:rsidR="00042E38" w:rsidRPr="003812D7">
        <w:t>means and ends in education</w:t>
      </w:r>
      <w:r w:rsidR="00CE7C1B" w:rsidRPr="003812D7">
        <w:t>.</w:t>
      </w:r>
      <w:r w:rsidR="00F364FF" w:rsidRPr="003812D7">
        <w:t xml:space="preserve"> Students who are capable independent learners are often seen as those with </w:t>
      </w:r>
      <w:r w:rsidR="00E57789" w:rsidRPr="003812D7">
        <w:t>effective self-regulation skills</w:t>
      </w:r>
      <w:r w:rsidR="00F742F0" w:rsidRPr="003812D7">
        <w:t xml:space="preserve">, being able to self-organise, manage their time, solve problems independently, and make complex decisions about their learning. </w:t>
      </w:r>
      <w:r w:rsidR="00A954AB" w:rsidRPr="003812D7">
        <w:t>Independent learning is sometimes conceptualised as individual, student-led learning</w:t>
      </w:r>
      <w:r w:rsidR="00110FF4" w:rsidRPr="003812D7">
        <w:t xml:space="preserve"> — that is, in opposition to other forms of learning such as groupwork, </w:t>
      </w:r>
      <w:r w:rsidR="00CA12B1" w:rsidRPr="003812D7">
        <w:t xml:space="preserve">explicit instruction, or class discussion. </w:t>
      </w:r>
      <w:r w:rsidR="001323D9" w:rsidRPr="003812D7">
        <w:t xml:space="preserve">However, </w:t>
      </w:r>
      <w:r w:rsidR="00FF0206" w:rsidRPr="003812D7">
        <w:t xml:space="preserve">independent learning is </w:t>
      </w:r>
      <w:r w:rsidR="00A95FA7" w:rsidRPr="003812D7">
        <w:t xml:space="preserve">frequently </w:t>
      </w:r>
      <w:r w:rsidR="00FF0206" w:rsidRPr="003812D7">
        <w:t xml:space="preserve">closely related to </w:t>
      </w:r>
      <w:r w:rsidR="00A95FA7" w:rsidRPr="003812D7">
        <w:t xml:space="preserve">these </w:t>
      </w:r>
      <w:r w:rsidR="00FF0206" w:rsidRPr="003812D7">
        <w:t>other forms</w:t>
      </w:r>
      <w:r w:rsidR="00F01589" w:rsidRPr="003812D7">
        <w:t xml:space="preserve"> and sometimes even dependent on them</w:t>
      </w:r>
      <w:r w:rsidR="00FF0206" w:rsidRPr="003812D7">
        <w:t xml:space="preserve"> — for example, when students are required to solve a problem independently following a teacher’s </w:t>
      </w:r>
      <w:r w:rsidR="004F4C3C" w:rsidRPr="003812D7">
        <w:t>explicit instruction</w:t>
      </w:r>
      <w:r w:rsidR="00FF0206" w:rsidRPr="003812D7">
        <w:t xml:space="preserve">. </w:t>
      </w:r>
      <w:r w:rsidR="002C0B7E" w:rsidRPr="003812D7">
        <w:t xml:space="preserve">Beyond formal education, independent learning is </w:t>
      </w:r>
      <w:r w:rsidR="006C6E79" w:rsidRPr="003812D7">
        <w:t xml:space="preserve">sometimes </w:t>
      </w:r>
      <w:r w:rsidR="002C0B7E" w:rsidRPr="003812D7">
        <w:t>viewed synonymously as lifelong learning</w:t>
      </w:r>
      <w:r w:rsidR="006C6E79" w:rsidRPr="003812D7">
        <w:t xml:space="preserve">, encompassing principles of adult learning </w:t>
      </w:r>
      <w:r w:rsidR="0068344B" w:rsidRPr="003812D7">
        <w:t xml:space="preserve">such as </w:t>
      </w:r>
      <w:r w:rsidR="0080174D" w:rsidRPr="003812D7">
        <w:t xml:space="preserve">self-direction, </w:t>
      </w:r>
      <w:r w:rsidR="0079429F" w:rsidRPr="003812D7">
        <w:t xml:space="preserve">voluntary engagement, </w:t>
      </w:r>
      <w:r w:rsidR="000A2F81" w:rsidRPr="003812D7">
        <w:t xml:space="preserve">making </w:t>
      </w:r>
      <w:r w:rsidR="00B463E5" w:rsidRPr="003812D7">
        <w:t xml:space="preserve">sense of past and present experience, </w:t>
      </w:r>
      <w:r w:rsidR="00980F59" w:rsidRPr="003812D7">
        <w:t xml:space="preserve">and </w:t>
      </w:r>
      <w:r w:rsidR="00EE6998" w:rsidRPr="003812D7">
        <w:t>reflective</w:t>
      </w:r>
      <w:r w:rsidR="00980F59" w:rsidRPr="003812D7">
        <w:t xml:space="preserve"> </w:t>
      </w:r>
      <w:r w:rsidR="00EE6998" w:rsidRPr="003812D7">
        <w:t>practice</w:t>
      </w:r>
      <w:r w:rsidR="00980F59" w:rsidRPr="003812D7">
        <w:t xml:space="preserve">. </w:t>
      </w:r>
    </w:p>
    <w:p w14:paraId="487ACE8C" w14:textId="77777777" w:rsidR="00964467" w:rsidRDefault="0091571D" w:rsidP="003812D7">
      <w:r>
        <w:t xml:space="preserve">The theoretical roots of independent learning in Western education can be linked to constructivists </w:t>
      </w:r>
      <w:r w:rsidR="00A830D3">
        <w:t xml:space="preserve">such as </w:t>
      </w:r>
      <w:r w:rsidR="001A2225">
        <w:t xml:space="preserve">Dewey, </w:t>
      </w:r>
      <w:r w:rsidR="00A830D3">
        <w:t>Piaget, Vygotsky, Montessori</w:t>
      </w:r>
      <w:r w:rsidR="009E4887">
        <w:t xml:space="preserve">, and </w:t>
      </w:r>
      <w:r w:rsidR="003E2085" w:rsidRPr="00234268">
        <w:t>Fröbel</w:t>
      </w:r>
      <w:r w:rsidR="001A2225">
        <w:t xml:space="preserve">. These thinkers </w:t>
      </w:r>
      <w:r w:rsidR="00E61019">
        <w:t>advanced student-centred learning as an educational ideal</w:t>
      </w:r>
      <w:r w:rsidR="005F553E">
        <w:t xml:space="preserve"> and</w:t>
      </w:r>
      <w:r w:rsidR="00E61019">
        <w:t xml:space="preserve"> </w:t>
      </w:r>
      <w:r w:rsidR="00F13CB5">
        <w:t xml:space="preserve">placed </w:t>
      </w:r>
      <w:r w:rsidR="00590832">
        <w:t xml:space="preserve">some </w:t>
      </w:r>
      <w:r w:rsidR="00F13CB5">
        <w:t>onus on the teacher as the agent facilitating independence through</w:t>
      </w:r>
      <w:r w:rsidR="005F553E">
        <w:t xml:space="preserve"> </w:t>
      </w:r>
      <w:r w:rsidR="00FA41FD">
        <w:t xml:space="preserve">instruction. Vygotsky </w:t>
      </w:r>
      <w:r w:rsidR="00FA41FD">
        <w:fldChar w:fldCharType="begin"/>
      </w:r>
      <w:r w:rsidR="00FB0D86">
        <w:instrText xml:space="preserve"> ADDIN ZOTERO_ITEM CSL_CITATION {"citationID":"RBqCKDxg","properties":{"formattedCitation":"(1978)","plainCitation":"(1978)","noteIndex":0},"citationItems":[{"id":791,"uris":["http://zotero.org/users/702074/items/GAPSQG7D"],"uri":["http://zotero.org/users/702074/items/GAPSQG7D"],"itemData":{"id":791,"type":"book","event-place":"Cambridge","publisher":"Harvard University Press","publisher-place":"Cambridge","source":"Google Scholar","title":"Mind in society: The development of higher psychological processes","title-short":"Mind in society","author":[{"family":"Vygotsky","given":"L. S."}],"accessed":{"date-parts":[["2013",4,18]]},"issued":{"date-parts":[["1978"]]}},"suppress-author":true}],"schema":"https://github.com/citation-style-language/schema/raw/master/csl-citation.json"} </w:instrText>
      </w:r>
      <w:r w:rsidR="00FA41FD">
        <w:fldChar w:fldCharType="separate"/>
      </w:r>
      <w:r w:rsidR="00FB0D86" w:rsidRPr="00FB0D86">
        <w:rPr>
          <w:rFonts w:ascii="Calibri" w:hAnsi="Calibri" w:cs="Calibri"/>
        </w:rPr>
        <w:t>(1978)</w:t>
      </w:r>
      <w:r w:rsidR="00FA41FD">
        <w:fldChar w:fldCharType="end"/>
      </w:r>
      <w:r w:rsidR="009979C1">
        <w:t xml:space="preserve"> ar</w:t>
      </w:r>
      <w:r w:rsidR="00784EE8">
        <w:t>gu</w:t>
      </w:r>
      <w:r w:rsidR="009979C1">
        <w:t>ed</w:t>
      </w:r>
      <w:r w:rsidR="00784EE8">
        <w:t xml:space="preserve"> that collaboration between the learner and more knowledgeable peers </w:t>
      </w:r>
      <w:r w:rsidR="00E5337D">
        <w:t xml:space="preserve">and/or the teacher </w:t>
      </w:r>
      <w:r w:rsidR="00924895">
        <w:t>was</w:t>
      </w:r>
      <w:r w:rsidR="009979C1">
        <w:t xml:space="preserve"> the basis of developing learner autonomy, while Dewey</w:t>
      </w:r>
      <w:r w:rsidR="00C81F65">
        <w:t>’s</w:t>
      </w:r>
      <w:r w:rsidR="009979C1">
        <w:t xml:space="preserve"> </w:t>
      </w:r>
      <w:r w:rsidR="009979C1">
        <w:fldChar w:fldCharType="begin"/>
      </w:r>
      <w:r w:rsidR="00C81F65">
        <w:instrText xml:space="preserve"> ADDIN ZOTERO_ITEM CSL_CITATION {"citationID":"5C0I8hmL","properties":{"formattedCitation":"(1938b)","plainCitation":"(1938b)","noteIndex":0},"citationItems":[{"id":423,"uris":["http://zotero.org/users/702074/items/KFED9SNF"],"uri":["http://zotero.org/users/702074/items/KFED9SNF"],"itemData":{"id":423,"type":"article-journal","container-title":"New York: Holt, Rinehart &amp; Wiston","source":"Google Scholar","title":"The theory of inquiry","author":[{"family":"Dewey","given":"John"}],"accessed":{"date-parts":[["2013",11,24]]},"issued":{"date-parts":[["1938"]]}},"suppress-author":true}],"schema":"https://github.com/citation-style-language/schema/raw/master/csl-citation.json"} </w:instrText>
      </w:r>
      <w:r w:rsidR="009979C1">
        <w:fldChar w:fldCharType="separate"/>
      </w:r>
      <w:r w:rsidR="00C81F65" w:rsidRPr="00C81F65">
        <w:rPr>
          <w:rFonts w:ascii="Calibri" w:hAnsi="Calibri" w:cs="Calibri"/>
        </w:rPr>
        <w:t>(1938b)</w:t>
      </w:r>
      <w:r w:rsidR="009979C1">
        <w:fldChar w:fldCharType="end"/>
      </w:r>
      <w:r w:rsidR="00924895">
        <w:t xml:space="preserve"> </w:t>
      </w:r>
      <w:r w:rsidR="00C81F65">
        <w:t xml:space="preserve">theories of inquiry </w:t>
      </w:r>
      <w:r w:rsidR="001A5F97">
        <w:t xml:space="preserve">present </w:t>
      </w:r>
      <w:r w:rsidR="00E34328">
        <w:t>open</w:t>
      </w:r>
      <w:r w:rsidR="00C81F65">
        <w:t xml:space="preserve">-ended, free inquiry as </w:t>
      </w:r>
      <w:r w:rsidR="00E34328">
        <w:t>the ideal form of learning</w:t>
      </w:r>
      <w:r w:rsidR="00E5337D">
        <w:t xml:space="preserve">. </w:t>
      </w:r>
      <w:r w:rsidR="004634BF">
        <w:t xml:space="preserve">More recently, </w:t>
      </w:r>
      <w:r w:rsidR="00477025">
        <w:t xml:space="preserve">Glasser’s </w:t>
      </w:r>
      <w:r w:rsidR="00D01AA8">
        <w:fldChar w:fldCharType="begin"/>
      </w:r>
      <w:r w:rsidR="00D01AA8">
        <w:instrText xml:space="preserve"> ADDIN ZOTERO_ITEM CSL_CITATION {"citationID":"I1XmroPi","properties":{"formattedCitation":"(1992)","plainCitation":"(1992)","noteIndex":0},"citationItems":[{"id":2248,"uris":["http://zotero.org/users/702074/items/3G5YD8UB"],"uri":["http://zotero.org/users/702074/items/3G5YD8UB"],"itemData":{"id":2248,"type":"article-journal","container-title":"The Phi Delta Kappan","issue":"9","note":"publisher: JSTOR","page":"690–694","source":"Google Scholar","title":"The quality school curriculum","volume":"73","author":[{"family":"Glasser","given":"William"}],"issued":{"date-parts":[["1992"]]}},"suppress-author":true}],"schema":"https://github.com/citation-style-language/schema/raw/master/csl-citation.json"} </w:instrText>
      </w:r>
      <w:r w:rsidR="00D01AA8">
        <w:fldChar w:fldCharType="separate"/>
      </w:r>
      <w:r w:rsidR="00D01AA8" w:rsidRPr="00D01AA8">
        <w:rPr>
          <w:rFonts w:ascii="Calibri" w:hAnsi="Calibri" w:cs="Calibri"/>
        </w:rPr>
        <w:t>(1992)</w:t>
      </w:r>
      <w:r w:rsidR="00D01AA8">
        <w:fldChar w:fldCharType="end"/>
      </w:r>
      <w:r w:rsidR="00D01AA8">
        <w:t xml:space="preserve"> theories of choice and quality curriculum have been </w:t>
      </w:r>
      <w:r w:rsidR="00C91FC7">
        <w:t xml:space="preserve">readily invoked in both high-performing and underperforming educational contexts to </w:t>
      </w:r>
      <w:r w:rsidR="007400BF">
        <w:t xml:space="preserve">examine psychological reasons behind high and/or low levels of independent learning. </w:t>
      </w:r>
      <w:r w:rsidR="007A63BE">
        <w:t xml:space="preserve">The author argues against a coercive </w:t>
      </w:r>
      <w:r w:rsidR="003631DC">
        <w:t>curriculum, advocat</w:t>
      </w:r>
      <w:r w:rsidR="00B9020F">
        <w:t>es</w:t>
      </w:r>
      <w:r w:rsidR="003631DC">
        <w:t xml:space="preserve"> provision</w:t>
      </w:r>
      <w:r w:rsidR="00B9020F">
        <w:t xml:space="preserve"> of</w:t>
      </w:r>
      <w:r w:rsidR="003631DC">
        <w:t xml:space="preserve"> as much choice as possible</w:t>
      </w:r>
      <w:r w:rsidR="00B9020F">
        <w:t xml:space="preserve">, and </w:t>
      </w:r>
      <w:r w:rsidR="004B6D06">
        <w:t xml:space="preserve">underscores the need for </w:t>
      </w:r>
      <w:r w:rsidR="00D33736">
        <w:t xml:space="preserve">curriculum content to be </w:t>
      </w:r>
      <w:r w:rsidR="004D4C00">
        <w:t>meaningful and useful in real life</w:t>
      </w:r>
      <w:r w:rsidR="00964467">
        <w:t>:</w:t>
      </w:r>
    </w:p>
    <w:p w14:paraId="0ECC733C" w14:textId="27C4E356" w:rsidR="003934D1" w:rsidRDefault="00964467" w:rsidP="003812D7">
      <w:pPr>
        <w:pStyle w:val="IndentedQuote"/>
      </w:pPr>
      <w:r>
        <w:t xml:space="preserve">We must face the fact that a majority of students, even good ones, believe that much of the present academic curriculum is not worth the effort it takes to learn it. No matter how well the teachers manage them, if students do not find quality in what they are asked to do in their classes, they will not work hard enough to learn the material. The answer is not to try to make them work harder; the answer is to increase the quality of what we ask them to learn (p. 691). </w:t>
      </w:r>
    </w:p>
    <w:p w14:paraId="65D374FA" w14:textId="06D1D6FD" w:rsidR="00705273" w:rsidRDefault="00A8267B" w:rsidP="003812D7">
      <w:r>
        <w:t xml:space="preserve">There is compelling evidence to suggest that independent learning will be </w:t>
      </w:r>
      <w:r w:rsidR="006E077C">
        <w:t xml:space="preserve">an essential quality in the future workforce, and principles of learner autonomy, agency, </w:t>
      </w:r>
      <w:r w:rsidR="005F1CD3">
        <w:t xml:space="preserve">and efficacy are embodied in recent analyses. </w:t>
      </w:r>
      <w:r w:rsidR="006C2435">
        <w:t xml:space="preserve">Foundation for Young Australians </w:t>
      </w:r>
      <w:r w:rsidR="006C2435">
        <w:fldChar w:fldCharType="begin"/>
      </w:r>
      <w:r w:rsidR="006C2435">
        <w:instrText xml:space="preserve"> ADDIN ZOTERO_ITEM CSL_CITATION {"citationID":"A25D4lXG","properties":{"formattedCitation":"(2017)","plainCitation":"(2017)","noteIndex":0},"citationItems":[{"id":24,"uris":["http://zotero.org/users/702074/items/F58IFGVM"],"uri":["http://zotero.org/users/702074/items/F58IFGVM"],"itemData":{"id":24,"type":"report","event-place":"Melbourne","publisher":"Foundation for Young Australians (FYA)","publisher-place":"Melbourne","title":"THE NEW WORK SMARTS: Thriving in the New Work Order","URL":"https://www.fya.org.au/wp-content/uploads/2017/07/FYA_TheNewWorkSmarts_July2017.pdf","author":[{"literal":"Foundation for Young Australians"}],"issued":{"date-parts":[["2017"]]}},"suppress-author":true}],"schema":"https://github.com/citation-style-language/schema/raw/master/csl-citation.json"} </w:instrText>
      </w:r>
      <w:r w:rsidR="006C2435">
        <w:fldChar w:fldCharType="separate"/>
      </w:r>
      <w:r w:rsidR="006C2435" w:rsidRPr="006C2435">
        <w:rPr>
          <w:rFonts w:ascii="Calibri" w:hAnsi="Calibri" w:cs="Calibri"/>
        </w:rPr>
        <w:t>(2017)</w:t>
      </w:r>
      <w:r w:rsidR="006C2435">
        <w:fldChar w:fldCharType="end"/>
      </w:r>
      <w:r w:rsidR="006C2435">
        <w:t xml:space="preserve"> regards </w:t>
      </w:r>
      <w:r w:rsidR="00455188">
        <w:t xml:space="preserve">independence as a necessary way to work in light of </w:t>
      </w:r>
      <w:r w:rsidR="0054371D">
        <w:t xml:space="preserve">predicted </w:t>
      </w:r>
      <w:r w:rsidR="00455188">
        <w:t xml:space="preserve">decreases to </w:t>
      </w:r>
      <w:r w:rsidR="00AE1027">
        <w:t>hours of management, organisational coordination, and teaching</w:t>
      </w:r>
      <w:r w:rsidR="00325259">
        <w:t xml:space="preserve">. </w:t>
      </w:r>
      <w:r w:rsidR="00846CEE">
        <w:t>Pointing out that many more people will work externally, t</w:t>
      </w:r>
      <w:r w:rsidR="00325259">
        <w:t xml:space="preserve">he authors </w:t>
      </w:r>
      <w:r w:rsidR="00FD1A50">
        <w:t xml:space="preserve">believe </w:t>
      </w:r>
      <w:r w:rsidR="00325259">
        <w:t>that “t</w:t>
      </w:r>
      <w:r w:rsidR="008C120F">
        <w:t>he future workforce will need to be more autonomous and self</w:t>
      </w:r>
      <w:r w:rsidR="00846CEE">
        <w:t>-</w:t>
      </w:r>
      <w:r w:rsidR="008C120F">
        <w:t>directed</w:t>
      </w:r>
      <w:r w:rsidR="00867A82">
        <w:t xml:space="preserve">… [and] </w:t>
      </w:r>
      <w:r w:rsidR="008C120F">
        <w:t>will need to manage their own time more, make more decisions about priority and importance of tasks and be more personally motivated and driven</w:t>
      </w:r>
      <w:r w:rsidR="00DE698E">
        <w:t xml:space="preserve">” (p. 18). </w:t>
      </w:r>
      <w:r w:rsidR="0048107B">
        <w:t xml:space="preserve">OECD </w:t>
      </w:r>
      <w:r w:rsidR="00E77E7A">
        <w:fldChar w:fldCharType="begin"/>
      </w:r>
      <w:r w:rsidR="00E77E7A">
        <w:instrText xml:space="preserve"> ADDIN ZOTERO_ITEM CSL_CITATION {"citationID":"4vgfHaC6","properties":{"formattedCitation":"(2018)","plainCitation":"(2018)","noteIndex":0},"citationItems":[{"id":1108,"uris":["http://zotero.org/users/702074/items/ZP45SF8V"],"uri":["http://zotero.org/users/702074/items/ZP45SF8V"],"itemData":{"id":1108,"type":"webpage","title":"OECD Education 2030","URL":"http://www.oecd.org/education/2030/","author":[{"literal":"OECD"}],"issued":{"date-parts":[["2018"]]}},"suppress-author":true}],"schema":"https://github.com/citation-style-language/schema/raw/master/csl-citation.json"} </w:instrText>
      </w:r>
      <w:r w:rsidR="00E77E7A">
        <w:fldChar w:fldCharType="separate"/>
      </w:r>
      <w:r w:rsidR="00E77E7A" w:rsidRPr="00E77E7A">
        <w:rPr>
          <w:rFonts w:ascii="Calibri" w:hAnsi="Calibri" w:cs="Calibri"/>
        </w:rPr>
        <w:t>(2018)</w:t>
      </w:r>
      <w:r w:rsidR="00E77E7A">
        <w:fldChar w:fldCharType="end"/>
      </w:r>
      <w:r w:rsidR="00E77E7A">
        <w:t xml:space="preserve"> similarly views agency as </w:t>
      </w:r>
      <w:r w:rsidR="00A26302">
        <w:t>fundamental</w:t>
      </w:r>
      <w:r w:rsidR="0000789C">
        <w:t xml:space="preserve"> for future readiness</w:t>
      </w:r>
      <w:r w:rsidR="00A26302">
        <w:t>, stressing that</w:t>
      </w:r>
      <w:r w:rsidR="0000789C">
        <w:t xml:space="preserve"> it “</w:t>
      </w:r>
      <w:r w:rsidR="001B5214">
        <w:t>implies a sense of responsibility to participate in the world and, in so doing, to influence people, events and circumstances for the better</w:t>
      </w:r>
      <w:r w:rsidR="00521280">
        <w:t>”</w:t>
      </w:r>
      <w:r w:rsidR="00B35A33">
        <w:t xml:space="preserve"> (p. 4). </w:t>
      </w:r>
      <w:r w:rsidR="00BF3ECC">
        <w:t xml:space="preserve">The same authors </w:t>
      </w:r>
      <w:r w:rsidR="000F12AD">
        <w:t xml:space="preserve">also point out that recent advances in cognitive science point to </w:t>
      </w:r>
      <w:r w:rsidR="00705273">
        <w:t xml:space="preserve">the plasticity of brain regions and systems </w:t>
      </w:r>
      <w:r w:rsidR="007C59D5">
        <w:t xml:space="preserve">related to the development of self-regulation skills during adolescence. </w:t>
      </w:r>
      <w:r w:rsidR="007254EB">
        <w:t xml:space="preserve">Davies, Fidler, and Gorbis </w:t>
      </w:r>
      <w:r w:rsidR="007254EB">
        <w:fldChar w:fldCharType="begin"/>
      </w:r>
      <w:r w:rsidR="002A0FF2">
        <w:instrText xml:space="preserve"> ADDIN ZOTERO_ITEM CSL_CITATION {"citationID":"wt0A3ylO","properties":{"formattedCitation":"(2011)","plainCitation":"(2011)","noteIndex":0},"citationItems":[{"id":1179,"uris":["http://zotero.org/users/702074/items/FM6F26HF"],"uri":["http://zotero.org/users/702074/items/FM6F26HF"],"itemData":{"id":1179,"type":"article-journal","container-title":"Institute for the Future, University of Phoenix Research Institute","source":"Google Scholar","title":"Future work skills 2020","URL":"http://www.voced.edu.au/content/ngv:49812","volume":"540","author":[{"family":"Davies","given":"Anna"},{"family":"Fidler","given":"Devin"},{"family":"Gorbis","given":"Marina"}],"accessed":{"date-parts":[["2017",4,26]]},"issued":{"date-parts":[["2011"]]}},"suppress-author":true}],"schema":"https://github.com/citation-style-language/schema/raw/master/csl-citation.json"} </w:instrText>
      </w:r>
      <w:r w:rsidR="007254EB">
        <w:fldChar w:fldCharType="separate"/>
      </w:r>
      <w:r w:rsidR="002A0FF2" w:rsidRPr="002A0FF2">
        <w:rPr>
          <w:rFonts w:ascii="Calibri" w:hAnsi="Calibri" w:cs="Calibri"/>
        </w:rPr>
        <w:t>(2011)</w:t>
      </w:r>
      <w:r w:rsidR="007254EB">
        <w:fldChar w:fldCharType="end"/>
      </w:r>
      <w:r w:rsidR="002A0FF2">
        <w:t xml:space="preserve"> explore self-regulation </w:t>
      </w:r>
      <w:r w:rsidR="00C8063E">
        <w:t xml:space="preserve">and metacognition </w:t>
      </w:r>
      <w:r w:rsidR="002A0FF2">
        <w:t xml:space="preserve">across a number of skills that include </w:t>
      </w:r>
      <w:r w:rsidR="005A5DDE">
        <w:t xml:space="preserve">cognitive load management, </w:t>
      </w:r>
      <w:r w:rsidR="00611C64">
        <w:t xml:space="preserve">virtual collaboration, </w:t>
      </w:r>
      <w:r w:rsidR="00DC2D8C">
        <w:t>and sense-making.</w:t>
      </w:r>
    </w:p>
    <w:p w14:paraId="2D678BF3" w14:textId="5F75AB7D" w:rsidR="00BA03B8" w:rsidRPr="00C177D7" w:rsidRDefault="006E2BE5" w:rsidP="003812D7">
      <w:r>
        <w:t xml:space="preserve">Hattie’s </w:t>
      </w:r>
      <w:r w:rsidR="00D47515">
        <w:fldChar w:fldCharType="begin"/>
      </w:r>
      <w:r w:rsidR="00D47515">
        <w:instrText xml:space="preserve"> ADDIN ZOTERO_ITEM CSL_CITATION {"citationID":"dkcW43uw","properties":{"formattedCitation":"(2019)","plainCitation":"(2019)","noteIndex":0},"citationItems":[{"id":1023,"uris":["http://zotero.org/users/702074/items/CEGB7FPC"],"uri":["http://zotero.org/users/702074/items/CEGB7FPC"],"itemData":{"id":1023,"type":"article","publisher":"Corwin","title":"Visible Learningplus 250+ Influences on Student Achievement","URL":"https://visible-learning.org/wp-content/uploads/2018/03/VLPLUS-252-Influences-Hattie-ranking-DEC-2017.pdf","author":[{"family":"Hattie","given":"John"}],"accessed":{"date-parts":[["2019",9,12]]},"issued":{"date-parts":[["2019"]]}},"suppress-author":true}],"schema":"https://github.com/citation-style-language/schema/raw/master/csl-citation.json"} </w:instrText>
      </w:r>
      <w:r w:rsidR="00D47515">
        <w:fldChar w:fldCharType="separate"/>
      </w:r>
      <w:r w:rsidR="00D47515" w:rsidRPr="00D47515">
        <w:rPr>
          <w:rFonts w:ascii="Calibri" w:hAnsi="Calibri" w:cs="Calibri"/>
        </w:rPr>
        <w:t>(2019)</w:t>
      </w:r>
      <w:r w:rsidR="00D47515">
        <w:fldChar w:fldCharType="end"/>
      </w:r>
      <w:r w:rsidR="00D47515">
        <w:t xml:space="preserve"> meta-analyses </w:t>
      </w:r>
      <w:r w:rsidR="00454566">
        <w:t xml:space="preserve">reveal a relatively </w:t>
      </w:r>
      <w:r w:rsidR="003F5290">
        <w:t xml:space="preserve">large number of strategies that support </w:t>
      </w:r>
      <w:r w:rsidR="00735A9E">
        <w:t>independent learning</w:t>
      </w:r>
    </w:p>
    <w:p w14:paraId="5DB3CDE8" w14:textId="6DAB92A9" w:rsidR="00F1572D" w:rsidRDefault="003A1B34" w:rsidP="003812D7">
      <w:pPr>
        <w:pStyle w:val="ListBullet"/>
      </w:pPr>
      <w:r>
        <w:t>e</w:t>
      </w:r>
      <w:r w:rsidR="00F1572D">
        <w:t xml:space="preserve">laboration and organisation </w:t>
      </w:r>
      <w:r w:rsidR="00A72D30">
        <w:t>— committing information and skills to memory</w:t>
      </w:r>
    </w:p>
    <w:p w14:paraId="554D58C5" w14:textId="6A263DE6" w:rsidR="00F1572D" w:rsidRDefault="003A1B34" w:rsidP="003812D7">
      <w:pPr>
        <w:pStyle w:val="ListBullet"/>
      </w:pPr>
      <w:r>
        <w:t>h</w:t>
      </w:r>
      <w:r w:rsidR="00F1572D">
        <w:t xml:space="preserve">elp seeking </w:t>
      </w:r>
      <w:r w:rsidR="00A72D30">
        <w:t>—</w:t>
      </w:r>
      <w:r w:rsidR="004F292B" w:rsidRPr="004F292B">
        <w:t xml:space="preserve"> </w:t>
      </w:r>
      <w:r w:rsidR="00943454">
        <w:t>adaptively s</w:t>
      </w:r>
      <w:r w:rsidR="004F292B">
        <w:t>eek</w:t>
      </w:r>
      <w:r w:rsidR="00943454">
        <w:t>ing</w:t>
      </w:r>
      <w:r w:rsidR="004F292B">
        <w:t xml:space="preserve"> external support for an academic or mental health problem</w:t>
      </w:r>
    </w:p>
    <w:p w14:paraId="023860D5" w14:textId="58219EF5" w:rsidR="00F1572D" w:rsidRDefault="003A1B34" w:rsidP="003812D7">
      <w:pPr>
        <w:pStyle w:val="ListBullet"/>
      </w:pPr>
      <w:r>
        <w:t>d</w:t>
      </w:r>
      <w:r w:rsidR="00F1572D">
        <w:t xml:space="preserve">eliberate practice </w:t>
      </w:r>
      <w:r w:rsidR="00732F83">
        <w:t>—</w:t>
      </w:r>
      <w:r w:rsidR="00943454">
        <w:t xml:space="preserve"> </w:t>
      </w:r>
      <w:r w:rsidR="002B368D">
        <w:t>extensive</w:t>
      </w:r>
      <w:r w:rsidR="00943454">
        <w:t>ly</w:t>
      </w:r>
      <w:r w:rsidR="002B368D">
        <w:t xml:space="preserve"> enga</w:t>
      </w:r>
      <w:r w:rsidR="00943454">
        <w:t>ging</w:t>
      </w:r>
      <w:r w:rsidR="002B368D">
        <w:t xml:space="preserve"> in relevant practice activities in order to improve particular aspects of performance</w:t>
      </w:r>
    </w:p>
    <w:p w14:paraId="51B2AC42" w14:textId="1CDC0741" w:rsidR="00F1572D" w:rsidRDefault="003A1B34" w:rsidP="003812D7">
      <w:pPr>
        <w:pStyle w:val="ListBullet"/>
      </w:pPr>
      <w:r>
        <w:t>w</w:t>
      </w:r>
      <w:r w:rsidR="00F1572D">
        <w:t xml:space="preserve">orking memory strength </w:t>
      </w:r>
      <w:r w:rsidR="00BF427D">
        <w:t>— the cognitive site in which a person holds and manipulates information for a brief period of time, typically because this information is relevant to a current task</w:t>
      </w:r>
    </w:p>
    <w:p w14:paraId="342F3F32" w14:textId="1D2B6A86" w:rsidR="00F1572D" w:rsidRDefault="003A1B34" w:rsidP="003812D7">
      <w:pPr>
        <w:pStyle w:val="ListBullet"/>
      </w:pPr>
      <w:r>
        <w:t>f</w:t>
      </w:r>
      <w:r w:rsidR="00F1572D">
        <w:t xml:space="preserve">ield independence </w:t>
      </w:r>
      <w:r w:rsidR="00FA4C5F">
        <w:t xml:space="preserve">– </w:t>
      </w:r>
      <w:r w:rsidR="00943454">
        <w:t xml:space="preserve">fostering </w:t>
      </w:r>
      <w:r w:rsidR="00FA4C5F">
        <w:t>a learner</w:t>
      </w:r>
      <w:r w:rsidR="00943454">
        <w:t>’s</w:t>
      </w:r>
      <w:r w:rsidR="00FA4C5F">
        <w:t xml:space="preserve"> interest in abstract subject matter, learns individualistically, and thinks through problems impersonally</w:t>
      </w:r>
    </w:p>
    <w:p w14:paraId="63A3084B" w14:textId="7D37D7FD" w:rsidR="00023146" w:rsidRDefault="003A1B34" w:rsidP="003812D7">
      <w:pPr>
        <w:pStyle w:val="ListBullet"/>
      </w:pPr>
      <w:r>
        <w:t>p</w:t>
      </w:r>
      <w:r w:rsidR="00F1572D">
        <w:t xml:space="preserve">ositive self-concept </w:t>
      </w:r>
      <w:r w:rsidR="00FA4C5F">
        <w:t>—</w:t>
      </w:r>
      <w:r w:rsidR="00023146">
        <w:t xml:space="preserve"> fostering a sense of confidence and the development of a positive sense of self through cognitive appraisals, acceptance of feedback, benchmarking to difficult goals, and comparison to subject criteria (and not other students)</w:t>
      </w:r>
    </w:p>
    <w:p w14:paraId="4FB0A344" w14:textId="62E838EC" w:rsidR="00F1572D" w:rsidRDefault="003A1B34" w:rsidP="003812D7">
      <w:pPr>
        <w:pStyle w:val="ListBullet"/>
      </w:pPr>
      <w:r>
        <w:t>s</w:t>
      </w:r>
      <w:r w:rsidR="00F1572D">
        <w:t>elf-efficacy</w:t>
      </w:r>
      <w:r w:rsidR="00023146">
        <w:t xml:space="preserve"> — developing students’ confidence and positive self-perceptions through regular feedback and/or reflection</w:t>
      </w:r>
    </w:p>
    <w:p w14:paraId="3D475B09" w14:textId="69CFF876" w:rsidR="00023146" w:rsidRDefault="003A1B34" w:rsidP="003812D7">
      <w:pPr>
        <w:pStyle w:val="ListBullet"/>
      </w:pPr>
      <w:r>
        <w:t>p</w:t>
      </w:r>
      <w:r w:rsidR="00F1572D">
        <w:t xml:space="preserve">rior achievement </w:t>
      </w:r>
      <w:r w:rsidR="00023146">
        <w:t>— developing reflection tasks that encourage students to integrate prior knowledge with present learning activities</w:t>
      </w:r>
    </w:p>
    <w:p w14:paraId="0D6AEB7C" w14:textId="298F5F51" w:rsidR="00F1572D" w:rsidRDefault="003A1B34" w:rsidP="003812D7">
      <w:pPr>
        <w:pStyle w:val="ListBullet"/>
      </w:pPr>
      <w:r>
        <w:t>d</w:t>
      </w:r>
      <w:r w:rsidR="00F1572D">
        <w:t xml:space="preserve">eep motivation and approach </w:t>
      </w:r>
      <w:r w:rsidR="00943454">
        <w:t>— encouraging students to desire mastery, deeper understanding, or high degree of investment to have a fuller understanding overall of the topic.</w:t>
      </w:r>
    </w:p>
    <w:p w14:paraId="0B5D3FF3" w14:textId="77777777" w:rsidR="00571110" w:rsidRDefault="00571110" w:rsidP="003812D7"/>
    <w:p w14:paraId="1E6EDFBF" w14:textId="63DE6065" w:rsidR="00B17D5C" w:rsidRDefault="00B17D5C" w:rsidP="003812D7">
      <w:pPr>
        <w:pStyle w:val="Heading1"/>
      </w:pPr>
      <w:r>
        <w:t>Conclusion</w:t>
      </w:r>
    </w:p>
    <w:p w14:paraId="08BBF720" w14:textId="56AF2E76" w:rsidR="0016781C" w:rsidRPr="001162F0" w:rsidRDefault="007F3C21" w:rsidP="003812D7">
      <w:pPr>
        <w:sectPr w:rsidR="0016781C" w:rsidRPr="001162F0" w:rsidSect="003812D7">
          <w:headerReference w:type="default" r:id="rId11"/>
          <w:footerReference w:type="default" r:id="rId12"/>
          <w:pgSz w:w="11906" w:h="16838"/>
          <w:pgMar w:top="567" w:right="1440" w:bottom="1135" w:left="1440" w:header="570" w:footer="0" w:gutter="0"/>
          <w:cols w:space="708"/>
          <w:docGrid w:linePitch="360"/>
        </w:sectPr>
      </w:pPr>
      <w:r>
        <w:t xml:space="preserve">Recent </w:t>
      </w:r>
      <w:r w:rsidR="00D338E9">
        <w:t xml:space="preserve">educational policy and research strongly supports the </w:t>
      </w:r>
      <w:r w:rsidR="00E33182">
        <w:t xml:space="preserve">view that there is no one single effective teaching </w:t>
      </w:r>
      <w:r w:rsidR="0028571F">
        <w:t xml:space="preserve">practice </w:t>
      </w:r>
      <w:r w:rsidR="00E33182">
        <w:t xml:space="preserve">and that teachers should be proficient in </w:t>
      </w:r>
      <w:r w:rsidR="0028571F">
        <w:t xml:space="preserve">many practices and able to evaluate their impact on </w:t>
      </w:r>
      <w:r w:rsidR="009C59D2">
        <w:t xml:space="preserve">students’ learning </w:t>
      </w:r>
      <w:r w:rsidR="009C59D2">
        <w:fldChar w:fldCharType="begin"/>
      </w:r>
      <w:r>
        <w:instrText xml:space="preserve"> ADDIN ZOTERO_ITEM CSL_CITATION {"citationID":"qhlg36ev","properties":{"formattedCitation":"(NSW Government, 2013)","plainCitation":"(NSW Government, 2013)","noteIndex":0},"citationItems":[{"id":532,"uris":["http://zotero.org/users/702074/items/5FAUIIP5"],"uri":["http://zotero.org/users/702074/items/5FAUIIP5"],"itemData":{"id":532,"type":"report","publisher":"NSW Government","title":"Great Teaching, Inspired Learning: A blueprint for action","URL":"http://www.schools.nsw.edu.au/media/downloads/news/greatteaching/gtil_blueprint.pdf","author":[{"family":"NSW Government","given":""}],"issued":{"date-parts":[["2013",3]]}}}],"schema":"https://github.com/citation-style-language/schema/raw/master/csl-citation.json"} </w:instrText>
      </w:r>
      <w:r w:rsidR="009C59D2">
        <w:fldChar w:fldCharType="separate"/>
      </w:r>
      <w:r w:rsidRPr="007F3C21">
        <w:rPr>
          <w:rFonts w:ascii="Calibri" w:hAnsi="Calibri" w:cs="Calibri"/>
        </w:rPr>
        <w:t>(NSW Government, 2013)</w:t>
      </w:r>
      <w:r w:rsidR="009C59D2">
        <w:fldChar w:fldCharType="end"/>
      </w:r>
      <w:r w:rsidR="009C59D2">
        <w:t xml:space="preserve">. </w:t>
      </w:r>
      <w:r w:rsidR="001162F0">
        <w:t xml:space="preserve">The NSW Department of Education’s </w:t>
      </w:r>
      <w:r w:rsidR="001162F0">
        <w:rPr>
          <w:i/>
          <w:iCs/>
        </w:rPr>
        <w:t>Learning Modes</w:t>
      </w:r>
      <w:r w:rsidR="001162F0">
        <w:t xml:space="preserve"> represent </w:t>
      </w:r>
      <w:r w:rsidR="006618C7">
        <w:t xml:space="preserve">a </w:t>
      </w:r>
      <w:r w:rsidR="00524FED">
        <w:t xml:space="preserve">set of organising principles </w:t>
      </w:r>
      <w:r w:rsidR="006618C7">
        <w:t xml:space="preserve">for educators to understand </w:t>
      </w:r>
      <w:r w:rsidR="00524FED">
        <w:t xml:space="preserve">the ways that learning and teaching can occur in contemporary </w:t>
      </w:r>
      <w:r w:rsidR="003D01D5">
        <w:t>classrooms</w:t>
      </w:r>
      <w:r w:rsidR="00EF1B11">
        <w:t>.</w:t>
      </w:r>
      <w:r w:rsidR="0016781C">
        <w:t xml:space="preserve"> </w:t>
      </w:r>
      <w:r w:rsidR="001D43FD">
        <w:t xml:space="preserve">The aim of this report was to explore how each mode </w:t>
      </w:r>
      <w:r w:rsidR="00B72422">
        <w:t>could</w:t>
      </w:r>
      <w:r w:rsidR="001D43FD">
        <w:t xml:space="preserve"> be conceptualised with recourse to </w:t>
      </w:r>
      <w:r w:rsidR="00370FBB">
        <w:t xml:space="preserve">key characteristics, theoretical orientation, future work skills, and high impact strategies. </w:t>
      </w:r>
      <w:r w:rsidR="00A32426">
        <w:t xml:space="preserve">By grounding each of the modes in this deeper context, the report argues that </w:t>
      </w:r>
      <w:r w:rsidR="005062E7">
        <w:t xml:space="preserve">the </w:t>
      </w:r>
      <w:r w:rsidR="00EA1900">
        <w:t>they</w:t>
      </w:r>
      <w:r w:rsidR="005062E7">
        <w:t xml:space="preserve"> embody well-established theories and practices for </w:t>
      </w:r>
      <w:r w:rsidR="0086025D">
        <w:t xml:space="preserve">supporting </w:t>
      </w:r>
      <w:r w:rsidR="00AC34B1">
        <w:t xml:space="preserve">and empowering </w:t>
      </w:r>
      <w:r w:rsidR="0086025D">
        <w:t>learners</w:t>
      </w:r>
      <w:r w:rsidR="00A577B6">
        <w:t xml:space="preserve"> now</w:t>
      </w:r>
      <w:r w:rsidR="0086025D">
        <w:t xml:space="preserve"> and </w:t>
      </w:r>
      <w:r w:rsidR="00AC34B1">
        <w:t xml:space="preserve">into the future. </w:t>
      </w:r>
    </w:p>
    <w:p w14:paraId="308C5800" w14:textId="32793F4B" w:rsidR="000B7F31" w:rsidRPr="003812D7" w:rsidRDefault="00571110" w:rsidP="003812D7">
      <w:pPr>
        <w:pStyle w:val="Heading2"/>
      </w:pPr>
      <w:r w:rsidRPr="003812D7">
        <w:t xml:space="preserve">Appendix 1: </w:t>
      </w:r>
      <w:r w:rsidR="00A12AB3" w:rsidRPr="003812D7">
        <w:t xml:space="preserve">Synthesis of </w:t>
      </w:r>
      <w:r w:rsidR="00A20E03" w:rsidRPr="003812D7">
        <w:t>L</w:t>
      </w:r>
      <w:bookmarkStart w:id="0" w:name="_GoBack"/>
      <w:bookmarkEnd w:id="0"/>
      <w:r w:rsidR="00A20E03" w:rsidRPr="003812D7">
        <w:t xml:space="preserve">earning Modes — characteristics, theory, strategies, and success factors </w:t>
      </w:r>
    </w:p>
    <w:tbl>
      <w:tblPr>
        <w:tblStyle w:val="ListTable5Dark-Accent5"/>
        <w:tblW w:w="5000" w:type="pct"/>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200" w:firstRow="0" w:lastRow="0" w:firstColumn="0" w:lastColumn="0" w:noHBand="1" w:noVBand="0"/>
      </w:tblPr>
      <w:tblGrid>
        <w:gridCol w:w="2789"/>
        <w:gridCol w:w="2789"/>
        <w:gridCol w:w="2790"/>
        <w:gridCol w:w="2790"/>
        <w:gridCol w:w="2790"/>
        <w:gridCol w:w="2790"/>
        <w:gridCol w:w="2790"/>
        <w:gridCol w:w="2790"/>
      </w:tblGrid>
      <w:tr w:rsidR="00B922C4" w:rsidRPr="003812D7" w14:paraId="7BBFA09E" w14:textId="77777777" w:rsidTr="00E968AA">
        <w:trPr>
          <w:trHeight w:val="1835"/>
        </w:trPr>
        <w:tc>
          <w:tcPr>
            <w:cnfStyle w:val="000010000000" w:firstRow="0" w:lastRow="0" w:firstColumn="0" w:lastColumn="0" w:oddVBand="1" w:evenVBand="0" w:oddHBand="0" w:evenHBand="0" w:firstRowFirstColumn="0" w:firstRowLastColumn="0" w:lastRowFirstColumn="0" w:lastRowLastColumn="0"/>
            <w:tcW w:w="625" w:type="pct"/>
            <w:vAlign w:val="center"/>
          </w:tcPr>
          <w:p w14:paraId="16A2E4F6" w14:textId="51552A12" w:rsidR="001805F6" w:rsidRPr="003812D7" w:rsidRDefault="00FE1673" w:rsidP="003812D7">
            <w:pPr>
              <w:pStyle w:val="LMHeadinginTable"/>
            </w:pPr>
            <w:r w:rsidRPr="003812D7">
              <w:drawing>
                <wp:inline distT="0" distB="0" distL="0" distR="0" wp14:anchorId="710D0867" wp14:editId="1A9750FB">
                  <wp:extent cx="1080000" cy="1080000"/>
                  <wp:effectExtent l="0" t="0" r="6350" b="6350"/>
                  <wp:docPr id="1" name="Picture 1" descr="Collabor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boration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69430E1" w14:textId="5EA0CA8B" w:rsidR="00905E78" w:rsidRPr="003812D7" w:rsidRDefault="00905E78" w:rsidP="003812D7">
            <w:pPr>
              <w:pStyle w:val="LMHeadinginTable"/>
            </w:pPr>
            <w:r w:rsidRPr="003812D7">
              <w:t>Collaboration</w:t>
            </w:r>
          </w:p>
        </w:tc>
        <w:tc>
          <w:tcPr>
            <w:cnfStyle w:val="000001000000" w:firstRow="0" w:lastRow="0" w:firstColumn="0" w:lastColumn="0" w:oddVBand="0" w:evenVBand="1" w:oddHBand="0" w:evenHBand="0" w:firstRowFirstColumn="0" w:firstRowLastColumn="0" w:lastRowFirstColumn="0" w:lastRowLastColumn="0"/>
            <w:tcW w:w="625" w:type="pct"/>
            <w:vAlign w:val="center"/>
          </w:tcPr>
          <w:p w14:paraId="2E176A0B" w14:textId="77777777" w:rsidR="001805F6" w:rsidRPr="003812D7" w:rsidRDefault="00B83293" w:rsidP="003812D7">
            <w:pPr>
              <w:pStyle w:val="LMHeadinginTable"/>
            </w:pPr>
            <w:r w:rsidRPr="003812D7">
              <w:drawing>
                <wp:inline distT="0" distB="0" distL="0" distR="0" wp14:anchorId="174D490B" wp14:editId="4E25C378">
                  <wp:extent cx="1080000" cy="1080000"/>
                  <wp:effectExtent l="0" t="0" r="6350" b="6350"/>
                  <wp:docPr id="2" name="Picture 2" descr="Discu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sio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E2412D0" w14:textId="3F257C5E" w:rsidR="00905E78" w:rsidRPr="003812D7" w:rsidRDefault="00905E78" w:rsidP="003812D7">
            <w:pPr>
              <w:pStyle w:val="LMHeadinginTable"/>
            </w:pPr>
            <w:r w:rsidRPr="003812D7">
              <w:t>Discussion</w:t>
            </w:r>
          </w:p>
        </w:tc>
        <w:tc>
          <w:tcPr>
            <w:cnfStyle w:val="000010000000" w:firstRow="0" w:lastRow="0" w:firstColumn="0" w:lastColumn="0" w:oddVBand="1" w:evenVBand="0" w:oddHBand="0" w:evenHBand="0" w:firstRowFirstColumn="0" w:firstRowLastColumn="0" w:lastRowFirstColumn="0" w:lastRowLastColumn="0"/>
            <w:tcW w:w="625" w:type="pct"/>
            <w:vAlign w:val="center"/>
          </w:tcPr>
          <w:p w14:paraId="37FCEFC1" w14:textId="77777777" w:rsidR="001805F6" w:rsidRPr="003812D7" w:rsidRDefault="00B83293" w:rsidP="003812D7">
            <w:pPr>
              <w:pStyle w:val="LMHeadinginTable"/>
            </w:pPr>
            <w:r w:rsidRPr="003812D7">
              <w:drawing>
                <wp:inline distT="0" distB="0" distL="0" distR="0" wp14:anchorId="33C9447B" wp14:editId="2D41B6C4">
                  <wp:extent cx="1080000" cy="1080000"/>
                  <wp:effectExtent l="0" t="0" r="6350" b="6350"/>
                  <wp:docPr id="3" name="Picture 3" descr="Feedback and 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back and reflection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8F27EB2" w14:textId="40561391" w:rsidR="00905E78" w:rsidRPr="003812D7" w:rsidRDefault="00905E78" w:rsidP="003812D7">
            <w:pPr>
              <w:pStyle w:val="LMHeadinginTable"/>
            </w:pPr>
            <w:r w:rsidRPr="003812D7">
              <w:t>Feedback and Reflection</w:t>
            </w:r>
          </w:p>
        </w:tc>
        <w:tc>
          <w:tcPr>
            <w:cnfStyle w:val="000001000000" w:firstRow="0" w:lastRow="0" w:firstColumn="0" w:lastColumn="0" w:oddVBand="0" w:evenVBand="1" w:oddHBand="0" w:evenHBand="0" w:firstRowFirstColumn="0" w:firstRowLastColumn="0" w:lastRowFirstColumn="0" w:lastRowLastColumn="0"/>
            <w:tcW w:w="625" w:type="pct"/>
            <w:vAlign w:val="center"/>
          </w:tcPr>
          <w:p w14:paraId="5632DDE4" w14:textId="77777777" w:rsidR="001805F6" w:rsidRPr="003812D7" w:rsidRDefault="00EC584B" w:rsidP="003812D7">
            <w:pPr>
              <w:pStyle w:val="LMHeadinginTable"/>
            </w:pPr>
            <w:r w:rsidRPr="003812D7">
              <w:drawing>
                <wp:inline distT="0" distB="0" distL="0" distR="0" wp14:anchorId="558EC81A" wp14:editId="4DF26F1D">
                  <wp:extent cx="1080000" cy="1080000"/>
                  <wp:effectExtent l="0" t="0" r="6350" b="6350"/>
                  <wp:docPr id="4" name="Picture 4" descr="Gui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ded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9F330EE" w14:textId="30266C0E" w:rsidR="00905E78" w:rsidRPr="003812D7" w:rsidRDefault="00905E78" w:rsidP="003812D7">
            <w:pPr>
              <w:pStyle w:val="LMHeadinginTable"/>
            </w:pPr>
            <w:r w:rsidRPr="003812D7">
              <w:t>Guided</w:t>
            </w:r>
          </w:p>
        </w:tc>
        <w:tc>
          <w:tcPr>
            <w:cnfStyle w:val="000010000000" w:firstRow="0" w:lastRow="0" w:firstColumn="0" w:lastColumn="0" w:oddVBand="1" w:evenVBand="0" w:oddHBand="0" w:evenHBand="0" w:firstRowFirstColumn="0" w:firstRowLastColumn="0" w:lastRowFirstColumn="0" w:lastRowLastColumn="0"/>
            <w:tcW w:w="625" w:type="pct"/>
            <w:vAlign w:val="center"/>
          </w:tcPr>
          <w:p w14:paraId="66DB927E" w14:textId="77777777" w:rsidR="001805F6" w:rsidRPr="003812D7" w:rsidRDefault="00EC584B" w:rsidP="003812D7">
            <w:pPr>
              <w:pStyle w:val="LMHeadinginTable"/>
            </w:pPr>
            <w:r w:rsidRPr="003812D7">
              <w:drawing>
                <wp:inline distT="0" distB="0" distL="0" distR="0" wp14:anchorId="325F059C" wp14:editId="63879379">
                  <wp:extent cx="1078173" cy="1080000"/>
                  <wp:effectExtent l="0" t="0" r="8255" b="6350"/>
                  <wp:docPr id="5" name="Picture 5" descr="Explic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icit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8173" cy="1080000"/>
                          </a:xfrm>
                          <a:prstGeom prst="rect">
                            <a:avLst/>
                          </a:prstGeom>
                          <a:noFill/>
                          <a:ln>
                            <a:noFill/>
                          </a:ln>
                        </pic:spPr>
                      </pic:pic>
                    </a:graphicData>
                  </a:graphic>
                </wp:inline>
              </w:drawing>
            </w:r>
          </w:p>
          <w:p w14:paraId="71A8F220" w14:textId="43901142" w:rsidR="00905E78" w:rsidRPr="003812D7" w:rsidRDefault="00905E78" w:rsidP="003812D7">
            <w:pPr>
              <w:pStyle w:val="LMHeadinginTable"/>
            </w:pPr>
            <w:r w:rsidRPr="003812D7">
              <w:t>Explicit</w:t>
            </w:r>
          </w:p>
        </w:tc>
        <w:tc>
          <w:tcPr>
            <w:cnfStyle w:val="000001000000" w:firstRow="0" w:lastRow="0" w:firstColumn="0" w:lastColumn="0" w:oddVBand="0" w:evenVBand="1" w:oddHBand="0" w:evenHBand="0" w:firstRowFirstColumn="0" w:firstRowLastColumn="0" w:lastRowFirstColumn="0" w:lastRowLastColumn="0"/>
            <w:tcW w:w="625" w:type="pct"/>
            <w:vAlign w:val="center"/>
          </w:tcPr>
          <w:p w14:paraId="6C438D48" w14:textId="77777777" w:rsidR="001805F6" w:rsidRPr="003812D7" w:rsidRDefault="00905E78" w:rsidP="003812D7">
            <w:pPr>
              <w:pStyle w:val="LMHeadinginTable"/>
            </w:pPr>
            <w:r w:rsidRPr="003812D7">
              <w:drawing>
                <wp:inline distT="0" distB="0" distL="0" distR="0" wp14:anchorId="726AC286" wp14:editId="73A2FD85">
                  <wp:extent cx="1080000" cy="1080000"/>
                  <wp:effectExtent l="0" t="0" r="6350" b="6350"/>
                  <wp:docPr id="6" name="Picture 6" descr="Demonstr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monstration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95DA364" w14:textId="039DAB53" w:rsidR="00905E78" w:rsidRPr="003812D7" w:rsidRDefault="00905E78" w:rsidP="003812D7">
            <w:pPr>
              <w:pStyle w:val="LMHeadinginTable"/>
            </w:pPr>
            <w:r w:rsidRPr="003812D7">
              <w:t>Demonstration</w:t>
            </w:r>
          </w:p>
        </w:tc>
        <w:tc>
          <w:tcPr>
            <w:cnfStyle w:val="000010000000" w:firstRow="0" w:lastRow="0" w:firstColumn="0" w:lastColumn="0" w:oddVBand="1" w:evenVBand="0" w:oddHBand="0" w:evenHBand="0" w:firstRowFirstColumn="0" w:firstRowLastColumn="0" w:lastRowFirstColumn="0" w:lastRowLastColumn="0"/>
            <w:tcW w:w="625" w:type="pct"/>
            <w:vAlign w:val="center"/>
          </w:tcPr>
          <w:p w14:paraId="029F7F5C" w14:textId="77777777" w:rsidR="001805F6" w:rsidRPr="003812D7" w:rsidRDefault="00905E78" w:rsidP="003812D7">
            <w:pPr>
              <w:pStyle w:val="LMHeadinginTable"/>
            </w:pPr>
            <w:r w:rsidRPr="003812D7">
              <w:drawing>
                <wp:inline distT="0" distB="0" distL="0" distR="0" wp14:anchorId="341B0BDB" wp14:editId="7B308879">
                  <wp:extent cx="1081821" cy="1080000"/>
                  <wp:effectExtent l="0" t="0" r="4445" b="6350"/>
                  <wp:docPr id="7" name="Picture 7" descr="Experienti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eriential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1821" cy="1080000"/>
                          </a:xfrm>
                          <a:prstGeom prst="rect">
                            <a:avLst/>
                          </a:prstGeom>
                          <a:noFill/>
                          <a:ln>
                            <a:noFill/>
                          </a:ln>
                        </pic:spPr>
                      </pic:pic>
                    </a:graphicData>
                  </a:graphic>
                </wp:inline>
              </w:drawing>
            </w:r>
          </w:p>
          <w:p w14:paraId="18523794" w14:textId="6F5DCBF8" w:rsidR="00905E78" w:rsidRPr="003812D7" w:rsidRDefault="00905E78" w:rsidP="003812D7">
            <w:pPr>
              <w:pStyle w:val="LMHeadinginTable"/>
            </w:pPr>
            <w:r w:rsidRPr="003812D7">
              <w:t>Experiential</w:t>
            </w:r>
          </w:p>
        </w:tc>
        <w:tc>
          <w:tcPr>
            <w:cnfStyle w:val="000001000000" w:firstRow="0" w:lastRow="0" w:firstColumn="0" w:lastColumn="0" w:oddVBand="0" w:evenVBand="1" w:oddHBand="0" w:evenHBand="0" w:firstRowFirstColumn="0" w:firstRowLastColumn="0" w:lastRowFirstColumn="0" w:lastRowLastColumn="0"/>
            <w:tcW w:w="625" w:type="pct"/>
            <w:vAlign w:val="center"/>
          </w:tcPr>
          <w:p w14:paraId="0F39C697" w14:textId="77777777" w:rsidR="001805F6" w:rsidRPr="003812D7" w:rsidRDefault="00905E78" w:rsidP="003812D7">
            <w:pPr>
              <w:pStyle w:val="LMHeadinginTable"/>
            </w:pPr>
            <w:r w:rsidRPr="003812D7">
              <w:drawing>
                <wp:inline distT="0" distB="0" distL="0" distR="0" wp14:anchorId="3DA9EA64" wp14:editId="2C794768">
                  <wp:extent cx="1080000" cy="1080000"/>
                  <wp:effectExtent l="0" t="0" r="6350" b="6350"/>
                  <wp:docPr id="8" name="Picture 8" descr="Independ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ependent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52AF32C" w14:textId="5E1A1049" w:rsidR="00905E78" w:rsidRPr="003812D7" w:rsidRDefault="00905E78" w:rsidP="003812D7">
            <w:pPr>
              <w:pStyle w:val="LMHeadinginTable"/>
            </w:pPr>
            <w:r w:rsidRPr="003812D7">
              <w:t>Independent</w:t>
            </w:r>
          </w:p>
        </w:tc>
      </w:tr>
      <w:tr w:rsidR="00081649" w:rsidRPr="003812D7" w14:paraId="67AD1D47" w14:textId="77777777" w:rsidTr="00151898">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571E676A" w14:textId="77777777" w:rsidR="00081649" w:rsidRPr="003812D7" w:rsidRDefault="00081649" w:rsidP="003812D7">
            <w:pPr>
              <w:pStyle w:val="TableHeading"/>
            </w:pPr>
            <w:r w:rsidRPr="003812D7">
              <w:t>Characteristics</w:t>
            </w:r>
          </w:p>
          <w:p w14:paraId="3DC29BAC" w14:textId="6FD1762F" w:rsidR="002955E9" w:rsidRPr="003812D7" w:rsidRDefault="00095C5C" w:rsidP="003812D7">
            <w:pPr>
              <w:pStyle w:val="ListBullet"/>
              <w:rPr>
                <w:sz w:val="18"/>
                <w:szCs w:val="18"/>
              </w:rPr>
            </w:pPr>
            <w:r w:rsidRPr="003812D7">
              <w:rPr>
                <w:sz w:val="18"/>
                <w:szCs w:val="18"/>
              </w:rPr>
              <w:t>s</w:t>
            </w:r>
            <w:r w:rsidR="00F321A2" w:rsidRPr="003812D7">
              <w:rPr>
                <w:sz w:val="18"/>
                <w:szCs w:val="18"/>
              </w:rPr>
              <w:t xml:space="preserve">haring knowledge, experiences, </w:t>
            </w:r>
            <w:r w:rsidR="00BF09BD" w:rsidRPr="003812D7">
              <w:rPr>
                <w:sz w:val="18"/>
                <w:szCs w:val="18"/>
              </w:rPr>
              <w:t>agency</w:t>
            </w:r>
          </w:p>
          <w:p w14:paraId="326F51D9" w14:textId="60A14810" w:rsidR="002955E9" w:rsidRPr="003812D7" w:rsidRDefault="00095C5C" w:rsidP="003812D7">
            <w:pPr>
              <w:pStyle w:val="ListBullet"/>
              <w:rPr>
                <w:sz w:val="18"/>
                <w:szCs w:val="18"/>
              </w:rPr>
            </w:pPr>
            <w:r w:rsidRPr="003812D7">
              <w:rPr>
                <w:sz w:val="18"/>
                <w:szCs w:val="18"/>
              </w:rPr>
              <w:t>d</w:t>
            </w:r>
            <w:r w:rsidR="002955E9" w:rsidRPr="003812D7">
              <w:rPr>
                <w:sz w:val="18"/>
                <w:szCs w:val="18"/>
              </w:rPr>
              <w:t>eveloping positive interdependencies</w:t>
            </w:r>
          </w:p>
          <w:p w14:paraId="150ACABD" w14:textId="725180FA" w:rsidR="002604D0" w:rsidRPr="003812D7" w:rsidRDefault="00095C5C" w:rsidP="003812D7">
            <w:pPr>
              <w:pStyle w:val="ListBullet"/>
              <w:rPr>
                <w:sz w:val="18"/>
                <w:szCs w:val="18"/>
              </w:rPr>
            </w:pPr>
            <w:r w:rsidRPr="003812D7">
              <w:rPr>
                <w:sz w:val="18"/>
                <w:szCs w:val="18"/>
              </w:rPr>
              <w:t>s</w:t>
            </w:r>
            <w:r w:rsidR="002955E9" w:rsidRPr="003812D7">
              <w:rPr>
                <w:sz w:val="18"/>
                <w:szCs w:val="18"/>
              </w:rPr>
              <w:t xml:space="preserve">tudents </w:t>
            </w:r>
            <w:r w:rsidR="005908DA" w:rsidRPr="003812D7">
              <w:rPr>
                <w:sz w:val="18"/>
                <w:szCs w:val="18"/>
              </w:rPr>
              <w:t>teaching and learning from one another</w:t>
            </w:r>
            <w:r w:rsidRPr="003812D7">
              <w:rPr>
                <w:sz w:val="18"/>
                <w:szCs w:val="18"/>
              </w:rPr>
              <w:t>.</w:t>
            </w:r>
            <w:r w:rsidR="002955E9" w:rsidRPr="003812D7">
              <w:rPr>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362B65AA" w14:textId="77777777" w:rsidR="00081649" w:rsidRPr="003812D7" w:rsidRDefault="00081649" w:rsidP="003812D7">
            <w:pPr>
              <w:pStyle w:val="TableHeading"/>
            </w:pPr>
            <w:r w:rsidRPr="003812D7">
              <w:t>Characteristics</w:t>
            </w:r>
          </w:p>
          <w:p w14:paraId="365540C9" w14:textId="679AB3B9" w:rsidR="00547993" w:rsidRPr="003812D7" w:rsidRDefault="00095C5C" w:rsidP="003812D7">
            <w:pPr>
              <w:pStyle w:val="ListBullet"/>
              <w:rPr>
                <w:sz w:val="18"/>
                <w:szCs w:val="18"/>
              </w:rPr>
            </w:pPr>
            <w:r w:rsidRPr="003812D7">
              <w:rPr>
                <w:sz w:val="18"/>
                <w:szCs w:val="18"/>
              </w:rPr>
              <w:t>d</w:t>
            </w:r>
            <w:r w:rsidR="00547993" w:rsidRPr="003812D7">
              <w:rPr>
                <w:sz w:val="18"/>
                <w:szCs w:val="18"/>
              </w:rPr>
              <w:t>ialogue as an educative process</w:t>
            </w:r>
          </w:p>
          <w:p w14:paraId="49EC2EE5" w14:textId="1B0A86B9" w:rsidR="002604D0" w:rsidRPr="003812D7" w:rsidRDefault="00095C5C" w:rsidP="003812D7">
            <w:pPr>
              <w:pStyle w:val="ListBullet"/>
              <w:rPr>
                <w:sz w:val="18"/>
                <w:szCs w:val="18"/>
              </w:rPr>
            </w:pPr>
            <w:r w:rsidRPr="003812D7">
              <w:rPr>
                <w:sz w:val="18"/>
                <w:szCs w:val="18"/>
              </w:rPr>
              <w:t>v</w:t>
            </w:r>
            <w:r w:rsidR="003A7B67" w:rsidRPr="003812D7">
              <w:rPr>
                <w:sz w:val="18"/>
                <w:szCs w:val="18"/>
              </w:rPr>
              <w:t>ehicle to develop effective speaking</w:t>
            </w:r>
            <w:r w:rsidR="00C17FD3" w:rsidRPr="003812D7">
              <w:rPr>
                <w:sz w:val="18"/>
                <w:szCs w:val="18"/>
              </w:rPr>
              <w:t xml:space="preserve"> and listening skills</w:t>
            </w:r>
          </w:p>
          <w:p w14:paraId="5A1072D9" w14:textId="775F3373" w:rsidR="00C17FD3" w:rsidRPr="003812D7" w:rsidRDefault="00095C5C" w:rsidP="003812D7">
            <w:pPr>
              <w:pStyle w:val="ListBullet"/>
              <w:rPr>
                <w:sz w:val="18"/>
                <w:szCs w:val="18"/>
              </w:rPr>
            </w:pPr>
            <w:r w:rsidRPr="003812D7">
              <w:rPr>
                <w:sz w:val="18"/>
                <w:szCs w:val="18"/>
              </w:rPr>
              <w:t>c</w:t>
            </w:r>
            <w:r w:rsidR="00C17FD3" w:rsidRPr="003812D7">
              <w:rPr>
                <w:sz w:val="18"/>
                <w:szCs w:val="18"/>
              </w:rPr>
              <w:t>an build</w:t>
            </w:r>
            <w:r w:rsidR="004E5AE9" w:rsidRPr="003812D7">
              <w:rPr>
                <w:sz w:val="18"/>
                <w:szCs w:val="18"/>
              </w:rPr>
              <w:t xml:space="preserve"> understanding of key concepts</w:t>
            </w:r>
            <w:r w:rsidR="0010626C" w:rsidRPr="003812D7">
              <w:rPr>
                <w:sz w:val="18"/>
                <w:szCs w:val="18"/>
              </w:rPr>
              <w:t xml:space="preserve">, empathy, </w:t>
            </w:r>
            <w:r w:rsidR="008D5110" w:rsidRPr="003812D7">
              <w:rPr>
                <w:sz w:val="18"/>
                <w:szCs w:val="18"/>
              </w:rPr>
              <w:t xml:space="preserve">ability </w:t>
            </w:r>
            <w:r w:rsidR="0010626C" w:rsidRPr="003812D7">
              <w:rPr>
                <w:sz w:val="18"/>
                <w:szCs w:val="18"/>
              </w:rPr>
              <w:t>to reason</w:t>
            </w:r>
            <w:r w:rsidR="008D5110" w:rsidRPr="003812D7">
              <w:rPr>
                <w:sz w:val="18"/>
                <w:szCs w:val="18"/>
              </w:rPr>
              <w:t>, and critical thinking skills</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64EE87F4" w14:textId="77777777" w:rsidR="00081649" w:rsidRPr="003812D7" w:rsidRDefault="00081649" w:rsidP="003812D7">
            <w:pPr>
              <w:pStyle w:val="TableHeading"/>
            </w:pPr>
            <w:r w:rsidRPr="003812D7">
              <w:t>Characteristics</w:t>
            </w:r>
          </w:p>
          <w:p w14:paraId="05A7BD1E" w14:textId="55EB25CF" w:rsidR="00107C0C" w:rsidRPr="003812D7" w:rsidRDefault="00223099" w:rsidP="003812D7">
            <w:pPr>
              <w:pStyle w:val="ListBullet"/>
              <w:rPr>
                <w:sz w:val="18"/>
                <w:szCs w:val="18"/>
              </w:rPr>
            </w:pPr>
            <w:r w:rsidRPr="003812D7">
              <w:rPr>
                <w:sz w:val="18"/>
                <w:szCs w:val="18"/>
              </w:rPr>
              <w:t>i</w:t>
            </w:r>
            <w:r w:rsidR="00CA1D50" w:rsidRPr="003812D7">
              <w:rPr>
                <w:sz w:val="18"/>
                <w:szCs w:val="18"/>
              </w:rPr>
              <w:t>terative and cyclical</w:t>
            </w:r>
          </w:p>
          <w:p w14:paraId="328B8CB1" w14:textId="2BE634D1" w:rsidR="003D407B" w:rsidRPr="003812D7" w:rsidRDefault="00223099" w:rsidP="003812D7">
            <w:pPr>
              <w:pStyle w:val="ListBullet"/>
              <w:rPr>
                <w:sz w:val="18"/>
                <w:szCs w:val="18"/>
              </w:rPr>
            </w:pPr>
            <w:r w:rsidRPr="003812D7">
              <w:rPr>
                <w:sz w:val="18"/>
                <w:szCs w:val="18"/>
              </w:rPr>
              <w:t>o</w:t>
            </w:r>
            <w:r w:rsidR="003D407B" w:rsidRPr="003812D7">
              <w:rPr>
                <w:sz w:val="18"/>
                <w:szCs w:val="18"/>
              </w:rPr>
              <w:t>ccurring at any stage in the learning process</w:t>
            </w:r>
          </w:p>
          <w:p w14:paraId="3B38F814" w14:textId="40EE618C" w:rsidR="003D407B" w:rsidRPr="003812D7" w:rsidRDefault="00223099" w:rsidP="003812D7">
            <w:pPr>
              <w:pStyle w:val="ListBullet"/>
              <w:rPr>
                <w:sz w:val="18"/>
                <w:szCs w:val="18"/>
              </w:rPr>
            </w:pPr>
            <w:r w:rsidRPr="003812D7">
              <w:rPr>
                <w:sz w:val="18"/>
                <w:szCs w:val="18"/>
              </w:rPr>
              <w:t>i</w:t>
            </w:r>
            <w:r w:rsidR="00363960" w:rsidRPr="003812D7">
              <w:rPr>
                <w:sz w:val="18"/>
                <w:szCs w:val="18"/>
              </w:rPr>
              <w:t xml:space="preserve">nforms </w:t>
            </w:r>
            <w:r w:rsidR="00654CFE" w:rsidRPr="003812D7">
              <w:rPr>
                <w:sz w:val="18"/>
                <w:szCs w:val="18"/>
              </w:rPr>
              <w:t xml:space="preserve">the learner </w:t>
            </w:r>
            <w:r w:rsidR="00492C1D" w:rsidRPr="003812D7">
              <w:rPr>
                <w:sz w:val="18"/>
                <w:szCs w:val="18"/>
              </w:rPr>
              <w:t xml:space="preserve">about </w:t>
            </w:r>
            <w:r w:rsidR="00CD530B" w:rsidRPr="003812D7">
              <w:rPr>
                <w:sz w:val="18"/>
                <w:szCs w:val="18"/>
              </w:rPr>
              <w:t>key aspects of the learning experience</w:t>
            </w:r>
          </w:p>
          <w:p w14:paraId="4412E5E5" w14:textId="511D2E5B" w:rsidR="008D6166" w:rsidRPr="003812D7" w:rsidRDefault="00223099" w:rsidP="003812D7">
            <w:pPr>
              <w:pStyle w:val="ListBullet"/>
              <w:rPr>
                <w:sz w:val="18"/>
                <w:szCs w:val="18"/>
              </w:rPr>
            </w:pPr>
            <w:r w:rsidRPr="003812D7">
              <w:rPr>
                <w:sz w:val="18"/>
                <w:szCs w:val="18"/>
              </w:rPr>
              <w:t>c</w:t>
            </w:r>
            <w:r w:rsidR="008D6166" w:rsidRPr="003812D7">
              <w:rPr>
                <w:sz w:val="18"/>
                <w:szCs w:val="18"/>
              </w:rPr>
              <w:t>an manifest in a wide range of forms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0E65AE29" w14:textId="77777777" w:rsidR="00081649" w:rsidRPr="003812D7" w:rsidRDefault="00081649" w:rsidP="003812D7">
            <w:pPr>
              <w:pStyle w:val="TableHeading"/>
            </w:pPr>
            <w:r w:rsidRPr="003812D7">
              <w:t>Characteristics</w:t>
            </w:r>
          </w:p>
          <w:p w14:paraId="78BD5525" w14:textId="3BAE3B83" w:rsidR="00ED61EB" w:rsidRPr="003812D7" w:rsidRDefault="00223099" w:rsidP="003812D7">
            <w:pPr>
              <w:pStyle w:val="ListBullet"/>
              <w:rPr>
                <w:sz w:val="18"/>
                <w:szCs w:val="18"/>
              </w:rPr>
            </w:pPr>
            <w:r w:rsidRPr="003812D7">
              <w:rPr>
                <w:sz w:val="18"/>
                <w:szCs w:val="18"/>
              </w:rPr>
              <w:t>e</w:t>
            </w:r>
            <w:r w:rsidR="008263E2" w:rsidRPr="003812D7">
              <w:rPr>
                <w:sz w:val="18"/>
                <w:szCs w:val="18"/>
              </w:rPr>
              <w:t>xpert</w:t>
            </w:r>
            <w:r w:rsidR="00F77ED6" w:rsidRPr="003812D7">
              <w:rPr>
                <w:sz w:val="18"/>
                <w:szCs w:val="18"/>
              </w:rPr>
              <w:t xml:space="preserve"> assistance to guide the learning process</w:t>
            </w:r>
          </w:p>
          <w:p w14:paraId="240A4DB9" w14:textId="4A762E13" w:rsidR="00A41330" w:rsidRPr="003812D7" w:rsidRDefault="00223099" w:rsidP="003812D7">
            <w:pPr>
              <w:pStyle w:val="ListBullet"/>
              <w:rPr>
                <w:sz w:val="18"/>
                <w:szCs w:val="18"/>
              </w:rPr>
            </w:pPr>
            <w:r w:rsidRPr="003812D7">
              <w:rPr>
                <w:sz w:val="18"/>
                <w:szCs w:val="18"/>
              </w:rPr>
              <w:t>c</w:t>
            </w:r>
            <w:r w:rsidR="0010141F" w:rsidRPr="003812D7">
              <w:rPr>
                <w:sz w:val="18"/>
                <w:szCs w:val="18"/>
              </w:rPr>
              <w:t>an involve people such as peers, the teacher, or outside expert</w:t>
            </w:r>
            <w:r w:rsidR="008F0AE4" w:rsidRPr="003812D7">
              <w:rPr>
                <w:sz w:val="18"/>
                <w:szCs w:val="18"/>
              </w:rPr>
              <w:t>; can be systems-based</w:t>
            </w:r>
            <w:r w:rsidR="00C4081F" w:rsidRPr="003812D7">
              <w:rPr>
                <w:sz w:val="18"/>
                <w:szCs w:val="18"/>
              </w:rPr>
              <w:t>; can be a feature of task design</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63330C48" w14:textId="77777777" w:rsidR="00081649" w:rsidRPr="003812D7" w:rsidRDefault="00081649" w:rsidP="003812D7">
            <w:pPr>
              <w:pStyle w:val="TableHeading"/>
            </w:pPr>
            <w:r w:rsidRPr="003812D7">
              <w:t>Characteristics</w:t>
            </w:r>
          </w:p>
          <w:p w14:paraId="17E11B4A" w14:textId="6C183FB1" w:rsidR="000A6B49" w:rsidRPr="003812D7" w:rsidRDefault="00C017C9" w:rsidP="003812D7">
            <w:pPr>
              <w:pStyle w:val="ListBullet"/>
              <w:rPr>
                <w:sz w:val="18"/>
                <w:szCs w:val="18"/>
              </w:rPr>
            </w:pPr>
            <w:r w:rsidRPr="003812D7">
              <w:rPr>
                <w:sz w:val="18"/>
                <w:szCs w:val="18"/>
              </w:rPr>
              <w:t>d</w:t>
            </w:r>
            <w:r w:rsidR="000A6B49" w:rsidRPr="003812D7">
              <w:rPr>
                <w:sz w:val="18"/>
                <w:szCs w:val="18"/>
              </w:rPr>
              <w:t>irect/explicit teaching of skills and content</w:t>
            </w:r>
            <w:r w:rsidR="00B63344" w:rsidRPr="003812D7">
              <w:rPr>
                <w:sz w:val="18"/>
                <w:szCs w:val="18"/>
              </w:rPr>
              <w:t xml:space="preserve"> to students</w:t>
            </w:r>
          </w:p>
          <w:p w14:paraId="3A546948" w14:textId="73B284D7" w:rsidR="00B63344" w:rsidRPr="003812D7" w:rsidRDefault="00C017C9" w:rsidP="003812D7">
            <w:pPr>
              <w:pStyle w:val="ListBullet"/>
              <w:rPr>
                <w:sz w:val="18"/>
                <w:szCs w:val="18"/>
              </w:rPr>
            </w:pPr>
            <w:r w:rsidRPr="003812D7">
              <w:rPr>
                <w:sz w:val="18"/>
                <w:szCs w:val="18"/>
              </w:rPr>
              <w:t>s</w:t>
            </w:r>
            <w:r w:rsidR="00E02A7A" w:rsidRPr="003812D7">
              <w:rPr>
                <w:sz w:val="18"/>
                <w:szCs w:val="18"/>
              </w:rPr>
              <w:t>tructured demonstrations, lectures</w:t>
            </w:r>
            <w:r w:rsidR="00ED7561" w:rsidRPr="003812D7">
              <w:rPr>
                <w:sz w:val="18"/>
                <w:szCs w:val="18"/>
              </w:rPr>
              <w:t>, and/or presentations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1A54248A" w14:textId="77777777" w:rsidR="00081649" w:rsidRPr="003812D7" w:rsidRDefault="00081649" w:rsidP="003812D7">
            <w:pPr>
              <w:pStyle w:val="TableHeading"/>
            </w:pPr>
            <w:r w:rsidRPr="003812D7">
              <w:t>Characteristics</w:t>
            </w:r>
          </w:p>
          <w:p w14:paraId="0100E9B7" w14:textId="014DF3FA" w:rsidR="005C6859" w:rsidRPr="003812D7" w:rsidRDefault="00C017C9" w:rsidP="003812D7">
            <w:pPr>
              <w:pStyle w:val="ListBullet"/>
              <w:rPr>
                <w:sz w:val="18"/>
                <w:szCs w:val="18"/>
              </w:rPr>
            </w:pPr>
            <w:r w:rsidRPr="003812D7">
              <w:rPr>
                <w:sz w:val="18"/>
                <w:szCs w:val="18"/>
              </w:rPr>
              <w:t>s</w:t>
            </w:r>
            <w:r w:rsidR="00420810" w:rsidRPr="003812D7">
              <w:rPr>
                <w:sz w:val="18"/>
                <w:szCs w:val="18"/>
              </w:rPr>
              <w:t>howing something —</w:t>
            </w:r>
            <w:r w:rsidR="00E63929" w:rsidRPr="003812D7">
              <w:rPr>
                <w:sz w:val="18"/>
                <w:szCs w:val="18"/>
              </w:rPr>
              <w:t xml:space="preserve"> for example,</w:t>
            </w:r>
            <w:r w:rsidR="00420810" w:rsidRPr="003812D7">
              <w:rPr>
                <w:sz w:val="18"/>
                <w:szCs w:val="18"/>
              </w:rPr>
              <w:t xml:space="preserve"> ideas, concepts, processes, arguments, </w:t>
            </w:r>
            <w:r w:rsidR="00E63929" w:rsidRPr="003812D7">
              <w:rPr>
                <w:sz w:val="18"/>
                <w:szCs w:val="18"/>
              </w:rPr>
              <w:t>and visualisations.</w:t>
            </w:r>
          </w:p>
          <w:p w14:paraId="5357B60A" w14:textId="6F84C04C" w:rsidR="00E63929" w:rsidRPr="003812D7" w:rsidRDefault="00C017C9" w:rsidP="003812D7">
            <w:pPr>
              <w:pStyle w:val="ListBullet"/>
              <w:rPr>
                <w:sz w:val="18"/>
                <w:szCs w:val="18"/>
              </w:rPr>
            </w:pPr>
            <w:r w:rsidRPr="003812D7">
              <w:rPr>
                <w:sz w:val="18"/>
                <w:szCs w:val="18"/>
              </w:rPr>
              <w:t>w</w:t>
            </w:r>
            <w:r w:rsidR="000B624A" w:rsidRPr="003812D7">
              <w:rPr>
                <w:sz w:val="18"/>
                <w:szCs w:val="18"/>
              </w:rPr>
              <w:t>idely used in scientific disciplines while being applicable to any discipline</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52C70C76" w14:textId="77777777" w:rsidR="00081649" w:rsidRPr="003812D7" w:rsidRDefault="00081649" w:rsidP="003812D7">
            <w:pPr>
              <w:pStyle w:val="TableHeading"/>
            </w:pPr>
            <w:r w:rsidRPr="003812D7">
              <w:t>Characteristics</w:t>
            </w:r>
          </w:p>
          <w:p w14:paraId="2AAEDABF" w14:textId="0B9F0066" w:rsidR="007C57DA" w:rsidRPr="003812D7" w:rsidRDefault="00C017C9" w:rsidP="003812D7">
            <w:pPr>
              <w:pStyle w:val="ListBullet"/>
              <w:rPr>
                <w:sz w:val="18"/>
                <w:szCs w:val="18"/>
              </w:rPr>
            </w:pPr>
            <w:r w:rsidRPr="003812D7">
              <w:rPr>
                <w:sz w:val="18"/>
                <w:szCs w:val="18"/>
              </w:rPr>
              <w:t>l</w:t>
            </w:r>
            <w:r w:rsidR="007C57DA" w:rsidRPr="003812D7">
              <w:rPr>
                <w:sz w:val="18"/>
                <w:szCs w:val="18"/>
              </w:rPr>
              <w:t>earning through experience</w:t>
            </w:r>
          </w:p>
          <w:p w14:paraId="66EF7107" w14:textId="080301B7" w:rsidR="005D0FAC" w:rsidRPr="003812D7" w:rsidRDefault="00C017C9" w:rsidP="003812D7">
            <w:pPr>
              <w:pStyle w:val="ListBullet"/>
              <w:rPr>
                <w:sz w:val="18"/>
                <w:szCs w:val="18"/>
              </w:rPr>
            </w:pPr>
            <w:r w:rsidRPr="003812D7">
              <w:rPr>
                <w:sz w:val="18"/>
                <w:szCs w:val="18"/>
              </w:rPr>
              <w:t>a</w:t>
            </w:r>
            <w:r w:rsidR="005D0FAC" w:rsidRPr="003812D7">
              <w:rPr>
                <w:sz w:val="18"/>
                <w:szCs w:val="18"/>
              </w:rPr>
              <w:t xml:space="preserve">n opportunity to acquire knowledge </w:t>
            </w:r>
            <w:r w:rsidR="00D9188E" w:rsidRPr="003812D7">
              <w:rPr>
                <w:sz w:val="18"/>
                <w:szCs w:val="18"/>
              </w:rPr>
              <w:t>in a practical context</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36B883DD" w14:textId="77777777" w:rsidR="00081649" w:rsidRPr="003812D7" w:rsidRDefault="00081649" w:rsidP="003812D7">
            <w:pPr>
              <w:pStyle w:val="TableHeading"/>
            </w:pPr>
            <w:r w:rsidRPr="003812D7">
              <w:t>Characteristics</w:t>
            </w:r>
          </w:p>
          <w:p w14:paraId="791831A9" w14:textId="064E03A8" w:rsidR="009832A3" w:rsidRPr="003812D7" w:rsidRDefault="00C017C9" w:rsidP="003812D7">
            <w:pPr>
              <w:pStyle w:val="ListBullet"/>
              <w:rPr>
                <w:sz w:val="18"/>
                <w:szCs w:val="18"/>
              </w:rPr>
            </w:pPr>
            <w:r w:rsidRPr="003812D7">
              <w:rPr>
                <w:sz w:val="18"/>
                <w:szCs w:val="18"/>
              </w:rPr>
              <w:t>l</w:t>
            </w:r>
            <w:r w:rsidR="009832A3" w:rsidRPr="003812D7">
              <w:rPr>
                <w:sz w:val="18"/>
                <w:szCs w:val="18"/>
              </w:rPr>
              <w:t>earner autonomy</w:t>
            </w:r>
          </w:p>
          <w:p w14:paraId="2D1FCC4E" w14:textId="62268A8A" w:rsidR="0022079F" w:rsidRPr="003812D7" w:rsidRDefault="00C017C9" w:rsidP="003812D7">
            <w:pPr>
              <w:pStyle w:val="ListBullet"/>
              <w:rPr>
                <w:sz w:val="18"/>
                <w:szCs w:val="18"/>
              </w:rPr>
            </w:pPr>
            <w:r w:rsidRPr="003812D7">
              <w:rPr>
                <w:sz w:val="18"/>
                <w:szCs w:val="18"/>
              </w:rPr>
              <w:t>l</w:t>
            </w:r>
            <w:r w:rsidR="0022079F" w:rsidRPr="003812D7">
              <w:rPr>
                <w:sz w:val="18"/>
                <w:szCs w:val="18"/>
              </w:rPr>
              <w:t>earners able to self-organise, manage their time, solve problems independently</w:t>
            </w:r>
            <w:r w:rsidR="00D107AD" w:rsidRPr="003812D7">
              <w:rPr>
                <w:sz w:val="18"/>
                <w:szCs w:val="18"/>
              </w:rPr>
              <w:t>, and make complex decisions</w:t>
            </w:r>
          </w:p>
          <w:p w14:paraId="0ACFF9C1" w14:textId="0227107D" w:rsidR="00D107AD" w:rsidRPr="003812D7" w:rsidRDefault="00C017C9" w:rsidP="003812D7">
            <w:pPr>
              <w:pStyle w:val="ListBullet"/>
              <w:rPr>
                <w:sz w:val="18"/>
                <w:szCs w:val="18"/>
              </w:rPr>
            </w:pPr>
            <w:r w:rsidRPr="003812D7">
              <w:rPr>
                <w:sz w:val="18"/>
                <w:szCs w:val="18"/>
              </w:rPr>
              <w:t>l</w:t>
            </w:r>
            <w:r w:rsidR="003C324A" w:rsidRPr="003812D7">
              <w:rPr>
                <w:sz w:val="18"/>
                <w:szCs w:val="18"/>
              </w:rPr>
              <w:t>ifelong learning</w:t>
            </w:r>
            <w:r w:rsidRPr="003812D7">
              <w:rPr>
                <w:sz w:val="18"/>
                <w:szCs w:val="18"/>
              </w:rPr>
              <w:t>.</w:t>
            </w:r>
          </w:p>
        </w:tc>
      </w:tr>
      <w:tr w:rsidR="00081649" w:rsidRPr="003812D7" w14:paraId="51051039" w14:textId="77777777" w:rsidTr="00151898">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62CCACB9" w14:textId="69DEE154" w:rsidR="00081649" w:rsidRPr="003812D7" w:rsidRDefault="00A57574" w:rsidP="003812D7">
            <w:pPr>
              <w:pStyle w:val="TableHeading"/>
            </w:pPr>
            <w:r w:rsidRPr="003812D7">
              <w:t>Theory</w:t>
            </w:r>
          </w:p>
          <w:p w14:paraId="4291C1E9" w14:textId="1E651453" w:rsidR="0092651A" w:rsidRPr="003812D7" w:rsidRDefault="00095C5C" w:rsidP="003812D7">
            <w:pPr>
              <w:pStyle w:val="ListBullet"/>
              <w:rPr>
                <w:sz w:val="18"/>
                <w:szCs w:val="18"/>
              </w:rPr>
            </w:pPr>
            <w:r w:rsidRPr="003812D7">
              <w:rPr>
                <w:sz w:val="18"/>
                <w:szCs w:val="18"/>
              </w:rPr>
              <w:t>s</w:t>
            </w:r>
            <w:r w:rsidR="009B671F" w:rsidRPr="003812D7">
              <w:rPr>
                <w:sz w:val="18"/>
                <w:szCs w:val="18"/>
              </w:rPr>
              <w:t>ocio-con</w:t>
            </w:r>
            <w:r w:rsidR="00296ADB" w:rsidRPr="003812D7">
              <w:rPr>
                <w:sz w:val="18"/>
                <w:szCs w:val="18"/>
              </w:rPr>
              <w:t>structivism</w:t>
            </w:r>
            <w:r w:rsidR="00BF59F8" w:rsidRPr="003812D7">
              <w:rPr>
                <w:sz w:val="18"/>
                <w:szCs w:val="18"/>
              </w:rPr>
              <w:t>:</w:t>
            </w:r>
            <w:r w:rsidR="00075235" w:rsidRPr="003812D7">
              <w:rPr>
                <w:sz w:val="18"/>
                <w:szCs w:val="18"/>
              </w:rPr>
              <w:t xml:space="preserve"> </w:t>
            </w:r>
            <w:r w:rsidR="0048322C" w:rsidRPr="003812D7">
              <w:rPr>
                <w:sz w:val="18"/>
                <w:szCs w:val="18"/>
              </w:rPr>
              <w:t xml:space="preserve">learning </w:t>
            </w:r>
            <w:r w:rsidR="0094623A" w:rsidRPr="003812D7">
              <w:rPr>
                <w:sz w:val="18"/>
                <w:szCs w:val="18"/>
              </w:rPr>
              <w:t>occurring on both intra- and inter-psychological planes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681CFED2" w14:textId="5868996E" w:rsidR="00081649" w:rsidRPr="003812D7" w:rsidRDefault="00A57574" w:rsidP="003812D7">
            <w:pPr>
              <w:pStyle w:val="TableHeading"/>
            </w:pPr>
            <w:r w:rsidRPr="003812D7">
              <w:t>Theory</w:t>
            </w:r>
          </w:p>
          <w:p w14:paraId="6CC8EAC6" w14:textId="1111775D" w:rsidR="00835277" w:rsidRPr="003812D7" w:rsidRDefault="00095C5C" w:rsidP="003812D7">
            <w:pPr>
              <w:pStyle w:val="ListBullet"/>
              <w:rPr>
                <w:sz w:val="18"/>
                <w:szCs w:val="18"/>
              </w:rPr>
            </w:pPr>
            <w:r w:rsidRPr="003812D7">
              <w:rPr>
                <w:sz w:val="18"/>
                <w:szCs w:val="18"/>
              </w:rPr>
              <w:t>s</w:t>
            </w:r>
            <w:r w:rsidR="00202D33" w:rsidRPr="003812D7">
              <w:rPr>
                <w:sz w:val="18"/>
                <w:szCs w:val="18"/>
              </w:rPr>
              <w:t>ocio-constructivism</w:t>
            </w:r>
            <w:r w:rsidR="000A4153" w:rsidRPr="003812D7">
              <w:rPr>
                <w:sz w:val="18"/>
                <w:szCs w:val="18"/>
              </w:rPr>
              <w:t xml:space="preserve">: </w:t>
            </w:r>
            <w:r w:rsidR="0019155B" w:rsidRPr="003812D7">
              <w:rPr>
                <w:sz w:val="18"/>
                <w:szCs w:val="18"/>
              </w:rPr>
              <w:t xml:space="preserve">cognitive processes </w:t>
            </w:r>
            <w:r w:rsidR="00403873" w:rsidRPr="003812D7">
              <w:rPr>
                <w:sz w:val="18"/>
                <w:szCs w:val="18"/>
              </w:rPr>
              <w:t>externalised through discussion, later internalised</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10E23623" w14:textId="2ECF31F9" w:rsidR="00081649" w:rsidRPr="003812D7" w:rsidRDefault="00A57574" w:rsidP="003812D7">
            <w:pPr>
              <w:pStyle w:val="TableHeading"/>
            </w:pPr>
            <w:r w:rsidRPr="003812D7">
              <w:t>Theory</w:t>
            </w:r>
          </w:p>
          <w:p w14:paraId="1D8D85CA" w14:textId="6EEA552A" w:rsidR="008D6166" w:rsidRPr="003812D7" w:rsidRDefault="00223099" w:rsidP="003812D7">
            <w:pPr>
              <w:pStyle w:val="ListBullet"/>
              <w:rPr>
                <w:sz w:val="18"/>
                <w:szCs w:val="18"/>
              </w:rPr>
            </w:pPr>
            <w:r w:rsidRPr="003812D7">
              <w:rPr>
                <w:sz w:val="18"/>
                <w:szCs w:val="18"/>
              </w:rPr>
              <w:t>s</w:t>
            </w:r>
            <w:r w:rsidR="008D6166" w:rsidRPr="003812D7">
              <w:rPr>
                <w:sz w:val="18"/>
                <w:szCs w:val="18"/>
              </w:rPr>
              <w:t xml:space="preserve">ocio-constructivism: </w:t>
            </w:r>
            <w:r w:rsidR="0034580A" w:rsidRPr="003812D7">
              <w:rPr>
                <w:sz w:val="18"/>
                <w:szCs w:val="18"/>
              </w:rPr>
              <w:t>developing the learner’s zone of proximal development (ZPD)</w:t>
            </w:r>
          </w:p>
          <w:p w14:paraId="72E393AE" w14:textId="6F5987AD" w:rsidR="001911F0" w:rsidRPr="003812D7" w:rsidRDefault="00223099" w:rsidP="003812D7">
            <w:pPr>
              <w:pStyle w:val="ListBullet"/>
              <w:rPr>
                <w:sz w:val="18"/>
                <w:szCs w:val="18"/>
              </w:rPr>
            </w:pPr>
            <w:r w:rsidRPr="003812D7">
              <w:rPr>
                <w:sz w:val="18"/>
                <w:szCs w:val="18"/>
              </w:rPr>
              <w:t>p</w:t>
            </w:r>
            <w:r w:rsidR="00EA0420" w:rsidRPr="003812D7">
              <w:rPr>
                <w:sz w:val="18"/>
                <w:szCs w:val="18"/>
              </w:rPr>
              <w:t xml:space="preserve">ragmatism: </w:t>
            </w:r>
            <w:r w:rsidR="007959E6" w:rsidRPr="003812D7">
              <w:rPr>
                <w:sz w:val="18"/>
                <w:szCs w:val="18"/>
              </w:rPr>
              <w:t>presence, description, analysis, and intelligent action</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6CC663BA" w14:textId="77777777" w:rsidR="00081649" w:rsidRPr="003812D7" w:rsidRDefault="00A57574" w:rsidP="003812D7">
            <w:pPr>
              <w:pStyle w:val="TableHeading"/>
            </w:pPr>
            <w:r w:rsidRPr="003812D7">
              <w:t>Theory</w:t>
            </w:r>
          </w:p>
          <w:p w14:paraId="1FA56DD4" w14:textId="72251139" w:rsidR="004B0DA9" w:rsidRPr="003812D7" w:rsidRDefault="00223099" w:rsidP="003812D7">
            <w:pPr>
              <w:pStyle w:val="ListBullet"/>
              <w:rPr>
                <w:sz w:val="18"/>
                <w:szCs w:val="18"/>
              </w:rPr>
            </w:pPr>
            <w:r w:rsidRPr="003812D7">
              <w:rPr>
                <w:sz w:val="18"/>
                <w:szCs w:val="18"/>
              </w:rPr>
              <w:t>c</w:t>
            </w:r>
            <w:r w:rsidR="004B0DA9" w:rsidRPr="003812D7">
              <w:rPr>
                <w:sz w:val="18"/>
                <w:szCs w:val="18"/>
              </w:rPr>
              <w:t xml:space="preserve">onstructivism: </w:t>
            </w:r>
            <w:r w:rsidR="0041466A" w:rsidRPr="003812D7">
              <w:rPr>
                <w:sz w:val="18"/>
                <w:szCs w:val="18"/>
              </w:rPr>
              <w:t xml:space="preserve">understanding </w:t>
            </w:r>
            <w:r w:rsidR="004B0DA9" w:rsidRPr="003812D7">
              <w:rPr>
                <w:sz w:val="18"/>
                <w:szCs w:val="18"/>
              </w:rPr>
              <w:t xml:space="preserve">stages of cognitive development </w:t>
            </w:r>
            <w:r w:rsidR="0041466A" w:rsidRPr="003812D7">
              <w:rPr>
                <w:sz w:val="18"/>
                <w:szCs w:val="18"/>
              </w:rPr>
              <w:t xml:space="preserve">and designing </w:t>
            </w:r>
            <w:r w:rsidR="00CB3FA4" w:rsidRPr="003812D7">
              <w:rPr>
                <w:sz w:val="18"/>
                <w:szCs w:val="18"/>
              </w:rPr>
              <w:t xml:space="preserve">learning </w:t>
            </w:r>
            <w:r w:rsidR="00522001" w:rsidRPr="003812D7">
              <w:rPr>
                <w:sz w:val="18"/>
                <w:szCs w:val="18"/>
              </w:rPr>
              <w:t>to suit the learner’s stage</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361A193E" w14:textId="77777777" w:rsidR="00081649" w:rsidRPr="003812D7" w:rsidRDefault="00A57574" w:rsidP="003812D7">
            <w:pPr>
              <w:pStyle w:val="TableHeading"/>
            </w:pPr>
            <w:r w:rsidRPr="003812D7">
              <w:t>Theory</w:t>
            </w:r>
          </w:p>
          <w:p w14:paraId="28731BFC" w14:textId="34B1742E" w:rsidR="00BD3109" w:rsidRPr="003812D7" w:rsidRDefault="00C017C9" w:rsidP="003812D7">
            <w:pPr>
              <w:pStyle w:val="ListBullet"/>
              <w:rPr>
                <w:sz w:val="18"/>
                <w:szCs w:val="18"/>
              </w:rPr>
            </w:pPr>
            <w:r w:rsidRPr="003812D7">
              <w:rPr>
                <w:sz w:val="18"/>
                <w:szCs w:val="18"/>
              </w:rPr>
              <w:t>c</w:t>
            </w:r>
            <w:r w:rsidR="009735A6" w:rsidRPr="003812D7">
              <w:rPr>
                <w:sz w:val="18"/>
                <w:szCs w:val="18"/>
              </w:rPr>
              <w:t>ognitivism:</w:t>
            </w:r>
            <w:r w:rsidR="007158FF" w:rsidRPr="003812D7">
              <w:rPr>
                <w:sz w:val="18"/>
                <w:szCs w:val="18"/>
              </w:rPr>
              <w:t xml:space="preserve"> understanding and leveraging the science of long-term memory</w:t>
            </w:r>
            <w:r w:rsidR="00BC4439" w:rsidRPr="003812D7">
              <w:rPr>
                <w:sz w:val="18"/>
                <w:szCs w:val="18"/>
              </w:rPr>
              <w:t>; if long term memory has not been altered, learning has not occurred</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47488B03" w14:textId="77777777" w:rsidR="00081649" w:rsidRPr="003812D7" w:rsidRDefault="00A57574" w:rsidP="003812D7">
            <w:pPr>
              <w:pStyle w:val="TableHeading"/>
            </w:pPr>
            <w:r w:rsidRPr="003812D7">
              <w:t>Theory</w:t>
            </w:r>
          </w:p>
          <w:p w14:paraId="63054E56" w14:textId="33EBDCF3" w:rsidR="002526D3" w:rsidRPr="003812D7" w:rsidRDefault="00C017C9" w:rsidP="003812D7">
            <w:pPr>
              <w:pStyle w:val="ListBullet"/>
              <w:rPr>
                <w:sz w:val="18"/>
                <w:szCs w:val="18"/>
              </w:rPr>
            </w:pPr>
            <w:r w:rsidRPr="003812D7">
              <w:rPr>
                <w:sz w:val="18"/>
                <w:szCs w:val="18"/>
              </w:rPr>
              <w:t>c</w:t>
            </w:r>
            <w:r w:rsidR="002526D3" w:rsidRPr="003812D7">
              <w:rPr>
                <w:sz w:val="18"/>
                <w:szCs w:val="18"/>
              </w:rPr>
              <w:t xml:space="preserve">onstructivism: </w:t>
            </w:r>
            <w:r w:rsidR="00D7057C" w:rsidRPr="003812D7">
              <w:rPr>
                <w:sz w:val="18"/>
                <w:szCs w:val="18"/>
              </w:rPr>
              <w:t xml:space="preserve">instruction carefully tailored to </w:t>
            </w:r>
            <w:r w:rsidR="006979E9" w:rsidRPr="003812D7">
              <w:rPr>
                <w:sz w:val="18"/>
                <w:szCs w:val="18"/>
              </w:rPr>
              <w:t>the learner’s cognitive stage to help them grasp difficult concepts</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193D406C" w14:textId="77777777" w:rsidR="00081649" w:rsidRPr="003812D7" w:rsidRDefault="00A57574" w:rsidP="003812D7">
            <w:pPr>
              <w:pStyle w:val="TableHeading"/>
            </w:pPr>
            <w:r w:rsidRPr="003812D7">
              <w:t>Theory</w:t>
            </w:r>
          </w:p>
          <w:p w14:paraId="790E3551" w14:textId="305A7EF3" w:rsidR="00FD4A10" w:rsidRPr="003812D7" w:rsidRDefault="00C017C9" w:rsidP="003812D7">
            <w:pPr>
              <w:pStyle w:val="ListBullet"/>
              <w:rPr>
                <w:sz w:val="18"/>
                <w:szCs w:val="18"/>
              </w:rPr>
            </w:pPr>
            <w:r w:rsidRPr="003812D7">
              <w:rPr>
                <w:sz w:val="18"/>
                <w:szCs w:val="18"/>
              </w:rPr>
              <w:t>c</w:t>
            </w:r>
            <w:r w:rsidR="00FD4A10" w:rsidRPr="003812D7">
              <w:rPr>
                <w:sz w:val="18"/>
                <w:szCs w:val="18"/>
              </w:rPr>
              <w:t xml:space="preserve">ognitivism: </w:t>
            </w:r>
            <w:r w:rsidR="003913C1" w:rsidRPr="003812D7">
              <w:rPr>
                <w:sz w:val="18"/>
                <w:szCs w:val="18"/>
              </w:rPr>
              <w:t xml:space="preserve">behaviour as a function of </w:t>
            </w:r>
            <w:r w:rsidR="00413E53" w:rsidRPr="003812D7">
              <w:rPr>
                <w:sz w:val="18"/>
                <w:szCs w:val="18"/>
              </w:rPr>
              <w:t xml:space="preserve">the field that exists at the time behaviour </w:t>
            </w:r>
            <w:r w:rsidR="00816C9B" w:rsidRPr="003812D7">
              <w:rPr>
                <w:sz w:val="18"/>
                <w:szCs w:val="18"/>
              </w:rPr>
              <w:t xml:space="preserve">occurs </w:t>
            </w:r>
          </w:p>
          <w:p w14:paraId="5D9B377F" w14:textId="65B00F7D" w:rsidR="00816C9B" w:rsidRPr="003812D7" w:rsidRDefault="00C017C9" w:rsidP="003812D7">
            <w:pPr>
              <w:pStyle w:val="ListBullet"/>
              <w:rPr>
                <w:sz w:val="18"/>
                <w:szCs w:val="18"/>
              </w:rPr>
            </w:pPr>
            <w:r w:rsidRPr="003812D7">
              <w:rPr>
                <w:sz w:val="18"/>
                <w:szCs w:val="18"/>
              </w:rPr>
              <w:t>p</w:t>
            </w:r>
            <w:r w:rsidR="00816C9B" w:rsidRPr="003812D7">
              <w:rPr>
                <w:sz w:val="18"/>
                <w:szCs w:val="18"/>
              </w:rPr>
              <w:t xml:space="preserve">ragmatism: </w:t>
            </w:r>
            <w:r w:rsidR="00F93278" w:rsidRPr="003812D7">
              <w:rPr>
                <w:sz w:val="18"/>
                <w:szCs w:val="18"/>
              </w:rPr>
              <w:t>knowledge as adaptive response to the environment</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32AF3C24" w14:textId="77777777" w:rsidR="00081649" w:rsidRPr="003812D7" w:rsidRDefault="00A57574" w:rsidP="003812D7">
            <w:pPr>
              <w:pStyle w:val="TableHeading"/>
            </w:pPr>
            <w:r w:rsidRPr="003812D7">
              <w:t>Theory</w:t>
            </w:r>
          </w:p>
          <w:p w14:paraId="60CC5D9E" w14:textId="15D6EE3F" w:rsidR="00561457" w:rsidRPr="003812D7" w:rsidRDefault="00C017C9" w:rsidP="003812D7">
            <w:pPr>
              <w:pStyle w:val="ListBullet"/>
              <w:rPr>
                <w:sz w:val="18"/>
                <w:szCs w:val="18"/>
              </w:rPr>
            </w:pPr>
            <w:r w:rsidRPr="003812D7">
              <w:rPr>
                <w:sz w:val="18"/>
                <w:szCs w:val="18"/>
              </w:rPr>
              <w:t>c</w:t>
            </w:r>
            <w:r w:rsidR="00561457" w:rsidRPr="003812D7">
              <w:rPr>
                <w:sz w:val="18"/>
                <w:szCs w:val="18"/>
              </w:rPr>
              <w:t xml:space="preserve">onstructivism: </w:t>
            </w:r>
            <w:r w:rsidR="007B45C7" w:rsidRPr="003812D7">
              <w:rPr>
                <w:sz w:val="18"/>
                <w:szCs w:val="18"/>
              </w:rPr>
              <w:t>student-centred learning</w:t>
            </w:r>
            <w:r w:rsidR="00BF6E6E" w:rsidRPr="003812D7">
              <w:rPr>
                <w:sz w:val="18"/>
                <w:szCs w:val="18"/>
              </w:rPr>
              <w:t>; learner-led inquiry</w:t>
            </w:r>
          </w:p>
          <w:p w14:paraId="29421ED4" w14:textId="2CE02FDF" w:rsidR="009B4330" w:rsidRPr="003812D7" w:rsidRDefault="00C017C9" w:rsidP="003812D7">
            <w:pPr>
              <w:pStyle w:val="ListBullet"/>
              <w:rPr>
                <w:sz w:val="18"/>
                <w:szCs w:val="18"/>
              </w:rPr>
            </w:pPr>
            <w:r w:rsidRPr="003812D7">
              <w:rPr>
                <w:sz w:val="18"/>
                <w:szCs w:val="18"/>
              </w:rPr>
              <w:t>c</w:t>
            </w:r>
            <w:r w:rsidR="009B4330" w:rsidRPr="003812D7">
              <w:rPr>
                <w:sz w:val="18"/>
                <w:szCs w:val="18"/>
              </w:rPr>
              <w:t xml:space="preserve">hoice theory: </w:t>
            </w:r>
            <w:r w:rsidR="002E396E" w:rsidRPr="003812D7">
              <w:rPr>
                <w:sz w:val="18"/>
                <w:szCs w:val="18"/>
              </w:rPr>
              <w:t>avoidance of coercive curriculum</w:t>
            </w:r>
            <w:r w:rsidRPr="003812D7">
              <w:rPr>
                <w:sz w:val="18"/>
                <w:szCs w:val="18"/>
              </w:rPr>
              <w:t>.</w:t>
            </w:r>
          </w:p>
          <w:p w14:paraId="26ACDF73" w14:textId="37D95FEF" w:rsidR="00A60902" w:rsidRPr="003812D7" w:rsidRDefault="00A60902" w:rsidP="003812D7">
            <w:pPr>
              <w:pStyle w:val="Tablebullet"/>
              <w:rPr>
                <w:sz w:val="18"/>
                <w:szCs w:val="18"/>
              </w:rPr>
            </w:pPr>
          </w:p>
        </w:tc>
      </w:tr>
      <w:tr w:rsidR="00A3750A" w:rsidRPr="003812D7" w14:paraId="6E0CFEBC" w14:textId="77777777" w:rsidTr="00151898">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124AC072" w14:textId="77777777" w:rsidR="00A3750A" w:rsidRPr="003812D7" w:rsidRDefault="00A3750A" w:rsidP="003812D7">
            <w:pPr>
              <w:pStyle w:val="TableHeading"/>
            </w:pPr>
            <w:r w:rsidRPr="003812D7">
              <w:t>Future Work Skills</w:t>
            </w:r>
          </w:p>
          <w:p w14:paraId="1B2B957E" w14:textId="1B427301" w:rsidR="00A3750A" w:rsidRPr="003812D7" w:rsidRDefault="00095C5C" w:rsidP="003812D7">
            <w:pPr>
              <w:pStyle w:val="ListBullet"/>
              <w:rPr>
                <w:sz w:val="18"/>
                <w:szCs w:val="18"/>
              </w:rPr>
            </w:pPr>
            <w:r w:rsidRPr="003812D7">
              <w:rPr>
                <w:sz w:val="18"/>
                <w:szCs w:val="18"/>
              </w:rPr>
              <w:t>v</w:t>
            </w:r>
            <w:r w:rsidR="00511412" w:rsidRPr="003812D7">
              <w:rPr>
                <w:sz w:val="18"/>
                <w:szCs w:val="18"/>
              </w:rPr>
              <w:t>irtual collaboration</w:t>
            </w:r>
            <w:r w:rsidR="00B25174" w:rsidRPr="003812D7">
              <w:rPr>
                <w:sz w:val="18"/>
                <w:szCs w:val="18"/>
              </w:rPr>
              <w:t xml:space="preserve"> across </w:t>
            </w:r>
            <w:r w:rsidR="00952737" w:rsidRPr="003812D7">
              <w:rPr>
                <w:sz w:val="18"/>
                <w:szCs w:val="18"/>
              </w:rPr>
              <w:t xml:space="preserve">distances </w:t>
            </w:r>
            <w:r w:rsidR="00FF6881" w:rsidRPr="003812D7">
              <w:rPr>
                <w:sz w:val="18"/>
                <w:szCs w:val="18"/>
              </w:rPr>
              <w:t>and between larger groups</w:t>
            </w:r>
          </w:p>
          <w:p w14:paraId="4759B494" w14:textId="20E5F26F" w:rsidR="00572EC4" w:rsidRPr="003812D7" w:rsidRDefault="00095C5C" w:rsidP="003812D7">
            <w:pPr>
              <w:pStyle w:val="ListBullet"/>
              <w:rPr>
                <w:sz w:val="18"/>
                <w:szCs w:val="18"/>
              </w:rPr>
            </w:pPr>
            <w:r w:rsidRPr="003812D7">
              <w:rPr>
                <w:sz w:val="18"/>
                <w:szCs w:val="18"/>
              </w:rPr>
              <w:t>s</w:t>
            </w:r>
            <w:r w:rsidR="00F83E65" w:rsidRPr="003812D7">
              <w:rPr>
                <w:sz w:val="18"/>
                <w:szCs w:val="18"/>
              </w:rPr>
              <w:t>ocial intelligence</w:t>
            </w:r>
            <w:r w:rsidR="0049148A" w:rsidRPr="003812D7">
              <w:rPr>
                <w:sz w:val="18"/>
                <w:szCs w:val="18"/>
              </w:rPr>
              <w:t>:</w:t>
            </w:r>
            <w:r w:rsidR="00937E02" w:rsidRPr="003812D7">
              <w:rPr>
                <w:sz w:val="18"/>
                <w:szCs w:val="18"/>
              </w:rPr>
              <w:t xml:space="preserve"> ability to read emotions and adapt </w:t>
            </w:r>
            <w:r w:rsidR="00C82C8A" w:rsidRPr="003812D7">
              <w:rPr>
                <w:sz w:val="18"/>
                <w:szCs w:val="18"/>
              </w:rPr>
              <w:t>tone, gesture, and actions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49A67F12" w14:textId="2657E622" w:rsidR="00A3750A" w:rsidRPr="003812D7" w:rsidRDefault="00A3750A" w:rsidP="003812D7">
            <w:pPr>
              <w:pStyle w:val="TableHeading"/>
            </w:pPr>
            <w:r w:rsidRPr="003812D7">
              <w:t>Future Work Skills</w:t>
            </w:r>
          </w:p>
          <w:p w14:paraId="23D1A243" w14:textId="7BE0D503" w:rsidR="00A3750A" w:rsidRPr="003812D7" w:rsidRDefault="00095C5C" w:rsidP="003812D7">
            <w:pPr>
              <w:pStyle w:val="ListBullet"/>
              <w:rPr>
                <w:sz w:val="18"/>
                <w:szCs w:val="18"/>
              </w:rPr>
            </w:pPr>
            <w:r w:rsidRPr="003812D7">
              <w:rPr>
                <w:sz w:val="18"/>
                <w:szCs w:val="18"/>
              </w:rPr>
              <w:t>c</w:t>
            </w:r>
            <w:r w:rsidR="008437C6" w:rsidRPr="003812D7">
              <w:rPr>
                <w:sz w:val="18"/>
                <w:szCs w:val="18"/>
              </w:rPr>
              <w:t>ritical thinking</w:t>
            </w:r>
            <w:r w:rsidR="00BD3A3C" w:rsidRPr="003812D7">
              <w:rPr>
                <w:sz w:val="18"/>
                <w:szCs w:val="18"/>
              </w:rPr>
              <w:t xml:space="preserve"> and problem solving</w:t>
            </w:r>
          </w:p>
          <w:p w14:paraId="57716CF4" w14:textId="4FE68EFD" w:rsidR="008B2564" w:rsidRPr="003812D7" w:rsidRDefault="00095C5C" w:rsidP="003812D7">
            <w:pPr>
              <w:pStyle w:val="ListBullet"/>
              <w:rPr>
                <w:sz w:val="18"/>
                <w:szCs w:val="18"/>
              </w:rPr>
            </w:pPr>
            <w:r w:rsidRPr="003812D7">
              <w:rPr>
                <w:sz w:val="18"/>
                <w:szCs w:val="18"/>
              </w:rPr>
              <w:t>s</w:t>
            </w:r>
            <w:r w:rsidR="003366EC" w:rsidRPr="003812D7">
              <w:rPr>
                <w:sz w:val="18"/>
                <w:szCs w:val="18"/>
              </w:rPr>
              <w:t xml:space="preserve">ense-making </w:t>
            </w:r>
            <w:r w:rsidR="008B2564" w:rsidRPr="003812D7">
              <w:rPr>
                <w:sz w:val="18"/>
                <w:szCs w:val="18"/>
              </w:rPr>
              <w:t>to determine deeper meaning</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76AC643F" w14:textId="77777777" w:rsidR="00A3750A" w:rsidRPr="003812D7" w:rsidRDefault="00A3750A" w:rsidP="003812D7">
            <w:pPr>
              <w:pStyle w:val="TableHeading"/>
            </w:pPr>
            <w:r w:rsidRPr="003812D7">
              <w:t>Future Work Skills</w:t>
            </w:r>
          </w:p>
          <w:p w14:paraId="3C3BC1F4" w14:textId="7B5A3EDE" w:rsidR="00A3750A" w:rsidRPr="003812D7" w:rsidRDefault="00223099" w:rsidP="003812D7">
            <w:pPr>
              <w:pStyle w:val="ListBullet"/>
              <w:rPr>
                <w:sz w:val="18"/>
                <w:szCs w:val="18"/>
              </w:rPr>
            </w:pPr>
            <w:r w:rsidRPr="003812D7">
              <w:rPr>
                <w:sz w:val="18"/>
                <w:szCs w:val="18"/>
              </w:rPr>
              <w:t>p</w:t>
            </w:r>
            <w:r w:rsidR="003F69C1" w:rsidRPr="003812D7">
              <w:rPr>
                <w:sz w:val="18"/>
                <w:szCs w:val="18"/>
              </w:rPr>
              <w:t xml:space="preserve">rioritising feedback and reflection in </w:t>
            </w:r>
            <w:r w:rsidR="00390DD3" w:rsidRPr="003812D7">
              <w:rPr>
                <w:sz w:val="18"/>
                <w:szCs w:val="18"/>
              </w:rPr>
              <w:t>team meetings</w:t>
            </w:r>
          </w:p>
          <w:p w14:paraId="356DA8A7" w14:textId="0BCE945D" w:rsidR="00390DD3" w:rsidRPr="003812D7" w:rsidRDefault="00223099" w:rsidP="003812D7">
            <w:pPr>
              <w:pStyle w:val="ListBullet"/>
              <w:rPr>
                <w:sz w:val="18"/>
                <w:szCs w:val="18"/>
              </w:rPr>
            </w:pPr>
            <w:r w:rsidRPr="003812D7">
              <w:rPr>
                <w:sz w:val="18"/>
                <w:szCs w:val="18"/>
              </w:rPr>
              <w:t>a</w:t>
            </w:r>
            <w:r w:rsidR="00FA1DC8" w:rsidRPr="003812D7">
              <w:rPr>
                <w:sz w:val="18"/>
                <w:szCs w:val="18"/>
              </w:rPr>
              <w:t>bility to take critical stance</w:t>
            </w:r>
            <w:r w:rsidR="00070C5E" w:rsidRPr="003812D7">
              <w:rPr>
                <w:sz w:val="18"/>
                <w:szCs w:val="18"/>
              </w:rPr>
              <w:t>, step back from what is known, see problems differently</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4E8EAFCF" w14:textId="77777777" w:rsidR="00A3750A" w:rsidRPr="003812D7" w:rsidRDefault="00A3750A" w:rsidP="003812D7">
            <w:pPr>
              <w:pStyle w:val="TableHeading"/>
            </w:pPr>
            <w:r w:rsidRPr="003812D7">
              <w:t>Future Work Skills</w:t>
            </w:r>
          </w:p>
          <w:p w14:paraId="46DD56F0" w14:textId="4CC7DE30" w:rsidR="00A3750A" w:rsidRPr="003812D7" w:rsidRDefault="00223099" w:rsidP="003812D7">
            <w:pPr>
              <w:pStyle w:val="ListBullet"/>
              <w:rPr>
                <w:sz w:val="18"/>
                <w:szCs w:val="18"/>
              </w:rPr>
            </w:pPr>
            <w:r w:rsidRPr="003812D7">
              <w:rPr>
                <w:sz w:val="18"/>
                <w:szCs w:val="18"/>
              </w:rPr>
              <w:t>a</w:t>
            </w:r>
            <w:r w:rsidR="00947943" w:rsidRPr="003812D7">
              <w:rPr>
                <w:sz w:val="18"/>
                <w:szCs w:val="18"/>
              </w:rPr>
              <w:t>bility to use big data, algorithms, and other systems to guide thinking</w:t>
            </w:r>
          </w:p>
          <w:p w14:paraId="4AEBEA9B" w14:textId="7B7045BD" w:rsidR="00947943" w:rsidRPr="003812D7" w:rsidRDefault="00223099" w:rsidP="003812D7">
            <w:pPr>
              <w:pStyle w:val="ListBullet"/>
              <w:rPr>
                <w:sz w:val="18"/>
                <w:szCs w:val="18"/>
              </w:rPr>
            </w:pPr>
            <w:r w:rsidRPr="003812D7">
              <w:rPr>
                <w:sz w:val="18"/>
                <w:szCs w:val="18"/>
              </w:rPr>
              <w:t>m</w:t>
            </w:r>
            <w:r w:rsidR="00E84638" w:rsidRPr="003812D7">
              <w:rPr>
                <w:sz w:val="18"/>
                <w:szCs w:val="18"/>
              </w:rPr>
              <w:t xml:space="preserve">aintaining quality relationships with colleagues </w:t>
            </w:r>
            <w:r w:rsidR="003703EC" w:rsidRPr="003812D7">
              <w:rPr>
                <w:sz w:val="18"/>
                <w:szCs w:val="18"/>
              </w:rPr>
              <w:t>through close interactions</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52FB79D4" w14:textId="77777777" w:rsidR="00A3750A" w:rsidRPr="003812D7" w:rsidRDefault="00A3750A" w:rsidP="003812D7">
            <w:pPr>
              <w:pStyle w:val="TableHeading"/>
            </w:pPr>
            <w:r w:rsidRPr="003812D7">
              <w:t>Future Work Skills</w:t>
            </w:r>
          </w:p>
          <w:p w14:paraId="6C3DA22B" w14:textId="4D18514B" w:rsidR="00A3750A" w:rsidRPr="003812D7" w:rsidRDefault="00C017C9" w:rsidP="003812D7">
            <w:pPr>
              <w:pStyle w:val="ListBullet"/>
              <w:rPr>
                <w:sz w:val="18"/>
                <w:szCs w:val="18"/>
              </w:rPr>
            </w:pPr>
            <w:r w:rsidRPr="003812D7">
              <w:rPr>
                <w:sz w:val="18"/>
                <w:szCs w:val="18"/>
              </w:rPr>
              <w:t>a</w:t>
            </w:r>
            <w:r w:rsidR="00A558F1" w:rsidRPr="003812D7">
              <w:rPr>
                <w:sz w:val="18"/>
                <w:szCs w:val="18"/>
              </w:rPr>
              <w:t xml:space="preserve">bility to engage </w:t>
            </w:r>
            <w:r w:rsidR="00AC7E6F" w:rsidRPr="003812D7">
              <w:rPr>
                <w:sz w:val="18"/>
                <w:szCs w:val="18"/>
              </w:rPr>
              <w:t>and persuade audiences</w:t>
            </w:r>
          </w:p>
          <w:p w14:paraId="57941147" w14:textId="39685ACC" w:rsidR="00AC7E6F" w:rsidRPr="003812D7" w:rsidRDefault="00C017C9" w:rsidP="003812D7">
            <w:pPr>
              <w:pStyle w:val="ListBullet"/>
              <w:rPr>
                <w:sz w:val="18"/>
                <w:szCs w:val="18"/>
              </w:rPr>
            </w:pPr>
            <w:r w:rsidRPr="003812D7">
              <w:rPr>
                <w:sz w:val="18"/>
                <w:szCs w:val="18"/>
              </w:rPr>
              <w:t>s</w:t>
            </w:r>
            <w:r w:rsidR="000C63D2" w:rsidRPr="003812D7">
              <w:rPr>
                <w:sz w:val="18"/>
                <w:szCs w:val="18"/>
              </w:rPr>
              <w:t>trong written and verbal communication</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147DADDC" w14:textId="77777777" w:rsidR="00A3750A" w:rsidRPr="003812D7" w:rsidRDefault="00A3750A" w:rsidP="003812D7">
            <w:pPr>
              <w:pStyle w:val="TableHeading"/>
            </w:pPr>
            <w:r w:rsidRPr="003812D7">
              <w:t>Future Work Skills</w:t>
            </w:r>
          </w:p>
          <w:p w14:paraId="6667A9E1" w14:textId="6F374E35" w:rsidR="00F42388" w:rsidRPr="003812D7" w:rsidRDefault="00C017C9" w:rsidP="003812D7">
            <w:pPr>
              <w:pStyle w:val="ListBullet"/>
              <w:rPr>
                <w:sz w:val="18"/>
                <w:szCs w:val="18"/>
              </w:rPr>
            </w:pPr>
            <w:r w:rsidRPr="003812D7">
              <w:rPr>
                <w:sz w:val="18"/>
                <w:szCs w:val="18"/>
              </w:rPr>
              <w:t>a</w:t>
            </w:r>
            <w:r w:rsidR="0003241F" w:rsidRPr="003812D7">
              <w:rPr>
                <w:sz w:val="18"/>
                <w:szCs w:val="18"/>
              </w:rPr>
              <w:t xml:space="preserve">bility to consult, </w:t>
            </w:r>
            <w:r w:rsidR="00D6240C" w:rsidRPr="003812D7">
              <w:rPr>
                <w:sz w:val="18"/>
                <w:szCs w:val="18"/>
              </w:rPr>
              <w:t xml:space="preserve">interpret information for others, </w:t>
            </w:r>
            <w:r w:rsidR="00F42388" w:rsidRPr="003812D7">
              <w:rPr>
                <w:sz w:val="18"/>
                <w:szCs w:val="18"/>
              </w:rPr>
              <w:t>explain, and reason</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34837D5B" w14:textId="77777777" w:rsidR="00A3750A" w:rsidRPr="003812D7" w:rsidRDefault="00A3750A" w:rsidP="003812D7">
            <w:pPr>
              <w:pStyle w:val="TableHeading"/>
            </w:pPr>
            <w:r w:rsidRPr="003812D7">
              <w:t>Future Work Skills</w:t>
            </w:r>
          </w:p>
          <w:p w14:paraId="38059755" w14:textId="2B6C14DC" w:rsidR="00A3750A" w:rsidRPr="003812D7" w:rsidRDefault="00C017C9" w:rsidP="003812D7">
            <w:pPr>
              <w:pStyle w:val="ListBullet"/>
              <w:rPr>
                <w:sz w:val="18"/>
                <w:szCs w:val="18"/>
              </w:rPr>
            </w:pPr>
            <w:r w:rsidRPr="003812D7">
              <w:rPr>
                <w:sz w:val="18"/>
                <w:szCs w:val="18"/>
              </w:rPr>
              <w:t>a</w:t>
            </w:r>
            <w:r w:rsidR="000E6C19" w:rsidRPr="003812D7">
              <w:rPr>
                <w:sz w:val="18"/>
                <w:szCs w:val="18"/>
              </w:rPr>
              <w:t>bility to learn</w:t>
            </w:r>
            <w:r w:rsidR="006D0055" w:rsidRPr="003812D7">
              <w:rPr>
                <w:sz w:val="18"/>
                <w:szCs w:val="18"/>
              </w:rPr>
              <w:t xml:space="preserve"> continuously</w:t>
            </w:r>
            <w:r w:rsidR="000E6C19" w:rsidRPr="003812D7">
              <w:rPr>
                <w:sz w:val="18"/>
                <w:szCs w:val="18"/>
              </w:rPr>
              <w:t xml:space="preserve"> on the job</w:t>
            </w:r>
          </w:p>
          <w:p w14:paraId="31ED1BD1" w14:textId="01825A19" w:rsidR="00F03680" w:rsidRPr="003812D7" w:rsidRDefault="00C017C9" w:rsidP="003812D7">
            <w:pPr>
              <w:pStyle w:val="ListBullet"/>
              <w:rPr>
                <w:sz w:val="18"/>
                <w:szCs w:val="18"/>
              </w:rPr>
            </w:pPr>
            <w:r w:rsidRPr="003812D7">
              <w:rPr>
                <w:sz w:val="18"/>
                <w:szCs w:val="18"/>
              </w:rPr>
              <w:t>a</w:t>
            </w:r>
            <w:r w:rsidR="0018714C" w:rsidRPr="003812D7">
              <w:rPr>
                <w:sz w:val="18"/>
                <w:szCs w:val="18"/>
              </w:rPr>
              <w:t>bility to navigate uncertainty</w:t>
            </w:r>
            <w:r w:rsidR="00F03680" w:rsidRPr="003812D7">
              <w:rPr>
                <w:sz w:val="18"/>
                <w:szCs w:val="18"/>
              </w:rPr>
              <w:t>, situational adaptability</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336CDAE2" w14:textId="77777777" w:rsidR="00A3750A" w:rsidRPr="003812D7" w:rsidRDefault="00A3750A" w:rsidP="003812D7">
            <w:pPr>
              <w:pStyle w:val="TableHeading"/>
            </w:pPr>
            <w:r w:rsidRPr="003812D7">
              <w:t>Future Work Skills</w:t>
            </w:r>
          </w:p>
          <w:p w14:paraId="29BF4B00" w14:textId="28E036F7" w:rsidR="00A3750A" w:rsidRPr="003812D7" w:rsidRDefault="00C017C9" w:rsidP="003812D7">
            <w:pPr>
              <w:pStyle w:val="ListBullet"/>
              <w:rPr>
                <w:sz w:val="18"/>
                <w:szCs w:val="18"/>
              </w:rPr>
            </w:pPr>
            <w:r w:rsidRPr="003812D7">
              <w:rPr>
                <w:sz w:val="18"/>
                <w:szCs w:val="18"/>
              </w:rPr>
              <w:t>a</w:t>
            </w:r>
            <w:r w:rsidR="00DD6A61" w:rsidRPr="003812D7">
              <w:rPr>
                <w:sz w:val="18"/>
                <w:szCs w:val="18"/>
              </w:rPr>
              <w:t>utonomy, self-direction, and motivation</w:t>
            </w:r>
          </w:p>
          <w:p w14:paraId="7050FD29" w14:textId="3583A142" w:rsidR="00DD6A61" w:rsidRPr="003812D7" w:rsidRDefault="00C017C9" w:rsidP="003812D7">
            <w:pPr>
              <w:pStyle w:val="ListBullet"/>
              <w:rPr>
                <w:sz w:val="18"/>
                <w:szCs w:val="18"/>
              </w:rPr>
            </w:pPr>
            <w:r w:rsidRPr="003812D7">
              <w:rPr>
                <w:sz w:val="18"/>
                <w:szCs w:val="18"/>
              </w:rPr>
              <w:t>s</w:t>
            </w:r>
            <w:r w:rsidR="00495DB4" w:rsidRPr="003812D7">
              <w:rPr>
                <w:sz w:val="18"/>
                <w:szCs w:val="18"/>
              </w:rPr>
              <w:t xml:space="preserve">elf-regulation </w:t>
            </w:r>
            <w:r w:rsidR="004A1A1B" w:rsidRPr="003812D7">
              <w:rPr>
                <w:sz w:val="18"/>
                <w:szCs w:val="18"/>
              </w:rPr>
              <w:t>skills such as cognitive load management</w:t>
            </w:r>
            <w:r w:rsidR="00CE0EEA" w:rsidRPr="003812D7">
              <w:rPr>
                <w:sz w:val="18"/>
                <w:szCs w:val="18"/>
              </w:rPr>
              <w:t xml:space="preserve"> and</w:t>
            </w:r>
            <w:r w:rsidR="004A1A1B" w:rsidRPr="003812D7">
              <w:rPr>
                <w:sz w:val="18"/>
                <w:szCs w:val="18"/>
              </w:rPr>
              <w:t xml:space="preserve"> time management</w:t>
            </w:r>
            <w:r w:rsidRPr="003812D7">
              <w:rPr>
                <w:sz w:val="18"/>
                <w:szCs w:val="18"/>
              </w:rPr>
              <w:t>.</w:t>
            </w:r>
          </w:p>
        </w:tc>
      </w:tr>
      <w:tr w:rsidR="00A3750A" w:rsidRPr="003812D7" w14:paraId="2E6D06D4" w14:textId="77777777" w:rsidTr="00AE1AB3">
        <w:trPr>
          <w:trHeight w:val="2378"/>
        </w:trPr>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46BAD70A" w14:textId="77777777" w:rsidR="00A3750A" w:rsidRPr="003812D7" w:rsidRDefault="00A3750A" w:rsidP="003812D7">
            <w:pPr>
              <w:pStyle w:val="TableHeading"/>
            </w:pPr>
            <w:r w:rsidRPr="003812D7">
              <w:t>Key Strategies</w:t>
            </w:r>
          </w:p>
          <w:p w14:paraId="08D87AD8" w14:textId="78C2A951" w:rsidR="00A3750A" w:rsidRPr="003812D7" w:rsidRDefault="00095C5C" w:rsidP="003812D7">
            <w:pPr>
              <w:pStyle w:val="ListBullet"/>
              <w:rPr>
                <w:sz w:val="18"/>
                <w:szCs w:val="18"/>
              </w:rPr>
            </w:pPr>
            <w:r w:rsidRPr="003812D7">
              <w:rPr>
                <w:sz w:val="18"/>
                <w:szCs w:val="18"/>
              </w:rPr>
              <w:t>c</w:t>
            </w:r>
            <w:r w:rsidR="00A3750A" w:rsidRPr="003812D7">
              <w:rPr>
                <w:sz w:val="18"/>
                <w:szCs w:val="18"/>
              </w:rPr>
              <w:t>ooperative learning</w:t>
            </w:r>
          </w:p>
          <w:p w14:paraId="73ED6CA2" w14:textId="4E6A6AEB" w:rsidR="00A3750A" w:rsidRPr="003812D7" w:rsidRDefault="00095C5C" w:rsidP="003812D7">
            <w:pPr>
              <w:pStyle w:val="ListBullet"/>
              <w:rPr>
                <w:sz w:val="18"/>
                <w:szCs w:val="18"/>
              </w:rPr>
            </w:pPr>
            <w:r w:rsidRPr="003812D7">
              <w:rPr>
                <w:sz w:val="18"/>
                <w:szCs w:val="18"/>
              </w:rPr>
              <w:t>p</w:t>
            </w:r>
            <w:r w:rsidR="00A3750A" w:rsidRPr="003812D7">
              <w:rPr>
                <w:sz w:val="18"/>
                <w:szCs w:val="18"/>
              </w:rPr>
              <w:t>eer tutoring</w:t>
            </w:r>
          </w:p>
          <w:p w14:paraId="6288F527" w14:textId="737F5E74" w:rsidR="00A3750A" w:rsidRPr="003812D7" w:rsidRDefault="00095C5C" w:rsidP="003812D7">
            <w:pPr>
              <w:pStyle w:val="ListBullet"/>
              <w:rPr>
                <w:sz w:val="18"/>
                <w:szCs w:val="18"/>
              </w:rPr>
            </w:pPr>
            <w:r w:rsidRPr="003812D7">
              <w:rPr>
                <w:sz w:val="18"/>
                <w:szCs w:val="18"/>
              </w:rPr>
              <w:t>s</w:t>
            </w:r>
            <w:r w:rsidR="00A3750A" w:rsidRPr="003812D7">
              <w:rPr>
                <w:sz w:val="18"/>
                <w:szCs w:val="18"/>
              </w:rPr>
              <w:t>mall group learning</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6177AB59" w14:textId="77777777" w:rsidR="00A3750A" w:rsidRPr="003812D7" w:rsidRDefault="00A3750A" w:rsidP="003812D7">
            <w:pPr>
              <w:pStyle w:val="TableHeading"/>
            </w:pPr>
            <w:r w:rsidRPr="003812D7">
              <w:t>Key Strategies</w:t>
            </w:r>
          </w:p>
          <w:p w14:paraId="46F556AA" w14:textId="6E366094" w:rsidR="00A3750A" w:rsidRPr="003812D7" w:rsidRDefault="00095C5C" w:rsidP="003812D7">
            <w:pPr>
              <w:pStyle w:val="ListBullet"/>
              <w:rPr>
                <w:sz w:val="18"/>
                <w:szCs w:val="18"/>
              </w:rPr>
            </w:pPr>
            <w:r w:rsidRPr="003812D7">
              <w:rPr>
                <w:sz w:val="18"/>
                <w:szCs w:val="18"/>
              </w:rPr>
              <w:t>q</w:t>
            </w:r>
            <w:r w:rsidR="00A3750A" w:rsidRPr="003812D7">
              <w:rPr>
                <w:sz w:val="18"/>
                <w:szCs w:val="18"/>
              </w:rPr>
              <w:t>uestioning</w:t>
            </w:r>
          </w:p>
          <w:p w14:paraId="4D0A8FB9" w14:textId="7AC33116" w:rsidR="00A3750A" w:rsidRPr="003812D7" w:rsidRDefault="00095C5C" w:rsidP="003812D7">
            <w:pPr>
              <w:pStyle w:val="ListBullet"/>
              <w:rPr>
                <w:sz w:val="18"/>
                <w:szCs w:val="18"/>
              </w:rPr>
            </w:pPr>
            <w:r w:rsidRPr="003812D7">
              <w:rPr>
                <w:sz w:val="18"/>
                <w:szCs w:val="18"/>
              </w:rPr>
              <w:t>e</w:t>
            </w:r>
            <w:r w:rsidR="00A3750A" w:rsidRPr="003812D7">
              <w:rPr>
                <w:sz w:val="18"/>
                <w:szCs w:val="18"/>
              </w:rPr>
              <w:t>laborative interrogation</w:t>
            </w:r>
          </w:p>
          <w:p w14:paraId="29388F7D" w14:textId="19B310B2" w:rsidR="00A3750A" w:rsidRPr="003812D7" w:rsidRDefault="00223099" w:rsidP="003812D7">
            <w:pPr>
              <w:pStyle w:val="ListBullet"/>
              <w:rPr>
                <w:sz w:val="18"/>
                <w:szCs w:val="18"/>
              </w:rPr>
            </w:pPr>
            <w:r w:rsidRPr="003812D7">
              <w:rPr>
                <w:sz w:val="18"/>
                <w:szCs w:val="18"/>
              </w:rPr>
              <w:t>j</w:t>
            </w:r>
            <w:r w:rsidR="00A3750A" w:rsidRPr="003812D7">
              <w:rPr>
                <w:sz w:val="18"/>
                <w:szCs w:val="18"/>
              </w:rPr>
              <w:t>igsaw method</w:t>
            </w:r>
          </w:p>
          <w:p w14:paraId="79E57BBC" w14:textId="217D8173" w:rsidR="00A3750A" w:rsidRPr="003812D7" w:rsidRDefault="00223099" w:rsidP="003812D7">
            <w:pPr>
              <w:pStyle w:val="ListBullet"/>
              <w:rPr>
                <w:sz w:val="18"/>
                <w:szCs w:val="18"/>
              </w:rPr>
            </w:pPr>
            <w:r w:rsidRPr="003812D7">
              <w:rPr>
                <w:sz w:val="18"/>
                <w:szCs w:val="18"/>
              </w:rPr>
              <w:t>p</w:t>
            </w:r>
            <w:r w:rsidR="00A3750A" w:rsidRPr="003812D7">
              <w:rPr>
                <w:sz w:val="18"/>
                <w:szCs w:val="18"/>
              </w:rPr>
              <w:t>hilosophy in schools</w:t>
            </w:r>
          </w:p>
          <w:p w14:paraId="73C8C684" w14:textId="1C93249F" w:rsidR="00A3750A" w:rsidRPr="003812D7" w:rsidRDefault="00223099" w:rsidP="003812D7">
            <w:pPr>
              <w:pStyle w:val="ListBullet"/>
              <w:rPr>
                <w:sz w:val="18"/>
                <w:szCs w:val="18"/>
              </w:rPr>
            </w:pPr>
            <w:r w:rsidRPr="003812D7">
              <w:rPr>
                <w:sz w:val="18"/>
                <w:szCs w:val="18"/>
              </w:rPr>
              <w:t>t</w:t>
            </w:r>
            <w:r w:rsidR="00A3750A" w:rsidRPr="003812D7">
              <w:rPr>
                <w:sz w:val="18"/>
                <w:szCs w:val="18"/>
              </w:rPr>
              <w:t>eaching communication skills and strategies</w:t>
            </w:r>
          </w:p>
          <w:p w14:paraId="3B31BB8D" w14:textId="076FC219" w:rsidR="00A3750A" w:rsidRPr="003812D7" w:rsidRDefault="00223099" w:rsidP="003812D7">
            <w:pPr>
              <w:pStyle w:val="ListBullet"/>
              <w:rPr>
                <w:sz w:val="18"/>
                <w:szCs w:val="18"/>
              </w:rPr>
            </w:pPr>
            <w:r w:rsidRPr="003812D7">
              <w:rPr>
                <w:sz w:val="18"/>
                <w:szCs w:val="18"/>
              </w:rPr>
              <w:t>i</w:t>
            </w:r>
            <w:r w:rsidR="00A3750A" w:rsidRPr="003812D7">
              <w:rPr>
                <w:sz w:val="18"/>
                <w:szCs w:val="18"/>
              </w:rPr>
              <w:t>nductive teaching</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301572EF" w14:textId="77777777" w:rsidR="00A3750A" w:rsidRPr="003812D7" w:rsidRDefault="00A3750A" w:rsidP="003812D7">
            <w:pPr>
              <w:pStyle w:val="TableHeading"/>
            </w:pPr>
            <w:r w:rsidRPr="003812D7">
              <w:t>Key Strategies</w:t>
            </w:r>
          </w:p>
          <w:p w14:paraId="41E71629" w14:textId="1ED36B57" w:rsidR="00A3750A" w:rsidRPr="003812D7" w:rsidRDefault="00223099" w:rsidP="003812D7">
            <w:pPr>
              <w:pStyle w:val="ListBullet"/>
              <w:rPr>
                <w:sz w:val="18"/>
                <w:szCs w:val="18"/>
              </w:rPr>
            </w:pPr>
            <w:r w:rsidRPr="003812D7">
              <w:rPr>
                <w:sz w:val="18"/>
                <w:szCs w:val="18"/>
              </w:rPr>
              <w:t>c</w:t>
            </w:r>
            <w:r w:rsidR="00A3750A" w:rsidRPr="003812D7">
              <w:rPr>
                <w:sz w:val="18"/>
                <w:szCs w:val="18"/>
              </w:rPr>
              <w:t>lear goal intentions</w:t>
            </w:r>
          </w:p>
          <w:p w14:paraId="594A0CD8" w14:textId="6475A34D" w:rsidR="00A3750A" w:rsidRPr="003812D7" w:rsidRDefault="00223099" w:rsidP="003812D7">
            <w:pPr>
              <w:pStyle w:val="ListBullet"/>
              <w:rPr>
                <w:sz w:val="18"/>
                <w:szCs w:val="18"/>
              </w:rPr>
            </w:pPr>
            <w:r w:rsidRPr="003812D7">
              <w:rPr>
                <w:sz w:val="18"/>
                <w:szCs w:val="18"/>
              </w:rPr>
              <w:t>s</w:t>
            </w:r>
            <w:r w:rsidR="00A3750A" w:rsidRPr="003812D7">
              <w:rPr>
                <w:sz w:val="18"/>
                <w:szCs w:val="18"/>
              </w:rPr>
              <w:t>elf-reported grades</w:t>
            </w:r>
          </w:p>
          <w:p w14:paraId="7DF4D6A7" w14:textId="46D92ED8" w:rsidR="00A3750A" w:rsidRPr="003812D7" w:rsidRDefault="00223099" w:rsidP="003812D7">
            <w:pPr>
              <w:pStyle w:val="ListBullet"/>
              <w:rPr>
                <w:sz w:val="18"/>
                <w:szCs w:val="18"/>
              </w:rPr>
            </w:pPr>
            <w:r w:rsidRPr="003812D7">
              <w:rPr>
                <w:sz w:val="18"/>
                <w:szCs w:val="18"/>
              </w:rPr>
              <w:t>s</w:t>
            </w:r>
            <w:r w:rsidR="00A3750A" w:rsidRPr="003812D7">
              <w:rPr>
                <w:sz w:val="18"/>
                <w:szCs w:val="18"/>
              </w:rPr>
              <w:t>elf-judgement and reflection</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69E9B6F9" w14:textId="77777777" w:rsidR="00A3750A" w:rsidRPr="003812D7" w:rsidRDefault="00A3750A" w:rsidP="003812D7">
            <w:pPr>
              <w:pStyle w:val="TableHeading"/>
            </w:pPr>
            <w:r w:rsidRPr="003812D7">
              <w:t>Key Strategies</w:t>
            </w:r>
          </w:p>
          <w:p w14:paraId="461D66DE" w14:textId="77777777" w:rsidR="00A3750A" w:rsidRPr="003812D7" w:rsidRDefault="00A3750A" w:rsidP="003812D7">
            <w:pPr>
              <w:pStyle w:val="ListBullet"/>
              <w:rPr>
                <w:sz w:val="18"/>
                <w:szCs w:val="18"/>
              </w:rPr>
            </w:pPr>
            <w:r w:rsidRPr="003812D7">
              <w:rPr>
                <w:sz w:val="18"/>
                <w:szCs w:val="18"/>
              </w:rPr>
              <w:t>Piagetian programs</w:t>
            </w:r>
          </w:p>
          <w:p w14:paraId="71002883" w14:textId="6500D7B2" w:rsidR="00A3750A" w:rsidRPr="003812D7" w:rsidRDefault="00223099" w:rsidP="003812D7">
            <w:pPr>
              <w:pStyle w:val="ListBullet"/>
              <w:rPr>
                <w:sz w:val="18"/>
                <w:szCs w:val="18"/>
              </w:rPr>
            </w:pPr>
            <w:r w:rsidRPr="003812D7">
              <w:rPr>
                <w:sz w:val="18"/>
                <w:szCs w:val="18"/>
              </w:rPr>
              <w:t>c</w:t>
            </w:r>
            <w:r w:rsidR="00A3750A" w:rsidRPr="003812D7">
              <w:rPr>
                <w:sz w:val="18"/>
                <w:szCs w:val="18"/>
              </w:rPr>
              <w:t>onceptual change programs</w:t>
            </w:r>
          </w:p>
          <w:p w14:paraId="2E1F2FF0" w14:textId="2F9D972D" w:rsidR="00A3750A" w:rsidRPr="003812D7" w:rsidRDefault="00223099" w:rsidP="003812D7">
            <w:pPr>
              <w:pStyle w:val="ListBullet"/>
              <w:rPr>
                <w:sz w:val="18"/>
                <w:szCs w:val="18"/>
              </w:rPr>
            </w:pPr>
            <w:r w:rsidRPr="003812D7">
              <w:rPr>
                <w:sz w:val="18"/>
                <w:szCs w:val="18"/>
              </w:rPr>
              <w:t>c</w:t>
            </w:r>
            <w:r w:rsidR="00A3750A" w:rsidRPr="003812D7">
              <w:rPr>
                <w:sz w:val="18"/>
                <w:szCs w:val="18"/>
              </w:rPr>
              <w:t>ognitive task analysis</w:t>
            </w:r>
          </w:p>
          <w:p w14:paraId="7D7ED7E2" w14:textId="777D2A8A" w:rsidR="00A3750A" w:rsidRPr="003812D7" w:rsidRDefault="00223099" w:rsidP="003812D7">
            <w:pPr>
              <w:pStyle w:val="ListBullet"/>
              <w:rPr>
                <w:sz w:val="18"/>
                <w:szCs w:val="18"/>
              </w:rPr>
            </w:pPr>
            <w:r w:rsidRPr="003812D7">
              <w:rPr>
                <w:sz w:val="18"/>
                <w:szCs w:val="18"/>
              </w:rPr>
              <w:t>s</w:t>
            </w:r>
            <w:r w:rsidR="00A3750A" w:rsidRPr="003812D7">
              <w:rPr>
                <w:sz w:val="18"/>
                <w:szCs w:val="18"/>
              </w:rPr>
              <w:t>caffolding</w:t>
            </w:r>
          </w:p>
          <w:p w14:paraId="34DBBAFB" w14:textId="07698705" w:rsidR="00A3750A" w:rsidRPr="003812D7" w:rsidRDefault="00223099" w:rsidP="003812D7">
            <w:pPr>
              <w:pStyle w:val="ListBullet"/>
              <w:rPr>
                <w:sz w:val="18"/>
                <w:szCs w:val="18"/>
              </w:rPr>
            </w:pPr>
            <w:r w:rsidRPr="003812D7">
              <w:rPr>
                <w:sz w:val="18"/>
                <w:szCs w:val="18"/>
              </w:rPr>
              <w:t>i</w:t>
            </w:r>
            <w:r w:rsidR="00A3750A" w:rsidRPr="003812D7">
              <w:rPr>
                <w:sz w:val="18"/>
                <w:szCs w:val="18"/>
              </w:rPr>
              <w:t>ntelligent tutoring systems</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0878BF16" w14:textId="77777777" w:rsidR="00A3750A" w:rsidRPr="003812D7" w:rsidRDefault="00A3750A" w:rsidP="003812D7">
            <w:pPr>
              <w:pStyle w:val="TableHeading"/>
            </w:pPr>
            <w:r w:rsidRPr="003812D7">
              <w:t>Key Strategies</w:t>
            </w:r>
          </w:p>
          <w:p w14:paraId="1B4766E4" w14:textId="2D87B87B" w:rsidR="00A3750A" w:rsidRPr="003812D7" w:rsidRDefault="00C017C9" w:rsidP="003812D7">
            <w:pPr>
              <w:pStyle w:val="ListBullet"/>
              <w:rPr>
                <w:sz w:val="18"/>
                <w:szCs w:val="18"/>
              </w:rPr>
            </w:pPr>
            <w:r w:rsidRPr="003812D7">
              <w:rPr>
                <w:sz w:val="18"/>
                <w:szCs w:val="18"/>
              </w:rPr>
              <w:t>c</w:t>
            </w:r>
            <w:r w:rsidR="00A3750A" w:rsidRPr="003812D7">
              <w:rPr>
                <w:sz w:val="18"/>
                <w:szCs w:val="18"/>
              </w:rPr>
              <w:t>lear goal intentions</w:t>
            </w:r>
          </w:p>
          <w:p w14:paraId="1D42FFA3" w14:textId="500C3A99" w:rsidR="00A3750A" w:rsidRPr="003812D7" w:rsidRDefault="00C017C9" w:rsidP="003812D7">
            <w:pPr>
              <w:pStyle w:val="ListBullet"/>
              <w:rPr>
                <w:sz w:val="18"/>
                <w:szCs w:val="18"/>
              </w:rPr>
            </w:pPr>
            <w:r w:rsidRPr="003812D7">
              <w:rPr>
                <w:sz w:val="18"/>
                <w:szCs w:val="18"/>
              </w:rPr>
              <w:t>c</w:t>
            </w:r>
            <w:r w:rsidR="00A3750A" w:rsidRPr="003812D7">
              <w:rPr>
                <w:sz w:val="18"/>
                <w:szCs w:val="18"/>
              </w:rPr>
              <w:t>omprehensive instructional approaches for teachers</w:t>
            </w:r>
          </w:p>
          <w:p w14:paraId="6CA101D4" w14:textId="2ABDE506" w:rsidR="00A3750A" w:rsidRPr="003812D7" w:rsidRDefault="00C017C9" w:rsidP="003812D7">
            <w:pPr>
              <w:pStyle w:val="ListBullet"/>
              <w:rPr>
                <w:sz w:val="18"/>
                <w:szCs w:val="18"/>
              </w:rPr>
            </w:pPr>
            <w:r w:rsidRPr="003812D7">
              <w:rPr>
                <w:sz w:val="18"/>
                <w:szCs w:val="18"/>
              </w:rPr>
              <w:t>e</w:t>
            </w:r>
            <w:r w:rsidR="00A3750A" w:rsidRPr="003812D7">
              <w:rPr>
                <w:sz w:val="18"/>
                <w:szCs w:val="18"/>
              </w:rPr>
              <w:t>xplicit teaching strategies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2EFE63E9" w14:textId="77777777" w:rsidR="00A3750A" w:rsidRPr="003812D7" w:rsidRDefault="00A3750A" w:rsidP="003812D7">
            <w:pPr>
              <w:pStyle w:val="TableHeading"/>
            </w:pPr>
            <w:r w:rsidRPr="003812D7">
              <w:t>Key Strategies</w:t>
            </w:r>
          </w:p>
          <w:p w14:paraId="704B9D6F" w14:textId="64E15813" w:rsidR="00A3750A" w:rsidRPr="003812D7" w:rsidRDefault="00C017C9" w:rsidP="003812D7">
            <w:pPr>
              <w:pStyle w:val="ListBullet"/>
              <w:rPr>
                <w:sz w:val="18"/>
                <w:szCs w:val="18"/>
              </w:rPr>
            </w:pPr>
            <w:r w:rsidRPr="003812D7">
              <w:rPr>
                <w:sz w:val="18"/>
                <w:szCs w:val="18"/>
              </w:rPr>
              <w:t>r</w:t>
            </w:r>
            <w:r w:rsidR="00A3750A" w:rsidRPr="003812D7">
              <w:rPr>
                <w:sz w:val="18"/>
                <w:szCs w:val="18"/>
              </w:rPr>
              <w:t xml:space="preserve">eciprocal teaching </w:t>
            </w:r>
          </w:p>
          <w:p w14:paraId="1FE3A995" w14:textId="04846F45" w:rsidR="00A3750A" w:rsidRPr="003812D7" w:rsidRDefault="00C017C9" w:rsidP="003812D7">
            <w:pPr>
              <w:pStyle w:val="ListBullet"/>
              <w:rPr>
                <w:sz w:val="18"/>
                <w:szCs w:val="18"/>
              </w:rPr>
            </w:pPr>
            <w:r w:rsidRPr="003812D7">
              <w:rPr>
                <w:sz w:val="18"/>
                <w:szCs w:val="18"/>
              </w:rPr>
              <w:t>i</w:t>
            </w:r>
            <w:r w:rsidR="00A3750A" w:rsidRPr="003812D7">
              <w:rPr>
                <w:sz w:val="18"/>
                <w:szCs w:val="18"/>
              </w:rPr>
              <w:t>nductive teaching</w:t>
            </w:r>
          </w:p>
          <w:p w14:paraId="77D00944" w14:textId="0D7DC217" w:rsidR="00A3750A" w:rsidRPr="003812D7" w:rsidRDefault="00C017C9" w:rsidP="003812D7">
            <w:pPr>
              <w:pStyle w:val="ListBullet"/>
              <w:rPr>
                <w:sz w:val="18"/>
                <w:szCs w:val="18"/>
              </w:rPr>
            </w:pPr>
            <w:r w:rsidRPr="003812D7">
              <w:rPr>
                <w:sz w:val="18"/>
                <w:szCs w:val="18"/>
              </w:rPr>
              <w:t>c</w:t>
            </w:r>
            <w:r w:rsidR="00A3750A" w:rsidRPr="003812D7">
              <w:rPr>
                <w:sz w:val="18"/>
                <w:szCs w:val="18"/>
              </w:rPr>
              <w:t>oncept mapping</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5ECE0395" w14:textId="77777777" w:rsidR="00A3750A" w:rsidRPr="003812D7" w:rsidRDefault="00A3750A" w:rsidP="003812D7">
            <w:pPr>
              <w:pStyle w:val="TableHeading"/>
            </w:pPr>
            <w:r w:rsidRPr="003812D7">
              <w:t>Key Strategies</w:t>
            </w:r>
          </w:p>
          <w:p w14:paraId="206C51DC" w14:textId="745C21E7" w:rsidR="00A3750A" w:rsidRPr="003812D7" w:rsidRDefault="00C017C9" w:rsidP="003812D7">
            <w:pPr>
              <w:pStyle w:val="ListBullet"/>
              <w:rPr>
                <w:sz w:val="18"/>
                <w:szCs w:val="18"/>
              </w:rPr>
            </w:pPr>
            <w:r w:rsidRPr="003812D7">
              <w:rPr>
                <w:sz w:val="18"/>
                <w:szCs w:val="18"/>
              </w:rPr>
              <w:t>i</w:t>
            </w:r>
            <w:r w:rsidR="00A3750A" w:rsidRPr="003812D7">
              <w:rPr>
                <w:sz w:val="18"/>
                <w:szCs w:val="18"/>
              </w:rPr>
              <w:t>nquiry-based teaching</w:t>
            </w:r>
          </w:p>
          <w:p w14:paraId="768D1985" w14:textId="0A0DBB6F" w:rsidR="00A3750A" w:rsidRPr="003812D7" w:rsidRDefault="00C017C9" w:rsidP="003812D7">
            <w:pPr>
              <w:pStyle w:val="ListBullet"/>
              <w:rPr>
                <w:sz w:val="18"/>
                <w:szCs w:val="18"/>
              </w:rPr>
            </w:pPr>
            <w:r w:rsidRPr="003812D7">
              <w:rPr>
                <w:sz w:val="18"/>
                <w:szCs w:val="18"/>
              </w:rPr>
              <w:t>t</w:t>
            </w:r>
            <w:r w:rsidR="00A3750A" w:rsidRPr="003812D7">
              <w:rPr>
                <w:sz w:val="18"/>
                <w:szCs w:val="18"/>
              </w:rPr>
              <w:t>ransfer strategies</w:t>
            </w:r>
          </w:p>
          <w:p w14:paraId="03005B3C" w14:textId="2B90CB51" w:rsidR="00A3750A" w:rsidRPr="003812D7" w:rsidRDefault="00C017C9" w:rsidP="003812D7">
            <w:pPr>
              <w:pStyle w:val="ListBullet"/>
              <w:rPr>
                <w:sz w:val="18"/>
                <w:szCs w:val="18"/>
              </w:rPr>
            </w:pPr>
            <w:r w:rsidRPr="003812D7">
              <w:rPr>
                <w:sz w:val="18"/>
                <w:szCs w:val="18"/>
              </w:rPr>
              <w:t>t</w:t>
            </w:r>
            <w:r w:rsidR="00A3750A" w:rsidRPr="003812D7">
              <w:rPr>
                <w:sz w:val="18"/>
                <w:szCs w:val="18"/>
              </w:rPr>
              <w:t>actile stimulation programs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3DDA3765" w14:textId="77777777" w:rsidR="00A3750A" w:rsidRPr="003812D7" w:rsidRDefault="00A3750A" w:rsidP="003812D7">
            <w:pPr>
              <w:pStyle w:val="TableHeading"/>
            </w:pPr>
            <w:r w:rsidRPr="003812D7">
              <w:t>Key Strategies</w:t>
            </w:r>
          </w:p>
          <w:p w14:paraId="778BF880" w14:textId="2300FD9E" w:rsidR="00A3750A" w:rsidRPr="003812D7" w:rsidRDefault="00C017C9" w:rsidP="003812D7">
            <w:pPr>
              <w:pStyle w:val="ListBullet"/>
              <w:rPr>
                <w:sz w:val="18"/>
                <w:szCs w:val="18"/>
              </w:rPr>
            </w:pPr>
            <w:r w:rsidRPr="003812D7">
              <w:rPr>
                <w:sz w:val="18"/>
                <w:szCs w:val="18"/>
              </w:rPr>
              <w:t>s</w:t>
            </w:r>
            <w:r w:rsidR="00A3750A" w:rsidRPr="003812D7">
              <w:rPr>
                <w:sz w:val="18"/>
                <w:szCs w:val="18"/>
              </w:rPr>
              <w:t>etting standards for self-judgement</w:t>
            </w:r>
          </w:p>
          <w:p w14:paraId="4FC94C65" w14:textId="5AEF3D1C" w:rsidR="00A3750A" w:rsidRPr="003812D7" w:rsidRDefault="00C017C9" w:rsidP="003812D7">
            <w:pPr>
              <w:pStyle w:val="ListBullet"/>
              <w:rPr>
                <w:sz w:val="18"/>
                <w:szCs w:val="18"/>
              </w:rPr>
            </w:pPr>
            <w:r w:rsidRPr="003812D7">
              <w:rPr>
                <w:sz w:val="18"/>
                <w:szCs w:val="18"/>
              </w:rPr>
              <w:t>e</w:t>
            </w:r>
            <w:r w:rsidR="00A3750A" w:rsidRPr="003812D7">
              <w:rPr>
                <w:sz w:val="18"/>
                <w:szCs w:val="18"/>
              </w:rPr>
              <w:t>laboration and organisation</w:t>
            </w:r>
          </w:p>
          <w:p w14:paraId="7884AF4E" w14:textId="02C9700A" w:rsidR="00A3750A" w:rsidRPr="003812D7" w:rsidRDefault="00C017C9" w:rsidP="003812D7">
            <w:pPr>
              <w:pStyle w:val="ListBullet"/>
              <w:rPr>
                <w:sz w:val="18"/>
                <w:szCs w:val="18"/>
              </w:rPr>
            </w:pPr>
            <w:r w:rsidRPr="003812D7">
              <w:rPr>
                <w:sz w:val="18"/>
                <w:szCs w:val="18"/>
              </w:rPr>
              <w:t>h</w:t>
            </w:r>
            <w:r w:rsidR="00A3750A" w:rsidRPr="003812D7">
              <w:rPr>
                <w:sz w:val="18"/>
                <w:szCs w:val="18"/>
              </w:rPr>
              <w:t>elp seeking</w:t>
            </w:r>
          </w:p>
          <w:p w14:paraId="3FB8C512" w14:textId="0EC93823" w:rsidR="00A3750A" w:rsidRPr="003812D7" w:rsidRDefault="00C017C9" w:rsidP="003812D7">
            <w:pPr>
              <w:pStyle w:val="ListBullet"/>
              <w:rPr>
                <w:sz w:val="18"/>
                <w:szCs w:val="18"/>
              </w:rPr>
            </w:pPr>
            <w:r w:rsidRPr="003812D7">
              <w:rPr>
                <w:sz w:val="18"/>
                <w:szCs w:val="18"/>
              </w:rPr>
              <w:t>d</w:t>
            </w:r>
            <w:r w:rsidR="00A3750A" w:rsidRPr="003812D7">
              <w:rPr>
                <w:sz w:val="18"/>
                <w:szCs w:val="18"/>
              </w:rPr>
              <w:t>eliberate practice</w:t>
            </w:r>
            <w:r w:rsidRPr="003812D7">
              <w:rPr>
                <w:sz w:val="18"/>
                <w:szCs w:val="18"/>
              </w:rPr>
              <w:t>.</w:t>
            </w:r>
          </w:p>
        </w:tc>
      </w:tr>
      <w:tr w:rsidR="00A3750A" w:rsidRPr="003812D7" w14:paraId="451CCB6B" w14:textId="77777777" w:rsidTr="00AE1AB3">
        <w:trPr>
          <w:trHeight w:val="2378"/>
        </w:trPr>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43A27691" w14:textId="77777777" w:rsidR="00A3750A" w:rsidRPr="003812D7" w:rsidRDefault="00A3750A" w:rsidP="003812D7">
            <w:pPr>
              <w:pStyle w:val="TableHeading"/>
            </w:pPr>
            <w:r w:rsidRPr="003812D7">
              <w:t>Success Factors</w:t>
            </w:r>
          </w:p>
          <w:p w14:paraId="4AAB73A3" w14:textId="4E70083C" w:rsidR="00A3750A" w:rsidRPr="003812D7" w:rsidRDefault="00095C5C" w:rsidP="003812D7">
            <w:pPr>
              <w:pStyle w:val="ListBullet"/>
              <w:rPr>
                <w:sz w:val="18"/>
                <w:szCs w:val="18"/>
              </w:rPr>
            </w:pPr>
            <w:r w:rsidRPr="003812D7">
              <w:rPr>
                <w:sz w:val="18"/>
                <w:szCs w:val="18"/>
              </w:rPr>
              <w:t>p</w:t>
            </w:r>
            <w:r w:rsidR="00A3750A" w:rsidRPr="003812D7">
              <w:rPr>
                <w:sz w:val="18"/>
                <w:szCs w:val="18"/>
              </w:rPr>
              <w:t>ositive peer influences</w:t>
            </w:r>
          </w:p>
          <w:p w14:paraId="2E8021B0" w14:textId="76DEFF39" w:rsidR="00A3750A" w:rsidRPr="003812D7" w:rsidRDefault="00095C5C" w:rsidP="003812D7">
            <w:pPr>
              <w:pStyle w:val="ListBullet"/>
              <w:rPr>
                <w:sz w:val="18"/>
                <w:szCs w:val="18"/>
              </w:rPr>
            </w:pPr>
            <w:r w:rsidRPr="003812D7">
              <w:rPr>
                <w:sz w:val="18"/>
                <w:szCs w:val="18"/>
              </w:rPr>
              <w:t>s</w:t>
            </w:r>
            <w:r w:rsidR="00A3750A" w:rsidRPr="003812D7">
              <w:rPr>
                <w:sz w:val="18"/>
                <w:szCs w:val="18"/>
              </w:rPr>
              <w:t>trong teacher-learner relationships</w:t>
            </w:r>
          </w:p>
          <w:p w14:paraId="04991EE1" w14:textId="7B0511AF" w:rsidR="00A3750A" w:rsidRPr="003812D7" w:rsidRDefault="00095C5C" w:rsidP="003812D7">
            <w:pPr>
              <w:pStyle w:val="ListBullet"/>
              <w:rPr>
                <w:sz w:val="18"/>
                <w:szCs w:val="18"/>
              </w:rPr>
            </w:pPr>
            <w:r w:rsidRPr="003812D7">
              <w:rPr>
                <w:sz w:val="18"/>
                <w:szCs w:val="18"/>
              </w:rPr>
              <w:t>w</w:t>
            </w:r>
            <w:r w:rsidR="00A3750A" w:rsidRPr="003812D7">
              <w:rPr>
                <w:sz w:val="18"/>
                <w:szCs w:val="18"/>
              </w:rPr>
              <w:t>ell-designed assessment</w:t>
            </w:r>
          </w:p>
          <w:p w14:paraId="34C3342C" w14:textId="53C8D868" w:rsidR="00A3750A" w:rsidRPr="003812D7" w:rsidRDefault="00095C5C" w:rsidP="003812D7">
            <w:pPr>
              <w:pStyle w:val="ListBullet"/>
              <w:rPr>
                <w:sz w:val="18"/>
                <w:szCs w:val="18"/>
              </w:rPr>
            </w:pPr>
            <w:r w:rsidRPr="003812D7">
              <w:rPr>
                <w:sz w:val="18"/>
                <w:szCs w:val="18"/>
              </w:rPr>
              <w:t>s</w:t>
            </w:r>
            <w:r w:rsidR="00A3750A" w:rsidRPr="003812D7">
              <w:rPr>
                <w:sz w:val="18"/>
                <w:szCs w:val="18"/>
              </w:rPr>
              <w:t>trong classroom cohesion</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674C86FF" w14:textId="77777777" w:rsidR="00A3750A" w:rsidRPr="003812D7" w:rsidRDefault="00A3750A" w:rsidP="003812D7">
            <w:pPr>
              <w:pStyle w:val="TableHeading"/>
            </w:pPr>
            <w:r w:rsidRPr="003812D7">
              <w:t>Success Factors</w:t>
            </w:r>
          </w:p>
          <w:p w14:paraId="7DE3D4CD" w14:textId="784038C6" w:rsidR="00A3750A" w:rsidRPr="003812D7" w:rsidRDefault="00223099" w:rsidP="003812D7">
            <w:pPr>
              <w:pStyle w:val="ListBullet"/>
              <w:rPr>
                <w:sz w:val="18"/>
                <w:szCs w:val="18"/>
              </w:rPr>
            </w:pPr>
            <w:r w:rsidRPr="003812D7">
              <w:rPr>
                <w:sz w:val="18"/>
                <w:szCs w:val="18"/>
              </w:rPr>
              <w:t>c</w:t>
            </w:r>
            <w:r w:rsidR="00A3750A" w:rsidRPr="003812D7">
              <w:rPr>
                <w:sz w:val="18"/>
                <w:szCs w:val="18"/>
              </w:rPr>
              <w:t>lassroom cohesion</w:t>
            </w:r>
          </w:p>
          <w:p w14:paraId="3FB538D4" w14:textId="3AFD5A6F" w:rsidR="00A3750A" w:rsidRPr="003812D7" w:rsidRDefault="00223099" w:rsidP="003812D7">
            <w:pPr>
              <w:pStyle w:val="ListBullet"/>
              <w:rPr>
                <w:sz w:val="18"/>
                <w:szCs w:val="18"/>
              </w:rPr>
            </w:pPr>
            <w:r w:rsidRPr="003812D7">
              <w:rPr>
                <w:sz w:val="18"/>
                <w:szCs w:val="18"/>
              </w:rPr>
              <w:t>p</w:t>
            </w:r>
            <w:r w:rsidR="00A3750A" w:rsidRPr="003812D7">
              <w:rPr>
                <w:sz w:val="18"/>
                <w:szCs w:val="18"/>
              </w:rPr>
              <w:t>ositive peer influences</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2FFA3C5F" w14:textId="77777777" w:rsidR="00A3750A" w:rsidRPr="003812D7" w:rsidRDefault="00A3750A" w:rsidP="003812D7">
            <w:pPr>
              <w:pStyle w:val="TableHeading"/>
            </w:pPr>
            <w:r w:rsidRPr="003812D7">
              <w:t>Success Factors</w:t>
            </w:r>
          </w:p>
          <w:p w14:paraId="2DEAC98D" w14:textId="783D564B" w:rsidR="00A3750A" w:rsidRPr="003812D7" w:rsidRDefault="00223099" w:rsidP="003812D7">
            <w:pPr>
              <w:pStyle w:val="ListBullet"/>
              <w:rPr>
                <w:sz w:val="18"/>
                <w:szCs w:val="18"/>
              </w:rPr>
            </w:pPr>
            <w:r w:rsidRPr="003812D7">
              <w:rPr>
                <w:sz w:val="18"/>
                <w:szCs w:val="18"/>
              </w:rPr>
              <w:t>p</w:t>
            </w:r>
            <w:r w:rsidR="00A3750A" w:rsidRPr="003812D7">
              <w:rPr>
                <w:sz w:val="18"/>
                <w:szCs w:val="18"/>
              </w:rPr>
              <w:t>ositive self-concept</w:t>
            </w:r>
          </w:p>
          <w:p w14:paraId="2342F32D" w14:textId="65D4A5A1" w:rsidR="00A3750A" w:rsidRPr="003812D7" w:rsidRDefault="00223099" w:rsidP="003812D7">
            <w:pPr>
              <w:pStyle w:val="ListBullet"/>
              <w:rPr>
                <w:sz w:val="18"/>
                <w:szCs w:val="18"/>
              </w:rPr>
            </w:pPr>
            <w:r w:rsidRPr="003812D7">
              <w:rPr>
                <w:sz w:val="18"/>
                <w:szCs w:val="18"/>
              </w:rPr>
              <w:t>p</w:t>
            </w:r>
            <w:r w:rsidR="00A3750A" w:rsidRPr="003812D7">
              <w:rPr>
                <w:sz w:val="18"/>
                <w:szCs w:val="18"/>
              </w:rPr>
              <w:t>rior achievement</w:t>
            </w:r>
          </w:p>
          <w:p w14:paraId="2651E360" w14:textId="290CA163" w:rsidR="00A3750A" w:rsidRPr="003812D7" w:rsidRDefault="00223099" w:rsidP="003812D7">
            <w:pPr>
              <w:pStyle w:val="ListBullet"/>
              <w:rPr>
                <w:sz w:val="18"/>
                <w:szCs w:val="18"/>
              </w:rPr>
            </w:pPr>
            <w:r w:rsidRPr="003812D7">
              <w:rPr>
                <w:sz w:val="18"/>
                <w:szCs w:val="18"/>
              </w:rPr>
              <w:t>s</w:t>
            </w:r>
            <w:r w:rsidR="00A3750A" w:rsidRPr="003812D7">
              <w:rPr>
                <w:sz w:val="18"/>
                <w:szCs w:val="18"/>
              </w:rPr>
              <w:t>elf-efficacy</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411C443E" w14:textId="77777777" w:rsidR="00A3750A" w:rsidRPr="003812D7" w:rsidRDefault="00A3750A" w:rsidP="003812D7">
            <w:pPr>
              <w:pStyle w:val="TableHeading"/>
            </w:pPr>
            <w:r w:rsidRPr="003812D7">
              <w:t>Success Factors</w:t>
            </w:r>
          </w:p>
          <w:p w14:paraId="7472D909" w14:textId="60792197" w:rsidR="00A3750A" w:rsidRPr="003812D7" w:rsidRDefault="00223099" w:rsidP="003812D7">
            <w:pPr>
              <w:pStyle w:val="ListBullet"/>
              <w:rPr>
                <w:sz w:val="18"/>
                <w:szCs w:val="18"/>
              </w:rPr>
            </w:pPr>
            <w:r w:rsidRPr="003812D7">
              <w:rPr>
                <w:sz w:val="18"/>
                <w:szCs w:val="18"/>
              </w:rPr>
              <w:t>p</w:t>
            </w:r>
            <w:r w:rsidR="00A3750A" w:rsidRPr="003812D7">
              <w:rPr>
                <w:sz w:val="18"/>
                <w:szCs w:val="18"/>
              </w:rPr>
              <w:t>arental involvement</w:t>
            </w:r>
          </w:p>
          <w:p w14:paraId="2E8CA2DB" w14:textId="144D579C" w:rsidR="00A3750A" w:rsidRPr="003812D7" w:rsidRDefault="00223099" w:rsidP="003812D7">
            <w:pPr>
              <w:pStyle w:val="ListBullet"/>
              <w:rPr>
                <w:sz w:val="18"/>
                <w:szCs w:val="18"/>
              </w:rPr>
            </w:pPr>
            <w:r w:rsidRPr="003812D7">
              <w:rPr>
                <w:sz w:val="18"/>
                <w:szCs w:val="18"/>
              </w:rPr>
              <w:t>s</w:t>
            </w:r>
            <w:r w:rsidR="00A3750A" w:rsidRPr="003812D7">
              <w:rPr>
                <w:sz w:val="18"/>
                <w:szCs w:val="18"/>
              </w:rPr>
              <w:t>trong teacher-learner relationships</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2C99CFFC" w14:textId="77777777" w:rsidR="00A3750A" w:rsidRPr="003812D7" w:rsidRDefault="00A3750A" w:rsidP="003812D7">
            <w:pPr>
              <w:pStyle w:val="TableHeading"/>
            </w:pPr>
            <w:r w:rsidRPr="003812D7">
              <w:t>Success Factors</w:t>
            </w:r>
          </w:p>
          <w:p w14:paraId="23CCCF30" w14:textId="15C19DF9" w:rsidR="00A3750A" w:rsidRPr="003812D7" w:rsidRDefault="00C017C9" w:rsidP="003812D7">
            <w:pPr>
              <w:pStyle w:val="ListBullet"/>
              <w:rPr>
                <w:sz w:val="18"/>
                <w:szCs w:val="18"/>
              </w:rPr>
            </w:pPr>
            <w:r w:rsidRPr="003812D7">
              <w:rPr>
                <w:sz w:val="18"/>
                <w:szCs w:val="18"/>
              </w:rPr>
              <w:t>t</w:t>
            </w:r>
            <w:r w:rsidR="00A3750A" w:rsidRPr="003812D7">
              <w:rPr>
                <w:sz w:val="18"/>
                <w:szCs w:val="18"/>
              </w:rPr>
              <w:t>eacher clarity</w:t>
            </w:r>
          </w:p>
          <w:p w14:paraId="033539B6" w14:textId="14F11983" w:rsidR="00A3750A" w:rsidRPr="003812D7" w:rsidRDefault="00C017C9" w:rsidP="003812D7">
            <w:pPr>
              <w:pStyle w:val="ListBullet"/>
              <w:rPr>
                <w:sz w:val="18"/>
                <w:szCs w:val="18"/>
              </w:rPr>
            </w:pPr>
            <w:r w:rsidRPr="003812D7">
              <w:rPr>
                <w:sz w:val="18"/>
                <w:szCs w:val="18"/>
              </w:rPr>
              <w:t>t</w:t>
            </w:r>
            <w:r w:rsidR="00A3750A" w:rsidRPr="003812D7">
              <w:rPr>
                <w:sz w:val="18"/>
                <w:szCs w:val="18"/>
              </w:rPr>
              <w:t>eacher credibility</w:t>
            </w:r>
          </w:p>
          <w:p w14:paraId="64508240" w14:textId="4259A25A" w:rsidR="00A3750A" w:rsidRPr="003812D7" w:rsidRDefault="00C017C9" w:rsidP="003812D7">
            <w:pPr>
              <w:pStyle w:val="ListBullet"/>
              <w:rPr>
                <w:sz w:val="18"/>
                <w:szCs w:val="18"/>
              </w:rPr>
            </w:pPr>
            <w:r w:rsidRPr="003812D7">
              <w:rPr>
                <w:sz w:val="18"/>
                <w:szCs w:val="18"/>
              </w:rPr>
              <w:t>l</w:t>
            </w:r>
            <w:r w:rsidR="00A3750A" w:rsidRPr="003812D7">
              <w:rPr>
                <w:sz w:val="18"/>
                <w:szCs w:val="18"/>
              </w:rPr>
              <w:t>earning goals vs no goals</w:t>
            </w:r>
            <w:r w:rsidRPr="003812D7">
              <w:rPr>
                <w:sz w:val="18"/>
                <w:szCs w:val="18"/>
              </w:rPr>
              <w:t>.</w:t>
            </w: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3CCEA24B" w14:textId="77777777" w:rsidR="00A3750A" w:rsidRPr="003812D7" w:rsidRDefault="00A3750A" w:rsidP="003812D7">
            <w:pPr>
              <w:pStyle w:val="TableHeading"/>
            </w:pPr>
            <w:r w:rsidRPr="003812D7">
              <w:t>Success Factors</w:t>
            </w:r>
          </w:p>
          <w:p w14:paraId="7FA1B128" w14:textId="2B29E79E" w:rsidR="00A3750A" w:rsidRPr="003812D7" w:rsidRDefault="00C017C9" w:rsidP="003812D7">
            <w:pPr>
              <w:pStyle w:val="ListBullet"/>
              <w:rPr>
                <w:sz w:val="18"/>
                <w:szCs w:val="18"/>
              </w:rPr>
            </w:pPr>
            <w:r w:rsidRPr="003812D7">
              <w:rPr>
                <w:sz w:val="18"/>
                <w:szCs w:val="18"/>
              </w:rPr>
              <w:t>t</w:t>
            </w:r>
            <w:r w:rsidR="00A3750A" w:rsidRPr="003812D7">
              <w:rPr>
                <w:sz w:val="18"/>
                <w:szCs w:val="18"/>
              </w:rPr>
              <w:t>eacher clarity</w:t>
            </w:r>
            <w:r w:rsidRPr="003812D7">
              <w:rPr>
                <w:sz w:val="18"/>
                <w:szCs w:val="18"/>
              </w:rPr>
              <w:t>.</w:t>
            </w:r>
          </w:p>
        </w:tc>
        <w:tc>
          <w:tcPr>
            <w:cnfStyle w:val="000010000000" w:firstRow="0" w:lastRow="0" w:firstColumn="0" w:lastColumn="0" w:oddVBand="1" w:evenVBand="0" w:oddHBand="0" w:evenHBand="0" w:firstRowFirstColumn="0" w:firstRowLastColumn="0" w:lastRowFirstColumn="0" w:lastRowLastColumn="0"/>
            <w:tcW w:w="625" w:type="pct"/>
            <w:shd w:val="clear" w:color="auto" w:fill="D9E2F3" w:themeFill="accent1" w:themeFillTint="33"/>
          </w:tcPr>
          <w:p w14:paraId="2E59DE74" w14:textId="77777777" w:rsidR="00A3750A" w:rsidRPr="003812D7" w:rsidRDefault="00A3750A" w:rsidP="003812D7">
            <w:pPr>
              <w:pStyle w:val="TableHeading"/>
            </w:pPr>
            <w:r w:rsidRPr="003812D7">
              <w:t>Success Factors</w:t>
            </w:r>
          </w:p>
          <w:p w14:paraId="48B7CBE0" w14:textId="356D2F3A" w:rsidR="00A3750A" w:rsidRPr="003812D7" w:rsidRDefault="00C017C9" w:rsidP="003812D7">
            <w:pPr>
              <w:pStyle w:val="ListBullet"/>
              <w:rPr>
                <w:sz w:val="18"/>
                <w:szCs w:val="18"/>
              </w:rPr>
            </w:pPr>
            <w:r w:rsidRPr="003812D7">
              <w:rPr>
                <w:sz w:val="18"/>
                <w:szCs w:val="18"/>
              </w:rPr>
              <w:t>p</w:t>
            </w:r>
            <w:r w:rsidR="00A3750A" w:rsidRPr="003812D7">
              <w:rPr>
                <w:sz w:val="18"/>
                <w:szCs w:val="18"/>
              </w:rPr>
              <w:t>ositive self-concept</w:t>
            </w:r>
          </w:p>
          <w:p w14:paraId="4E153202" w14:textId="08ABAE7E" w:rsidR="00A3750A" w:rsidRPr="003812D7" w:rsidRDefault="00C017C9" w:rsidP="003812D7">
            <w:pPr>
              <w:pStyle w:val="ListBullet"/>
              <w:rPr>
                <w:sz w:val="18"/>
                <w:szCs w:val="18"/>
              </w:rPr>
            </w:pPr>
            <w:r w:rsidRPr="003812D7">
              <w:rPr>
                <w:sz w:val="18"/>
                <w:szCs w:val="18"/>
              </w:rPr>
              <w:t>s</w:t>
            </w:r>
            <w:r w:rsidR="00A3750A" w:rsidRPr="003812D7">
              <w:rPr>
                <w:sz w:val="18"/>
                <w:szCs w:val="18"/>
              </w:rPr>
              <w:t>elf-efficacy</w:t>
            </w:r>
            <w:r w:rsidRPr="003812D7">
              <w:rPr>
                <w:sz w:val="18"/>
                <w:szCs w:val="18"/>
              </w:rPr>
              <w:t>.</w:t>
            </w:r>
          </w:p>
          <w:p w14:paraId="7916388C" w14:textId="77777777" w:rsidR="00A3750A" w:rsidRPr="003812D7" w:rsidRDefault="00A3750A" w:rsidP="003812D7">
            <w:pPr>
              <w:pStyle w:val="TableHeading"/>
            </w:pPr>
          </w:p>
        </w:tc>
        <w:tc>
          <w:tcPr>
            <w:cnfStyle w:val="000001000000" w:firstRow="0" w:lastRow="0" w:firstColumn="0" w:lastColumn="0" w:oddVBand="0" w:evenVBand="1" w:oddHBand="0" w:evenHBand="0" w:firstRowFirstColumn="0" w:firstRowLastColumn="0" w:lastRowFirstColumn="0" w:lastRowLastColumn="0"/>
            <w:tcW w:w="625" w:type="pct"/>
            <w:shd w:val="clear" w:color="auto" w:fill="F2F2F2" w:themeFill="background1" w:themeFillShade="F2"/>
          </w:tcPr>
          <w:p w14:paraId="1E2C4434" w14:textId="77777777" w:rsidR="00A3750A" w:rsidRPr="003812D7" w:rsidRDefault="00A3750A" w:rsidP="003812D7">
            <w:pPr>
              <w:pStyle w:val="TableHeading"/>
            </w:pPr>
            <w:r w:rsidRPr="003812D7">
              <w:t>Success Factors</w:t>
            </w:r>
          </w:p>
          <w:p w14:paraId="234151B0" w14:textId="0B8805AF" w:rsidR="00A3750A" w:rsidRPr="003812D7" w:rsidRDefault="00C017C9" w:rsidP="003812D7">
            <w:pPr>
              <w:pStyle w:val="ListBullet"/>
              <w:rPr>
                <w:sz w:val="18"/>
                <w:szCs w:val="18"/>
              </w:rPr>
            </w:pPr>
            <w:r w:rsidRPr="003812D7">
              <w:rPr>
                <w:sz w:val="18"/>
                <w:szCs w:val="18"/>
              </w:rPr>
              <w:t>w</w:t>
            </w:r>
            <w:r w:rsidR="00A3750A" w:rsidRPr="003812D7">
              <w:rPr>
                <w:sz w:val="18"/>
                <w:szCs w:val="18"/>
              </w:rPr>
              <w:t>orking memory strength</w:t>
            </w:r>
          </w:p>
          <w:p w14:paraId="1BE79BC4" w14:textId="71A783DE" w:rsidR="00A3750A" w:rsidRPr="003812D7" w:rsidRDefault="00C017C9" w:rsidP="003812D7">
            <w:pPr>
              <w:pStyle w:val="ListBullet"/>
              <w:rPr>
                <w:sz w:val="18"/>
                <w:szCs w:val="18"/>
              </w:rPr>
            </w:pPr>
            <w:r w:rsidRPr="003812D7">
              <w:rPr>
                <w:sz w:val="18"/>
                <w:szCs w:val="18"/>
              </w:rPr>
              <w:t>f</w:t>
            </w:r>
            <w:r w:rsidR="00A3750A" w:rsidRPr="003812D7">
              <w:rPr>
                <w:sz w:val="18"/>
                <w:szCs w:val="18"/>
              </w:rPr>
              <w:t>ield independence</w:t>
            </w:r>
          </w:p>
          <w:p w14:paraId="1F4F64FA" w14:textId="7F3141DA" w:rsidR="00A3750A" w:rsidRPr="003812D7" w:rsidRDefault="00C017C9" w:rsidP="003812D7">
            <w:pPr>
              <w:pStyle w:val="ListBullet"/>
              <w:rPr>
                <w:sz w:val="18"/>
                <w:szCs w:val="18"/>
              </w:rPr>
            </w:pPr>
            <w:r w:rsidRPr="003812D7">
              <w:rPr>
                <w:sz w:val="18"/>
                <w:szCs w:val="18"/>
              </w:rPr>
              <w:t>p</w:t>
            </w:r>
            <w:r w:rsidR="00A3750A" w:rsidRPr="003812D7">
              <w:rPr>
                <w:sz w:val="18"/>
                <w:szCs w:val="18"/>
              </w:rPr>
              <w:t>ositive self-concept</w:t>
            </w:r>
          </w:p>
          <w:p w14:paraId="43E19C31" w14:textId="7A8AB090" w:rsidR="00A3750A" w:rsidRPr="003812D7" w:rsidRDefault="00C017C9" w:rsidP="003812D7">
            <w:pPr>
              <w:pStyle w:val="ListBullet"/>
              <w:rPr>
                <w:sz w:val="18"/>
                <w:szCs w:val="18"/>
              </w:rPr>
            </w:pPr>
            <w:r w:rsidRPr="003812D7">
              <w:rPr>
                <w:sz w:val="18"/>
                <w:szCs w:val="18"/>
              </w:rPr>
              <w:t>s</w:t>
            </w:r>
            <w:r w:rsidR="00A3750A" w:rsidRPr="003812D7">
              <w:rPr>
                <w:sz w:val="18"/>
                <w:szCs w:val="18"/>
              </w:rPr>
              <w:t>elf-efficacy</w:t>
            </w:r>
          </w:p>
          <w:p w14:paraId="4131E7AE" w14:textId="0082D00D" w:rsidR="00A3750A" w:rsidRPr="003812D7" w:rsidRDefault="00C017C9" w:rsidP="003812D7">
            <w:pPr>
              <w:pStyle w:val="ListBullet"/>
              <w:rPr>
                <w:sz w:val="18"/>
                <w:szCs w:val="18"/>
              </w:rPr>
            </w:pPr>
            <w:r w:rsidRPr="003812D7">
              <w:rPr>
                <w:sz w:val="18"/>
                <w:szCs w:val="18"/>
              </w:rPr>
              <w:t>p</w:t>
            </w:r>
            <w:r w:rsidR="00A3750A" w:rsidRPr="003812D7">
              <w:rPr>
                <w:sz w:val="18"/>
                <w:szCs w:val="18"/>
              </w:rPr>
              <w:t>rior achievement</w:t>
            </w:r>
          </w:p>
          <w:p w14:paraId="64845E26" w14:textId="2D8A1F4A" w:rsidR="00A3750A" w:rsidRPr="003812D7" w:rsidRDefault="00C017C9" w:rsidP="003812D7">
            <w:pPr>
              <w:pStyle w:val="ListBullet"/>
              <w:rPr>
                <w:sz w:val="18"/>
                <w:szCs w:val="18"/>
              </w:rPr>
            </w:pPr>
            <w:r w:rsidRPr="003812D7">
              <w:rPr>
                <w:sz w:val="18"/>
                <w:szCs w:val="18"/>
              </w:rPr>
              <w:t>d</w:t>
            </w:r>
            <w:r w:rsidR="00A3750A" w:rsidRPr="003812D7">
              <w:rPr>
                <w:sz w:val="18"/>
                <w:szCs w:val="18"/>
              </w:rPr>
              <w:t>eep motivation and approach</w:t>
            </w:r>
            <w:r w:rsidRPr="003812D7">
              <w:rPr>
                <w:sz w:val="18"/>
                <w:szCs w:val="18"/>
              </w:rPr>
              <w:t>.</w:t>
            </w:r>
          </w:p>
        </w:tc>
      </w:tr>
    </w:tbl>
    <w:p w14:paraId="390D39C8" w14:textId="598A1BC6" w:rsidR="00FE7E78" w:rsidRDefault="00FE7E78" w:rsidP="003812D7">
      <w:pPr>
        <w:pStyle w:val="ListBullet"/>
        <w:sectPr w:rsidR="00FE7E78" w:rsidSect="00253F2B">
          <w:headerReference w:type="default" r:id="rId21"/>
          <w:footerReference w:type="default" r:id="rId22"/>
          <w:pgSz w:w="23808" w:h="16840" w:orient="landscape" w:code="8"/>
          <w:pgMar w:top="709" w:right="720" w:bottom="567" w:left="720" w:header="709" w:footer="7" w:gutter="0"/>
          <w:cols w:space="708"/>
          <w:docGrid w:linePitch="360"/>
        </w:sectPr>
      </w:pPr>
    </w:p>
    <w:p w14:paraId="69F70A42" w14:textId="7924BB97" w:rsidR="00DE0E39" w:rsidRPr="003812D7" w:rsidRDefault="00DE0E39" w:rsidP="003812D7">
      <w:pPr>
        <w:pStyle w:val="Heading1"/>
      </w:pPr>
      <w:r w:rsidRPr="003812D7">
        <w:t xml:space="preserve">References </w:t>
      </w:r>
    </w:p>
    <w:p w14:paraId="004ECCD1" w14:textId="77777777" w:rsidR="00B64B68" w:rsidRPr="003812D7" w:rsidRDefault="00CE0EEA" w:rsidP="003812D7">
      <w:pPr>
        <w:pStyle w:val="Bibliography"/>
      </w:pPr>
      <w:r w:rsidRPr="003812D7">
        <w:fldChar w:fldCharType="begin"/>
      </w:r>
      <w:r w:rsidR="00B64B68" w:rsidRPr="003812D7">
        <w:instrText xml:space="preserve"> ADDIN ZOTERO_BIBL {"uncited":[],"omitted":[],"custom":[]} CSL_BIBLIOGRAPHY </w:instrText>
      </w:r>
      <w:r w:rsidRPr="003812D7">
        <w:fldChar w:fldCharType="separate"/>
      </w:r>
      <w:r w:rsidR="00B64B68" w:rsidRPr="003812D7">
        <w:t xml:space="preserve">Atkinson, R. C., &amp; Shiffrin, R. M. (1968). Human memory: A proposed system and its control processes. </w:t>
      </w:r>
      <w:r w:rsidR="00B64B68" w:rsidRPr="003812D7">
        <w:rPr>
          <w:i/>
          <w:iCs/>
        </w:rPr>
        <w:t>The Psychology of Learning and Motivation</w:t>
      </w:r>
      <w:r w:rsidR="00B64B68" w:rsidRPr="003812D7">
        <w:t xml:space="preserve">, </w:t>
      </w:r>
      <w:r w:rsidR="00B64B68" w:rsidRPr="003812D7">
        <w:rPr>
          <w:i/>
          <w:iCs/>
        </w:rPr>
        <w:t>2</w:t>
      </w:r>
      <w:r w:rsidR="00B64B68" w:rsidRPr="003812D7">
        <w:t>.</w:t>
      </w:r>
    </w:p>
    <w:p w14:paraId="6A14194F" w14:textId="77777777" w:rsidR="00B64B68" w:rsidRPr="003812D7" w:rsidRDefault="00B64B68" w:rsidP="003812D7">
      <w:pPr>
        <w:pStyle w:val="Bibliography"/>
      </w:pPr>
      <w:r w:rsidRPr="003812D7">
        <w:t xml:space="preserve">Bereiter, C., &amp; Scardamalia, M. (2005). Technology and literacies: From print literacy to dialogic literacy. In </w:t>
      </w:r>
      <w:r w:rsidRPr="003812D7">
        <w:rPr>
          <w:i/>
          <w:iCs/>
        </w:rPr>
        <w:t>International handbook of educational policy</w:t>
      </w:r>
      <w:r w:rsidRPr="003812D7">
        <w:t xml:space="preserve"> (pp. 749–761). Springer.</w:t>
      </w:r>
    </w:p>
    <w:p w14:paraId="201BCC10" w14:textId="77777777" w:rsidR="00B64B68" w:rsidRPr="003812D7" w:rsidRDefault="00B64B68" w:rsidP="003812D7">
      <w:pPr>
        <w:pStyle w:val="Bibliography"/>
      </w:pPr>
      <w:r w:rsidRPr="003812D7">
        <w:t xml:space="preserve">Corwin. (2015, November 9). </w:t>
      </w:r>
      <w:r w:rsidRPr="003812D7">
        <w:rPr>
          <w:i/>
          <w:iCs/>
        </w:rPr>
        <w:t>John Hattie on inquiry-based learning</w:t>
      </w:r>
      <w:r w:rsidRPr="003812D7">
        <w:t>. https://www.youtube.com/watch?v=YUooOYbgSUg</w:t>
      </w:r>
    </w:p>
    <w:p w14:paraId="657033F0" w14:textId="77777777" w:rsidR="00B64B68" w:rsidRPr="003812D7" w:rsidRDefault="00B64B68" w:rsidP="003812D7">
      <w:pPr>
        <w:pStyle w:val="Bibliography"/>
      </w:pPr>
      <w:r w:rsidRPr="003812D7">
        <w:t xml:space="preserve">Davies, A., Fidler, D., &amp; Gorbis, M. (2011). Future work skills 2020. </w:t>
      </w:r>
      <w:r w:rsidRPr="003812D7">
        <w:rPr>
          <w:i/>
          <w:iCs/>
        </w:rPr>
        <w:t>Institute for the Future, University of Phoenix Research Institute</w:t>
      </w:r>
      <w:r w:rsidRPr="003812D7">
        <w:t xml:space="preserve">, </w:t>
      </w:r>
      <w:r w:rsidRPr="003812D7">
        <w:rPr>
          <w:i/>
          <w:iCs/>
        </w:rPr>
        <w:t>540</w:t>
      </w:r>
      <w:r w:rsidRPr="003812D7">
        <w:t>. http://www.voced.edu.au/content/ngv:49812</w:t>
      </w:r>
    </w:p>
    <w:p w14:paraId="1C856BE3" w14:textId="77777777" w:rsidR="00B64B68" w:rsidRPr="003812D7" w:rsidRDefault="00B64B68" w:rsidP="003812D7">
      <w:pPr>
        <w:pStyle w:val="Bibliography"/>
      </w:pPr>
      <w:r w:rsidRPr="003812D7">
        <w:t xml:space="preserve">Dewey, J. (1916). </w:t>
      </w:r>
      <w:r w:rsidRPr="003812D7">
        <w:rPr>
          <w:i/>
          <w:iCs/>
        </w:rPr>
        <w:t>Essays in experimental logic</w:t>
      </w:r>
      <w:r w:rsidRPr="003812D7">
        <w:t>. Chicago University.</w:t>
      </w:r>
    </w:p>
    <w:p w14:paraId="458893F2" w14:textId="77777777" w:rsidR="00B64B68" w:rsidRPr="003812D7" w:rsidRDefault="00B64B68" w:rsidP="003812D7">
      <w:pPr>
        <w:pStyle w:val="Bibliography"/>
      </w:pPr>
      <w:r w:rsidRPr="003812D7">
        <w:t xml:space="preserve">Dewey, J. (1938a). </w:t>
      </w:r>
      <w:r w:rsidRPr="003812D7">
        <w:rPr>
          <w:i/>
          <w:iCs/>
        </w:rPr>
        <w:t>Education and Experience</w:t>
      </w:r>
      <w:r w:rsidRPr="003812D7">
        <w:t>. New York: Macmillan.</w:t>
      </w:r>
    </w:p>
    <w:p w14:paraId="23A07266" w14:textId="77777777" w:rsidR="00B64B68" w:rsidRPr="003812D7" w:rsidRDefault="00B64B68" w:rsidP="003812D7">
      <w:pPr>
        <w:pStyle w:val="Bibliography"/>
      </w:pPr>
      <w:r w:rsidRPr="003812D7">
        <w:t xml:space="preserve">Dewey, J. (1938b). The theory of inquiry. </w:t>
      </w:r>
      <w:r w:rsidRPr="003812D7">
        <w:rPr>
          <w:i/>
          <w:iCs/>
        </w:rPr>
        <w:t>New York: Holt, Rinehart &amp; Wiston</w:t>
      </w:r>
      <w:r w:rsidRPr="003812D7">
        <w:t>.</w:t>
      </w:r>
    </w:p>
    <w:p w14:paraId="5D517178" w14:textId="77777777" w:rsidR="00B64B68" w:rsidRPr="003812D7" w:rsidRDefault="00B64B68" w:rsidP="003812D7">
      <w:pPr>
        <w:pStyle w:val="Bibliography"/>
      </w:pPr>
      <w:r w:rsidRPr="003812D7">
        <w:t xml:space="preserve">Foundation for Young Australians. (2017). </w:t>
      </w:r>
      <w:r w:rsidRPr="003812D7">
        <w:rPr>
          <w:i/>
          <w:iCs/>
        </w:rPr>
        <w:t>THE NEW WORK SMARTS: Thriving in the New Work Order</w:t>
      </w:r>
      <w:r w:rsidRPr="003812D7">
        <w:t>. Foundation for Young Australians (FYA). https://www.fya.org.au/wp-content/uploads/2017/07/FYA_TheNewWorkSmarts_July2017.pdf</w:t>
      </w:r>
    </w:p>
    <w:p w14:paraId="187AEE33" w14:textId="77777777" w:rsidR="00B64B68" w:rsidRPr="003812D7" w:rsidRDefault="00B64B68" w:rsidP="003812D7">
      <w:pPr>
        <w:pStyle w:val="Bibliography"/>
      </w:pPr>
      <w:r w:rsidRPr="003812D7">
        <w:t xml:space="preserve">Glasser, W. (1992). The quality school curriculum. </w:t>
      </w:r>
      <w:r w:rsidRPr="003812D7">
        <w:rPr>
          <w:i/>
          <w:iCs/>
        </w:rPr>
        <w:t>The Phi Delta Kappan</w:t>
      </w:r>
      <w:r w:rsidRPr="003812D7">
        <w:t xml:space="preserve">, </w:t>
      </w:r>
      <w:r w:rsidRPr="003812D7">
        <w:rPr>
          <w:i/>
          <w:iCs/>
        </w:rPr>
        <w:t>73</w:t>
      </w:r>
      <w:r w:rsidRPr="003812D7">
        <w:t>(9), 690–694.</w:t>
      </w:r>
    </w:p>
    <w:p w14:paraId="3F10D9B1" w14:textId="77777777" w:rsidR="00B64B68" w:rsidRPr="003812D7" w:rsidRDefault="00B64B68" w:rsidP="003812D7">
      <w:pPr>
        <w:pStyle w:val="Bibliography"/>
      </w:pPr>
      <w:r w:rsidRPr="003812D7">
        <w:t>Hattie, J. (2009). Visible learning: A synthesis of over 800 meta-analyses relating to achievement. Routledge.</w:t>
      </w:r>
    </w:p>
    <w:p w14:paraId="047C39DD" w14:textId="77777777" w:rsidR="00B64B68" w:rsidRPr="003812D7" w:rsidRDefault="00B64B68" w:rsidP="003812D7">
      <w:pPr>
        <w:pStyle w:val="Bibliography"/>
      </w:pPr>
      <w:r w:rsidRPr="003812D7">
        <w:t>Hattie, J. (2012). Visible learning for teachers: Maximizing impact on learning. Routledge.</w:t>
      </w:r>
    </w:p>
    <w:p w14:paraId="2CC48F9B" w14:textId="77777777" w:rsidR="00B64B68" w:rsidRPr="003812D7" w:rsidRDefault="00B64B68" w:rsidP="003812D7">
      <w:pPr>
        <w:pStyle w:val="Bibliography"/>
      </w:pPr>
      <w:r w:rsidRPr="003812D7">
        <w:t xml:space="preserve">Hattie, J. (2019). </w:t>
      </w:r>
      <w:r w:rsidRPr="003812D7">
        <w:rPr>
          <w:i/>
          <w:iCs/>
        </w:rPr>
        <w:t>Visible Learningplus 250+ Influences on Student Achievement</w:t>
      </w:r>
      <w:r w:rsidRPr="003812D7">
        <w:t>. Corwin. https://visible-learning.org/wp-content/uploads/2018/03/VLPLUS-252-Influences-Hattie-ranking-DEC-2017.pdf</w:t>
      </w:r>
    </w:p>
    <w:p w14:paraId="0BC5E941" w14:textId="77777777" w:rsidR="00B64B68" w:rsidRPr="003812D7" w:rsidRDefault="00B64B68" w:rsidP="003812D7">
      <w:pPr>
        <w:pStyle w:val="Bibliography"/>
      </w:pPr>
      <w:r w:rsidRPr="003812D7">
        <w:t xml:space="preserve">Hattie, J., &amp; Timperley, H. (2007). The Power of Feedback. </w:t>
      </w:r>
      <w:r w:rsidRPr="003812D7">
        <w:rPr>
          <w:i/>
          <w:iCs/>
        </w:rPr>
        <w:t>Review of Educational Research</w:t>
      </w:r>
      <w:r w:rsidRPr="003812D7">
        <w:t xml:space="preserve">, </w:t>
      </w:r>
      <w:r w:rsidRPr="003812D7">
        <w:rPr>
          <w:i/>
          <w:iCs/>
        </w:rPr>
        <w:t>77</w:t>
      </w:r>
      <w:r w:rsidRPr="003812D7">
        <w:t>(1), 86. https://doi.org/10.3102/003465430298487</w:t>
      </w:r>
    </w:p>
    <w:p w14:paraId="42922214" w14:textId="77777777" w:rsidR="00B64B68" w:rsidRPr="003812D7" w:rsidRDefault="00B64B68" w:rsidP="003812D7">
      <w:pPr>
        <w:pStyle w:val="Bibliography"/>
      </w:pPr>
      <w:r w:rsidRPr="003812D7">
        <w:t xml:space="preserve">Hatton, N., &amp; Smith, D. (1995). Reflection in teacher education: Towards definition and implementation. </w:t>
      </w:r>
      <w:r w:rsidRPr="003812D7">
        <w:rPr>
          <w:i/>
          <w:iCs/>
        </w:rPr>
        <w:t>Teaching and Teacher Education</w:t>
      </w:r>
      <w:r w:rsidRPr="003812D7">
        <w:t xml:space="preserve">, </w:t>
      </w:r>
      <w:r w:rsidRPr="003812D7">
        <w:rPr>
          <w:i/>
          <w:iCs/>
        </w:rPr>
        <w:t>11</w:t>
      </w:r>
      <w:r w:rsidRPr="003812D7">
        <w:t>(1), 33–49.</w:t>
      </w:r>
    </w:p>
    <w:p w14:paraId="7B322D55" w14:textId="77777777" w:rsidR="00B64B68" w:rsidRPr="003812D7" w:rsidRDefault="00B64B68" w:rsidP="003812D7">
      <w:pPr>
        <w:pStyle w:val="Bibliography"/>
      </w:pPr>
      <w:r w:rsidRPr="003812D7">
        <w:t xml:space="preserve">Innovation and Science Australia. (2017). </w:t>
      </w:r>
      <w:r w:rsidRPr="003812D7">
        <w:rPr>
          <w:i/>
          <w:iCs/>
        </w:rPr>
        <w:t>Australia 2030—Prosperity Through Innovation: A plan for Australia to thrive in the global innovation race</w:t>
      </w:r>
      <w:r w:rsidRPr="003812D7">
        <w:t>. https://www.industry.gov.au/data-and-publications/australia-2030-prosperity-through-innovation</w:t>
      </w:r>
    </w:p>
    <w:p w14:paraId="4F020E70" w14:textId="77777777" w:rsidR="00B64B68" w:rsidRPr="003812D7" w:rsidRDefault="00B64B68" w:rsidP="003812D7">
      <w:pPr>
        <w:pStyle w:val="Bibliography"/>
      </w:pPr>
      <w:r w:rsidRPr="003812D7">
        <w:t xml:space="preserve">Kirschner, P. A., Sweller, J., &amp; Clark, R. E. (2006). Why minimal guidance during instruction does not work: An analysis of the failure of constructivist, discovery, problem-based, experiential, and inquiry-based teaching. </w:t>
      </w:r>
      <w:r w:rsidRPr="003812D7">
        <w:rPr>
          <w:i/>
          <w:iCs/>
        </w:rPr>
        <w:t>Educational Psychologist</w:t>
      </w:r>
      <w:r w:rsidRPr="003812D7">
        <w:t xml:space="preserve">, </w:t>
      </w:r>
      <w:r w:rsidRPr="003812D7">
        <w:rPr>
          <w:i/>
          <w:iCs/>
        </w:rPr>
        <w:t>41</w:t>
      </w:r>
      <w:r w:rsidRPr="003812D7">
        <w:t>(2), 75–86. http://www.tandfonline.com/doi/abs/10.1207/s15326985ep4102_1</w:t>
      </w:r>
    </w:p>
    <w:p w14:paraId="1CF0C292" w14:textId="77777777" w:rsidR="00B64B68" w:rsidRPr="003812D7" w:rsidRDefault="00B64B68" w:rsidP="003812D7">
      <w:pPr>
        <w:pStyle w:val="Bibliography"/>
      </w:pPr>
      <w:r w:rsidRPr="003812D7">
        <w:t>Kolb, D. A. (2014). Experiential learning: Experience as the source of learning and development. FT press.</w:t>
      </w:r>
    </w:p>
    <w:p w14:paraId="5B651362" w14:textId="77777777" w:rsidR="00B64B68" w:rsidRPr="003812D7" w:rsidRDefault="00B64B68" w:rsidP="003812D7">
      <w:pPr>
        <w:pStyle w:val="Bibliography"/>
      </w:pPr>
      <w:r w:rsidRPr="003812D7">
        <w:t xml:space="preserve">Murphy, P. K., Wilkinson, I. A., Soter, A. O., &amp; Hennessy, M. N. (2011). Instruction based on discussion. </w:t>
      </w:r>
      <w:r w:rsidRPr="003812D7">
        <w:rPr>
          <w:i/>
          <w:iCs/>
        </w:rPr>
        <w:t>Handbook of Research on Learning and Instruction</w:t>
      </w:r>
      <w:r w:rsidRPr="003812D7">
        <w:t>, 382–407.</w:t>
      </w:r>
    </w:p>
    <w:p w14:paraId="4FA58738" w14:textId="77777777" w:rsidR="00B64B68" w:rsidRPr="003812D7" w:rsidRDefault="00B64B68" w:rsidP="003812D7">
      <w:pPr>
        <w:pStyle w:val="Bibliography"/>
      </w:pPr>
      <w:r w:rsidRPr="003812D7">
        <w:t xml:space="preserve">NSW Government. (2013). </w:t>
      </w:r>
      <w:r w:rsidRPr="003812D7">
        <w:rPr>
          <w:i/>
          <w:iCs/>
        </w:rPr>
        <w:t>Great Teaching, Inspired Learning: A blueprint for action</w:t>
      </w:r>
      <w:r w:rsidRPr="003812D7">
        <w:t>. NSW Government. http://www.schools.nsw.edu.au/media/downloads/news/greatteaching/gtil_blueprint.pdf</w:t>
      </w:r>
    </w:p>
    <w:p w14:paraId="1C414969" w14:textId="77777777" w:rsidR="00B64B68" w:rsidRPr="003812D7" w:rsidRDefault="00B64B68" w:rsidP="003812D7">
      <w:pPr>
        <w:pStyle w:val="Bibliography"/>
      </w:pPr>
      <w:r w:rsidRPr="003812D7">
        <w:t xml:space="preserve">OECD. (2018). </w:t>
      </w:r>
      <w:r w:rsidRPr="003812D7">
        <w:rPr>
          <w:i/>
          <w:iCs/>
        </w:rPr>
        <w:t>OECD Education 2030</w:t>
      </w:r>
      <w:r w:rsidRPr="003812D7">
        <w:t>. http://www.oecd.org/education/2030/</w:t>
      </w:r>
    </w:p>
    <w:p w14:paraId="0FAA015D" w14:textId="77777777" w:rsidR="00B64B68" w:rsidRPr="003812D7" w:rsidRDefault="00B64B68" w:rsidP="003812D7">
      <w:pPr>
        <w:pStyle w:val="Bibliography"/>
      </w:pPr>
      <w:r w:rsidRPr="003812D7">
        <w:t xml:space="preserve">Office of the Chief Scientist. (2014). </w:t>
      </w:r>
      <w:r w:rsidRPr="003812D7">
        <w:rPr>
          <w:i/>
          <w:iCs/>
        </w:rPr>
        <w:t>Science, Technology, Engineering and Mathematics: Australia’s Future</w:t>
      </w:r>
      <w:r w:rsidRPr="003812D7">
        <w:t>. Australian Government. https://www.chiefscientist.gov.au/2014/09/professor-chubb-releases-science-technology-engineering-and-mathematics-australias-future/</w:t>
      </w:r>
    </w:p>
    <w:p w14:paraId="0802F374" w14:textId="77777777" w:rsidR="00B64B68" w:rsidRPr="003812D7" w:rsidRDefault="00B64B68" w:rsidP="003812D7">
      <w:pPr>
        <w:pStyle w:val="Bibliography"/>
      </w:pPr>
      <w:r w:rsidRPr="003812D7">
        <w:t xml:space="preserve">Office of the Chief Scientist, Baranyai, K., Bowles, J., Hassan, S., Prinsley, R., Smith, P., Walter, C., Australia, &amp; Office of the Chief Scientist. (2016). </w:t>
      </w:r>
      <w:r w:rsidRPr="003812D7">
        <w:rPr>
          <w:i/>
          <w:iCs/>
        </w:rPr>
        <w:t>Australia’s STEM workforce: Science, Technology, Engineering and Mathematics.</w:t>
      </w:r>
      <w:r w:rsidRPr="003812D7">
        <w:t xml:space="preserve"> Australian Government - Department of Industry and Science.</w:t>
      </w:r>
    </w:p>
    <w:p w14:paraId="74425220" w14:textId="77777777" w:rsidR="00B64B68" w:rsidRPr="003812D7" w:rsidRDefault="00B64B68" w:rsidP="003812D7">
      <w:pPr>
        <w:pStyle w:val="Bibliography"/>
      </w:pPr>
      <w:r w:rsidRPr="003812D7">
        <w:t xml:space="preserve">Piaget, J. (1973). </w:t>
      </w:r>
      <w:r w:rsidRPr="003812D7">
        <w:rPr>
          <w:i/>
          <w:iCs/>
        </w:rPr>
        <w:t>Main trends in interdisciplinary research</w:t>
      </w:r>
      <w:r w:rsidRPr="003812D7">
        <w:t xml:space="preserve"> (Vol. 5). HarperCollins Publishers.</w:t>
      </w:r>
    </w:p>
    <w:p w14:paraId="2F557D2D" w14:textId="77777777" w:rsidR="00B64B68" w:rsidRPr="003812D7" w:rsidRDefault="00B64B68" w:rsidP="003812D7">
      <w:pPr>
        <w:pStyle w:val="Bibliography"/>
      </w:pPr>
      <w:r w:rsidRPr="003812D7">
        <w:t>PwC. (2015). Future-proofing Australia’s workforce by growing skills in science, technology, engineering and maths (STEM)—A smart move. https://www.pwc.com.au/pdf/a-smart-move-pwc-stem-report-april-2015.pdf</w:t>
      </w:r>
    </w:p>
    <w:p w14:paraId="7DB00262" w14:textId="77777777" w:rsidR="00B64B68" w:rsidRPr="003812D7" w:rsidRDefault="00B64B68" w:rsidP="003812D7">
      <w:pPr>
        <w:pStyle w:val="Bibliography"/>
      </w:pPr>
      <w:r w:rsidRPr="003812D7">
        <w:t xml:space="preserve">Schön, D. A. (1995). Knowing-in-action: The new scholarship requires a new epistemology. </w:t>
      </w:r>
      <w:r w:rsidRPr="003812D7">
        <w:rPr>
          <w:i/>
          <w:iCs/>
        </w:rPr>
        <w:t>Change: The Magazine of Higher Learning</w:t>
      </w:r>
      <w:r w:rsidRPr="003812D7">
        <w:t xml:space="preserve">, </w:t>
      </w:r>
      <w:r w:rsidRPr="003812D7">
        <w:rPr>
          <w:i/>
          <w:iCs/>
        </w:rPr>
        <w:t>27</w:t>
      </w:r>
      <w:r w:rsidRPr="003812D7">
        <w:t>(6), 27–34. http://www.tandfonline.com/doi/pdf/10.1080/00091383.1995.10544673</w:t>
      </w:r>
    </w:p>
    <w:p w14:paraId="64585E0A" w14:textId="77777777" w:rsidR="00B64B68" w:rsidRPr="003812D7" w:rsidRDefault="00B64B68" w:rsidP="003812D7">
      <w:pPr>
        <w:pStyle w:val="Bibliography"/>
      </w:pPr>
      <w:r w:rsidRPr="003812D7">
        <w:t xml:space="preserve">Tucker, S. R. (2015). </w:t>
      </w:r>
      <w:r w:rsidRPr="003812D7">
        <w:rPr>
          <w:i/>
          <w:iCs/>
        </w:rPr>
        <w:t>The Virtues and Vices in the Arts: A Sourcebook</w:t>
      </w:r>
      <w:r w:rsidRPr="003812D7">
        <w:t>. Wipf and Stock Publishers.</w:t>
      </w:r>
    </w:p>
    <w:p w14:paraId="2D1C89F7" w14:textId="77777777" w:rsidR="00B64B68" w:rsidRPr="003812D7" w:rsidRDefault="00B64B68" w:rsidP="003812D7">
      <w:pPr>
        <w:pStyle w:val="Bibliography"/>
      </w:pPr>
      <w:r w:rsidRPr="003812D7">
        <w:t>Vygotsky, L. S. (1978). Mind in society: The development of higher psychological processes. Harvard University Press.</w:t>
      </w:r>
    </w:p>
    <w:p w14:paraId="3AE58486" w14:textId="77777777" w:rsidR="00B64B68" w:rsidRPr="003812D7" w:rsidRDefault="00B64B68" w:rsidP="003812D7">
      <w:pPr>
        <w:pStyle w:val="Bibliography"/>
      </w:pPr>
      <w:r w:rsidRPr="003812D7">
        <w:t>Vygotsky, L. S. (1987). Thinking and speech. The collected works of LS Vygotsky, vol. 1. New York: Plenum.</w:t>
      </w:r>
    </w:p>
    <w:p w14:paraId="489D1F6A" w14:textId="1219E093" w:rsidR="00215EB3" w:rsidRPr="003812D7" w:rsidRDefault="00CE0EEA" w:rsidP="003812D7">
      <w:r w:rsidRPr="003812D7">
        <w:fldChar w:fldCharType="end"/>
      </w:r>
    </w:p>
    <w:sectPr w:rsidR="00215EB3" w:rsidRPr="003812D7" w:rsidSect="00253F2B">
      <w:headerReference w:type="default" r:id="rId23"/>
      <w:footerReference w:type="default" r:id="rId24"/>
      <w:pgSz w:w="11906" w:h="16838" w:code="9"/>
      <w:pgMar w:top="1440" w:right="1440" w:bottom="1134" w:left="1440"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0EFE8E" w16cex:dateUtc="2020-05-27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14142" w16cid:durableId="340EFE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03B7" w14:textId="77777777" w:rsidR="003812D7" w:rsidRDefault="003812D7" w:rsidP="003812D7">
      <w:pPr>
        <w:spacing w:after="0" w:line="240" w:lineRule="auto"/>
      </w:pPr>
      <w:r>
        <w:separator/>
      </w:r>
    </w:p>
  </w:endnote>
  <w:endnote w:type="continuationSeparator" w:id="0">
    <w:p w14:paraId="4CC658AC" w14:textId="77777777" w:rsidR="003812D7" w:rsidRDefault="003812D7" w:rsidP="0038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E0CF" w14:textId="5A91A07A" w:rsidR="003812D7" w:rsidRDefault="00253F2B" w:rsidP="003812D7">
    <w:pPr>
      <w:pStyle w:val="Logo"/>
      <w:ind w:hanging="709"/>
    </w:pPr>
    <w:r w:rsidRPr="009C69B7">
      <w:rPr>
        <w:noProof/>
        <w:lang w:eastAsia="en-AU"/>
      </w:rPr>
      <w:drawing>
        <wp:anchor distT="0" distB="0" distL="114300" distR="114300" simplePos="0" relativeHeight="251668480" behindDoc="0" locked="0" layoutInCell="1" allowOverlap="1" wp14:anchorId="02E23C08" wp14:editId="1FC64E00">
          <wp:simplePos x="0" y="0"/>
          <wp:positionH relativeFrom="rightMargin">
            <wp:align>left</wp:align>
          </wp:positionH>
          <wp:positionV relativeFrom="paragraph">
            <wp:posOffset>-228469</wp:posOffset>
          </wp:positionV>
          <wp:extent cx="507365" cy="539750"/>
          <wp:effectExtent l="0" t="0" r="6985" b="0"/>
          <wp:wrapNone/>
          <wp:docPr id="112" name="Picture 1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9C69B7">
      <w:rPr>
        <w:noProof/>
        <w:lang w:eastAsia="en-AU"/>
      </w:rPr>
      <w:drawing>
        <wp:anchor distT="0" distB="0" distL="114300" distR="114300" simplePos="0" relativeHeight="251663360" behindDoc="0" locked="0" layoutInCell="1" allowOverlap="1" wp14:anchorId="1DD0793B" wp14:editId="1A5146D0">
          <wp:simplePos x="0" y="0"/>
          <wp:positionH relativeFrom="rightMargin">
            <wp:posOffset>7765588</wp:posOffset>
          </wp:positionH>
          <wp:positionV relativeFrom="paragraph">
            <wp:posOffset>-209805</wp:posOffset>
          </wp:positionV>
          <wp:extent cx="507365" cy="539750"/>
          <wp:effectExtent l="0" t="0" r="6985" b="0"/>
          <wp:wrapNone/>
          <wp:docPr id="96" name="Picture 9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003812D7" w:rsidRPr="005021A2">
      <w:rPr>
        <w:noProof/>
        <w:lang w:eastAsia="en-AU"/>
      </w:rPr>
      <w:drawing>
        <wp:anchor distT="0" distB="0" distL="114300" distR="114300" simplePos="0" relativeHeight="251661312" behindDoc="0" locked="0" layoutInCell="1" allowOverlap="1" wp14:anchorId="04B52FE5" wp14:editId="47CE8D07">
          <wp:simplePos x="0" y="0"/>
          <wp:positionH relativeFrom="column">
            <wp:posOffset>3134995</wp:posOffset>
          </wp:positionH>
          <wp:positionV relativeFrom="paragraph">
            <wp:posOffset>-194310</wp:posOffset>
          </wp:positionV>
          <wp:extent cx="2766695" cy="2731135"/>
          <wp:effectExtent l="133350" t="0" r="0" b="0"/>
          <wp:wrapNone/>
          <wp:docPr id="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66695" cy="2731135"/>
                  </a:xfrm>
                  <a:prstGeom prst="rect">
                    <a:avLst/>
                  </a:prstGeom>
                </pic:spPr>
              </pic:pic>
            </a:graphicData>
          </a:graphic>
          <wp14:sizeRelH relativeFrom="margin">
            <wp14:pctWidth>0</wp14:pctWidth>
          </wp14:sizeRelH>
          <wp14:sizeRelV relativeFrom="margin">
            <wp14:pctHeight>0</wp14:pctHeight>
          </wp14:sizeRelV>
        </wp:anchor>
      </w:drawing>
    </w:r>
    <w:r w:rsidR="003812D7" w:rsidRPr="005021A2">
      <w:rPr>
        <w:noProof/>
        <w:lang w:eastAsia="en-AU"/>
      </w:rPr>
      <w:drawing>
        <wp:anchor distT="0" distB="0" distL="114300" distR="114300" simplePos="0" relativeHeight="251662336" behindDoc="0" locked="0" layoutInCell="1" allowOverlap="1" wp14:anchorId="33B17044" wp14:editId="460297B0">
          <wp:simplePos x="0" y="0"/>
          <wp:positionH relativeFrom="column">
            <wp:posOffset>1910260</wp:posOffset>
          </wp:positionH>
          <wp:positionV relativeFrom="paragraph">
            <wp:posOffset>-32100</wp:posOffset>
          </wp:positionV>
          <wp:extent cx="1792605" cy="1769110"/>
          <wp:effectExtent l="0" t="0" r="0" b="2540"/>
          <wp:wrapNone/>
          <wp:docPr id="9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605" cy="1769110"/>
                  </a:xfrm>
                  <a:prstGeom prst="rect">
                    <a:avLst/>
                  </a:prstGeom>
                </pic:spPr>
              </pic:pic>
            </a:graphicData>
          </a:graphic>
          <wp14:sizeRelH relativeFrom="margin">
            <wp14:pctWidth>0</wp14:pctWidth>
          </wp14:sizeRelH>
          <wp14:sizeRelV relativeFrom="margin">
            <wp14:pctHeight>0</wp14:pctHeight>
          </wp14:sizeRelV>
        </wp:anchor>
      </w:drawing>
    </w:r>
    <w:r w:rsidR="003812D7" w:rsidRPr="00791B72">
      <w:t>education.nsw.gov.au</w:t>
    </w:r>
    <w:r w:rsidR="003812D7" w:rsidRPr="00791B72">
      <w:tab/>
    </w:r>
  </w:p>
  <w:p w14:paraId="32D93988" w14:textId="77777777" w:rsidR="003812D7" w:rsidRDefault="0038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E8EC" w14:textId="77777777" w:rsidR="00253F2B" w:rsidRDefault="00253F2B" w:rsidP="00253F2B">
    <w:pPr>
      <w:pStyle w:val="Logo"/>
    </w:pPr>
    <w:r w:rsidRPr="009C69B7">
      <w:rPr>
        <w:noProof/>
        <w:lang w:eastAsia="en-AU"/>
      </w:rPr>
      <w:drawing>
        <wp:anchor distT="0" distB="0" distL="114300" distR="114300" simplePos="0" relativeHeight="251673600" behindDoc="0" locked="0" layoutInCell="1" allowOverlap="1" wp14:anchorId="4F784C2C" wp14:editId="550F085A">
          <wp:simplePos x="0" y="0"/>
          <wp:positionH relativeFrom="rightMargin">
            <wp:align>left</wp:align>
          </wp:positionH>
          <wp:positionV relativeFrom="paragraph">
            <wp:posOffset>-228469</wp:posOffset>
          </wp:positionV>
          <wp:extent cx="507365" cy="539750"/>
          <wp:effectExtent l="0" t="0" r="6985" b="0"/>
          <wp:wrapNone/>
          <wp:docPr id="137" name="Picture 13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9C69B7">
      <w:rPr>
        <w:noProof/>
        <w:lang w:eastAsia="en-AU"/>
      </w:rPr>
      <w:drawing>
        <wp:anchor distT="0" distB="0" distL="114300" distR="114300" simplePos="0" relativeHeight="251672576" behindDoc="0" locked="0" layoutInCell="1" allowOverlap="1" wp14:anchorId="3CC052C4" wp14:editId="3933FC86">
          <wp:simplePos x="0" y="0"/>
          <wp:positionH relativeFrom="rightMargin">
            <wp:posOffset>7765588</wp:posOffset>
          </wp:positionH>
          <wp:positionV relativeFrom="paragraph">
            <wp:posOffset>-209805</wp:posOffset>
          </wp:positionV>
          <wp:extent cx="507365" cy="539750"/>
          <wp:effectExtent l="0" t="0" r="6985" b="0"/>
          <wp:wrapNone/>
          <wp:docPr id="138" name="Picture 13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5021A2">
      <w:rPr>
        <w:noProof/>
        <w:lang w:eastAsia="en-AU"/>
      </w:rPr>
      <w:drawing>
        <wp:anchor distT="0" distB="0" distL="114300" distR="114300" simplePos="0" relativeHeight="251670528" behindDoc="0" locked="0" layoutInCell="1" allowOverlap="1" wp14:anchorId="1A6B79EC" wp14:editId="28311306">
          <wp:simplePos x="0" y="0"/>
          <wp:positionH relativeFrom="column">
            <wp:posOffset>3134995</wp:posOffset>
          </wp:positionH>
          <wp:positionV relativeFrom="paragraph">
            <wp:posOffset>-194310</wp:posOffset>
          </wp:positionV>
          <wp:extent cx="2766695" cy="2731135"/>
          <wp:effectExtent l="133350" t="0" r="0" b="0"/>
          <wp:wrapNone/>
          <wp:docPr id="1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66695" cy="2731135"/>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1552" behindDoc="0" locked="0" layoutInCell="1" allowOverlap="1" wp14:anchorId="7DB3A12C" wp14:editId="6F3B0693">
          <wp:simplePos x="0" y="0"/>
          <wp:positionH relativeFrom="column">
            <wp:posOffset>1910260</wp:posOffset>
          </wp:positionH>
          <wp:positionV relativeFrom="paragraph">
            <wp:posOffset>-32100</wp:posOffset>
          </wp:positionV>
          <wp:extent cx="1792605" cy="1769110"/>
          <wp:effectExtent l="0" t="0" r="0" b="2540"/>
          <wp:wrapNone/>
          <wp:docPr id="1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605" cy="1769110"/>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p>
  <w:p w14:paraId="6A22ADF4" w14:textId="77777777" w:rsidR="00253F2B" w:rsidRDefault="00253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7F97" w14:textId="77777777" w:rsidR="00253F2B" w:rsidRDefault="00253F2B" w:rsidP="00253F2B">
    <w:pPr>
      <w:pStyle w:val="Logo"/>
      <w:ind w:hanging="709"/>
    </w:pPr>
    <w:r w:rsidRPr="009C69B7">
      <w:rPr>
        <w:noProof/>
        <w:lang w:eastAsia="en-AU"/>
      </w:rPr>
      <w:drawing>
        <wp:anchor distT="0" distB="0" distL="114300" distR="114300" simplePos="0" relativeHeight="251678720" behindDoc="0" locked="0" layoutInCell="1" allowOverlap="1" wp14:anchorId="29B0FA98" wp14:editId="058A5A8F">
          <wp:simplePos x="0" y="0"/>
          <wp:positionH relativeFrom="rightMargin">
            <wp:align>left</wp:align>
          </wp:positionH>
          <wp:positionV relativeFrom="paragraph">
            <wp:posOffset>-228469</wp:posOffset>
          </wp:positionV>
          <wp:extent cx="507365" cy="539750"/>
          <wp:effectExtent l="0" t="0" r="6985" b="0"/>
          <wp:wrapNone/>
          <wp:docPr id="141" name="Picture 14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9C69B7">
      <w:rPr>
        <w:noProof/>
        <w:lang w:eastAsia="en-AU"/>
      </w:rPr>
      <w:drawing>
        <wp:anchor distT="0" distB="0" distL="114300" distR="114300" simplePos="0" relativeHeight="251677696" behindDoc="0" locked="0" layoutInCell="1" allowOverlap="1" wp14:anchorId="27C0E26A" wp14:editId="2DBAB468">
          <wp:simplePos x="0" y="0"/>
          <wp:positionH relativeFrom="rightMargin">
            <wp:posOffset>7765588</wp:posOffset>
          </wp:positionH>
          <wp:positionV relativeFrom="paragraph">
            <wp:posOffset>-209805</wp:posOffset>
          </wp:positionV>
          <wp:extent cx="507365" cy="539750"/>
          <wp:effectExtent l="0" t="0" r="6985" b="0"/>
          <wp:wrapNone/>
          <wp:docPr id="142" name="Picture 14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Pr="005021A2">
      <w:rPr>
        <w:noProof/>
        <w:lang w:eastAsia="en-AU"/>
      </w:rPr>
      <w:drawing>
        <wp:anchor distT="0" distB="0" distL="114300" distR="114300" simplePos="0" relativeHeight="251675648" behindDoc="0" locked="0" layoutInCell="1" allowOverlap="1" wp14:anchorId="6EA7C096" wp14:editId="34942D49">
          <wp:simplePos x="0" y="0"/>
          <wp:positionH relativeFrom="column">
            <wp:posOffset>3134995</wp:posOffset>
          </wp:positionH>
          <wp:positionV relativeFrom="paragraph">
            <wp:posOffset>-194310</wp:posOffset>
          </wp:positionV>
          <wp:extent cx="2766695" cy="2731135"/>
          <wp:effectExtent l="133350" t="0" r="0" b="0"/>
          <wp:wrapNone/>
          <wp:docPr id="1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66695" cy="2731135"/>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6672" behindDoc="0" locked="0" layoutInCell="1" allowOverlap="1" wp14:anchorId="339A077C" wp14:editId="371E0234">
          <wp:simplePos x="0" y="0"/>
          <wp:positionH relativeFrom="column">
            <wp:posOffset>1910260</wp:posOffset>
          </wp:positionH>
          <wp:positionV relativeFrom="paragraph">
            <wp:posOffset>-32100</wp:posOffset>
          </wp:positionV>
          <wp:extent cx="1792605" cy="1769110"/>
          <wp:effectExtent l="0" t="0" r="0" b="2540"/>
          <wp:wrapNone/>
          <wp:docPr id="1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92605" cy="1769110"/>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p>
  <w:p w14:paraId="1E43CA34" w14:textId="77777777" w:rsidR="00253F2B" w:rsidRDefault="0025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608B" w14:textId="77777777" w:rsidR="003812D7" w:rsidRDefault="003812D7" w:rsidP="003812D7">
      <w:pPr>
        <w:spacing w:after="0" w:line="240" w:lineRule="auto"/>
      </w:pPr>
      <w:r>
        <w:separator/>
      </w:r>
    </w:p>
  </w:footnote>
  <w:footnote w:type="continuationSeparator" w:id="0">
    <w:p w14:paraId="5873ECCF" w14:textId="77777777" w:rsidR="003812D7" w:rsidRDefault="003812D7" w:rsidP="0038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4382" w14:textId="66BDFF00" w:rsidR="003812D7" w:rsidRDefault="003812D7" w:rsidP="003812D7">
    <w:pPr>
      <w:pStyle w:val="Header"/>
      <w:ind w:hanging="709"/>
    </w:pPr>
    <w:r w:rsidRPr="005021A2">
      <w:rPr>
        <w:noProof/>
        <w:lang w:eastAsia="en-AU"/>
      </w:rPr>
      <w:drawing>
        <wp:anchor distT="0" distB="0" distL="114300" distR="114300" simplePos="0" relativeHeight="251659264" behindDoc="0" locked="0" layoutInCell="1" allowOverlap="1" wp14:anchorId="5F3EC3AB" wp14:editId="6BCF5CEC">
          <wp:simplePos x="0" y="0"/>
          <wp:positionH relativeFrom="column">
            <wp:posOffset>3792542</wp:posOffset>
          </wp:positionH>
          <wp:positionV relativeFrom="paragraph">
            <wp:posOffset>-3351369</wp:posOffset>
          </wp:positionV>
          <wp:extent cx="3575178" cy="3529851"/>
          <wp:effectExtent l="0" t="0" r="0" b="0"/>
          <wp:wrapNone/>
          <wp:docPr id="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 SLEC</w:t>
    </w:r>
  </w:p>
  <w:p w14:paraId="0B79643B" w14:textId="77777777" w:rsidR="003812D7" w:rsidRDefault="0038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DF57" w14:textId="77777777" w:rsidR="00253F2B" w:rsidRDefault="00253F2B" w:rsidP="00253F2B">
    <w:pPr>
      <w:pStyle w:val="Header"/>
    </w:pPr>
    <w:r w:rsidRPr="005021A2">
      <w:rPr>
        <w:noProof/>
        <w:lang w:eastAsia="en-AU"/>
      </w:rPr>
      <w:drawing>
        <wp:anchor distT="0" distB="0" distL="114300" distR="114300" simplePos="0" relativeHeight="251665408" behindDoc="0" locked="0" layoutInCell="1" allowOverlap="1" wp14:anchorId="7F903926" wp14:editId="6F73B378">
          <wp:simplePos x="0" y="0"/>
          <wp:positionH relativeFrom="column">
            <wp:posOffset>11914942</wp:posOffset>
          </wp:positionH>
          <wp:positionV relativeFrom="paragraph">
            <wp:posOffset>-3398397</wp:posOffset>
          </wp:positionV>
          <wp:extent cx="3575178" cy="3529851"/>
          <wp:effectExtent l="0" t="0" r="0" b="0"/>
          <wp:wrapNone/>
          <wp:docPr id="1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 SLEC</w:t>
    </w:r>
  </w:p>
  <w:p w14:paraId="398A0936" w14:textId="77777777" w:rsidR="00253F2B" w:rsidRDefault="00253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146A" w14:textId="77777777" w:rsidR="00253F2B" w:rsidRDefault="00253F2B" w:rsidP="003812D7">
    <w:pPr>
      <w:pStyle w:val="Header"/>
      <w:ind w:hanging="709"/>
    </w:pPr>
    <w:r w:rsidRPr="005021A2">
      <w:rPr>
        <w:noProof/>
        <w:lang w:eastAsia="en-AU"/>
      </w:rPr>
      <w:drawing>
        <wp:anchor distT="0" distB="0" distL="114300" distR="114300" simplePos="0" relativeHeight="251667456" behindDoc="0" locked="0" layoutInCell="1" allowOverlap="1" wp14:anchorId="7933F32E" wp14:editId="59052026">
          <wp:simplePos x="0" y="0"/>
          <wp:positionH relativeFrom="column">
            <wp:posOffset>3792542</wp:posOffset>
          </wp:positionH>
          <wp:positionV relativeFrom="paragraph">
            <wp:posOffset>-3351369</wp:posOffset>
          </wp:positionV>
          <wp:extent cx="3575178" cy="3529851"/>
          <wp:effectExtent l="0" t="0" r="0" b="0"/>
          <wp:wrapNone/>
          <wp:docPr id="1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 SLEC</w:t>
    </w:r>
  </w:p>
  <w:p w14:paraId="12C70C6A" w14:textId="77777777" w:rsidR="00253F2B" w:rsidRDefault="0025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32C98C"/>
    <w:lvl w:ilvl="0">
      <w:start w:val="1"/>
      <w:numFmt w:val="bullet"/>
      <w:pStyle w:val="ListBullet"/>
      <w:lvlText w:val=""/>
      <w:lvlJc w:val="left"/>
      <w:pPr>
        <w:tabs>
          <w:tab w:val="num" w:pos="360"/>
        </w:tabs>
        <w:ind w:left="360" w:hanging="360"/>
      </w:pPr>
      <w:rPr>
        <w:rFonts w:ascii="Symbol" w:hAnsi="Symbol" w:hint="default"/>
        <w:b w:val="0"/>
        <w:bCs w:val="0"/>
        <w:color w:val="auto"/>
      </w:rPr>
    </w:lvl>
  </w:abstractNum>
  <w:abstractNum w:abstractNumId="1" w15:restartNumberingAfterBreak="0">
    <w:nsid w:val="13223C3C"/>
    <w:multiLevelType w:val="hybridMultilevel"/>
    <w:tmpl w:val="3936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0A1359"/>
    <w:multiLevelType w:val="hybridMultilevel"/>
    <w:tmpl w:val="F2A2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0924CC"/>
    <w:multiLevelType w:val="hybridMultilevel"/>
    <w:tmpl w:val="CA664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75B94"/>
    <w:multiLevelType w:val="hybridMultilevel"/>
    <w:tmpl w:val="F4BC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D5670A"/>
    <w:multiLevelType w:val="hybridMultilevel"/>
    <w:tmpl w:val="60507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165891"/>
    <w:multiLevelType w:val="hybridMultilevel"/>
    <w:tmpl w:val="10D8B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B624EC"/>
    <w:multiLevelType w:val="hybridMultilevel"/>
    <w:tmpl w:val="5E02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1C4DA7"/>
    <w:multiLevelType w:val="hybridMultilevel"/>
    <w:tmpl w:val="7D1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56"/>
    <w:rsid w:val="00000FF6"/>
    <w:rsid w:val="00001A84"/>
    <w:rsid w:val="00001CC8"/>
    <w:rsid w:val="00001DCF"/>
    <w:rsid w:val="00002292"/>
    <w:rsid w:val="00002C47"/>
    <w:rsid w:val="00003174"/>
    <w:rsid w:val="00003F9B"/>
    <w:rsid w:val="0000581A"/>
    <w:rsid w:val="0000789C"/>
    <w:rsid w:val="00010608"/>
    <w:rsid w:val="000111B8"/>
    <w:rsid w:val="0001132E"/>
    <w:rsid w:val="00011D1B"/>
    <w:rsid w:val="00013E67"/>
    <w:rsid w:val="000162A6"/>
    <w:rsid w:val="00016667"/>
    <w:rsid w:val="00020331"/>
    <w:rsid w:val="00020E21"/>
    <w:rsid w:val="000219C3"/>
    <w:rsid w:val="00022F39"/>
    <w:rsid w:val="00022F57"/>
    <w:rsid w:val="00023146"/>
    <w:rsid w:val="0002341A"/>
    <w:rsid w:val="00023EB6"/>
    <w:rsid w:val="00026733"/>
    <w:rsid w:val="00026BD5"/>
    <w:rsid w:val="00026EDB"/>
    <w:rsid w:val="00027170"/>
    <w:rsid w:val="0003241F"/>
    <w:rsid w:val="00032C69"/>
    <w:rsid w:val="00032DE3"/>
    <w:rsid w:val="00035A5E"/>
    <w:rsid w:val="00036C84"/>
    <w:rsid w:val="00037F39"/>
    <w:rsid w:val="0004073A"/>
    <w:rsid w:val="00042E38"/>
    <w:rsid w:val="00044C64"/>
    <w:rsid w:val="00044E77"/>
    <w:rsid w:val="00045A46"/>
    <w:rsid w:val="00051E93"/>
    <w:rsid w:val="00052F2B"/>
    <w:rsid w:val="00053053"/>
    <w:rsid w:val="00053FB8"/>
    <w:rsid w:val="00054550"/>
    <w:rsid w:val="00054F3E"/>
    <w:rsid w:val="000558FD"/>
    <w:rsid w:val="000560EB"/>
    <w:rsid w:val="000566F3"/>
    <w:rsid w:val="00060F67"/>
    <w:rsid w:val="00061063"/>
    <w:rsid w:val="00061CA4"/>
    <w:rsid w:val="00062488"/>
    <w:rsid w:val="00064D42"/>
    <w:rsid w:val="00065329"/>
    <w:rsid w:val="0006561F"/>
    <w:rsid w:val="000662CF"/>
    <w:rsid w:val="00066A27"/>
    <w:rsid w:val="00066C88"/>
    <w:rsid w:val="00070C5E"/>
    <w:rsid w:val="000720B4"/>
    <w:rsid w:val="00074228"/>
    <w:rsid w:val="000744BA"/>
    <w:rsid w:val="00075235"/>
    <w:rsid w:val="00076442"/>
    <w:rsid w:val="00081126"/>
    <w:rsid w:val="00081649"/>
    <w:rsid w:val="00084441"/>
    <w:rsid w:val="000851B9"/>
    <w:rsid w:val="00087442"/>
    <w:rsid w:val="00087E87"/>
    <w:rsid w:val="0009165D"/>
    <w:rsid w:val="00092F72"/>
    <w:rsid w:val="000948D7"/>
    <w:rsid w:val="00095C5C"/>
    <w:rsid w:val="00097B2D"/>
    <w:rsid w:val="000A04D9"/>
    <w:rsid w:val="000A1A8B"/>
    <w:rsid w:val="000A2F81"/>
    <w:rsid w:val="000A4153"/>
    <w:rsid w:val="000A434A"/>
    <w:rsid w:val="000A6426"/>
    <w:rsid w:val="000A6B49"/>
    <w:rsid w:val="000A773B"/>
    <w:rsid w:val="000A7F6F"/>
    <w:rsid w:val="000B02DF"/>
    <w:rsid w:val="000B03A6"/>
    <w:rsid w:val="000B228C"/>
    <w:rsid w:val="000B562B"/>
    <w:rsid w:val="000B56D6"/>
    <w:rsid w:val="000B5A68"/>
    <w:rsid w:val="000B624A"/>
    <w:rsid w:val="000B7F31"/>
    <w:rsid w:val="000C0B5E"/>
    <w:rsid w:val="000C2660"/>
    <w:rsid w:val="000C31F6"/>
    <w:rsid w:val="000C63D2"/>
    <w:rsid w:val="000C6929"/>
    <w:rsid w:val="000C6CC3"/>
    <w:rsid w:val="000D0647"/>
    <w:rsid w:val="000D2CC4"/>
    <w:rsid w:val="000D52E8"/>
    <w:rsid w:val="000D7700"/>
    <w:rsid w:val="000E00A8"/>
    <w:rsid w:val="000E10E9"/>
    <w:rsid w:val="000E4A4F"/>
    <w:rsid w:val="000E5A6C"/>
    <w:rsid w:val="000E5E76"/>
    <w:rsid w:val="000E68C9"/>
    <w:rsid w:val="000E6C19"/>
    <w:rsid w:val="000F12AD"/>
    <w:rsid w:val="000F14FD"/>
    <w:rsid w:val="000F3466"/>
    <w:rsid w:val="000F37F7"/>
    <w:rsid w:val="000F39C5"/>
    <w:rsid w:val="000F514F"/>
    <w:rsid w:val="000F604F"/>
    <w:rsid w:val="000F7B34"/>
    <w:rsid w:val="0010141F"/>
    <w:rsid w:val="00101969"/>
    <w:rsid w:val="00102104"/>
    <w:rsid w:val="00103787"/>
    <w:rsid w:val="00104E02"/>
    <w:rsid w:val="0010626C"/>
    <w:rsid w:val="00106B23"/>
    <w:rsid w:val="00106BC7"/>
    <w:rsid w:val="00107719"/>
    <w:rsid w:val="00107979"/>
    <w:rsid w:val="00107C0C"/>
    <w:rsid w:val="001101A2"/>
    <w:rsid w:val="00110FF4"/>
    <w:rsid w:val="00112E1D"/>
    <w:rsid w:val="00113582"/>
    <w:rsid w:val="001162F0"/>
    <w:rsid w:val="00116C40"/>
    <w:rsid w:val="00117C0E"/>
    <w:rsid w:val="00120D2E"/>
    <w:rsid w:val="001220E0"/>
    <w:rsid w:val="00124E20"/>
    <w:rsid w:val="00125833"/>
    <w:rsid w:val="00127CC3"/>
    <w:rsid w:val="001313BF"/>
    <w:rsid w:val="001317A8"/>
    <w:rsid w:val="00131BC8"/>
    <w:rsid w:val="001323D9"/>
    <w:rsid w:val="00134444"/>
    <w:rsid w:val="00134BA5"/>
    <w:rsid w:val="00134CEB"/>
    <w:rsid w:val="00134ED1"/>
    <w:rsid w:val="00136788"/>
    <w:rsid w:val="00136F2E"/>
    <w:rsid w:val="001374C9"/>
    <w:rsid w:val="0013781D"/>
    <w:rsid w:val="00140BC6"/>
    <w:rsid w:val="00142ED3"/>
    <w:rsid w:val="00143844"/>
    <w:rsid w:val="00143A79"/>
    <w:rsid w:val="00143AA9"/>
    <w:rsid w:val="00143DCF"/>
    <w:rsid w:val="00144049"/>
    <w:rsid w:val="00145A0C"/>
    <w:rsid w:val="001462D6"/>
    <w:rsid w:val="0015013B"/>
    <w:rsid w:val="00151898"/>
    <w:rsid w:val="00155E9C"/>
    <w:rsid w:val="00157CD3"/>
    <w:rsid w:val="00162F15"/>
    <w:rsid w:val="00163102"/>
    <w:rsid w:val="001636B9"/>
    <w:rsid w:val="00167493"/>
    <w:rsid w:val="0016781C"/>
    <w:rsid w:val="0017166B"/>
    <w:rsid w:val="00175664"/>
    <w:rsid w:val="001756D4"/>
    <w:rsid w:val="001805F6"/>
    <w:rsid w:val="001816EF"/>
    <w:rsid w:val="001839B9"/>
    <w:rsid w:val="00184879"/>
    <w:rsid w:val="0018714C"/>
    <w:rsid w:val="001872F6"/>
    <w:rsid w:val="001911F0"/>
    <w:rsid w:val="0019155B"/>
    <w:rsid w:val="001918F7"/>
    <w:rsid w:val="00192F56"/>
    <w:rsid w:val="0019329B"/>
    <w:rsid w:val="00194CA1"/>
    <w:rsid w:val="00195CE3"/>
    <w:rsid w:val="00196341"/>
    <w:rsid w:val="001A1E34"/>
    <w:rsid w:val="001A2225"/>
    <w:rsid w:val="001A24F0"/>
    <w:rsid w:val="001A47A4"/>
    <w:rsid w:val="001A5F97"/>
    <w:rsid w:val="001A6792"/>
    <w:rsid w:val="001A6827"/>
    <w:rsid w:val="001B10E1"/>
    <w:rsid w:val="001B2607"/>
    <w:rsid w:val="001B5214"/>
    <w:rsid w:val="001B745E"/>
    <w:rsid w:val="001C0D97"/>
    <w:rsid w:val="001C1F7F"/>
    <w:rsid w:val="001C2F2C"/>
    <w:rsid w:val="001C3C02"/>
    <w:rsid w:val="001C4827"/>
    <w:rsid w:val="001C4C09"/>
    <w:rsid w:val="001C6E3C"/>
    <w:rsid w:val="001D0CA0"/>
    <w:rsid w:val="001D1A83"/>
    <w:rsid w:val="001D2E1B"/>
    <w:rsid w:val="001D32EF"/>
    <w:rsid w:val="001D4141"/>
    <w:rsid w:val="001D43FD"/>
    <w:rsid w:val="001D4590"/>
    <w:rsid w:val="001D79A3"/>
    <w:rsid w:val="001E0A1D"/>
    <w:rsid w:val="001E0E13"/>
    <w:rsid w:val="001E0E61"/>
    <w:rsid w:val="001E1BED"/>
    <w:rsid w:val="001E1C40"/>
    <w:rsid w:val="001E3D67"/>
    <w:rsid w:val="001E580C"/>
    <w:rsid w:val="001E666B"/>
    <w:rsid w:val="001F2614"/>
    <w:rsid w:val="001F37E5"/>
    <w:rsid w:val="001F3C81"/>
    <w:rsid w:val="001F4E4A"/>
    <w:rsid w:val="001F505C"/>
    <w:rsid w:val="001F5D51"/>
    <w:rsid w:val="001F7411"/>
    <w:rsid w:val="002009B6"/>
    <w:rsid w:val="0020236F"/>
    <w:rsid w:val="00202ACB"/>
    <w:rsid w:val="00202D33"/>
    <w:rsid w:val="00204AE8"/>
    <w:rsid w:val="00205C31"/>
    <w:rsid w:val="00205EEC"/>
    <w:rsid w:val="00214955"/>
    <w:rsid w:val="00215EB3"/>
    <w:rsid w:val="002162B6"/>
    <w:rsid w:val="00217892"/>
    <w:rsid w:val="00217BB0"/>
    <w:rsid w:val="00217D3A"/>
    <w:rsid w:val="00220509"/>
    <w:rsid w:val="0022079F"/>
    <w:rsid w:val="00221860"/>
    <w:rsid w:val="00222D6C"/>
    <w:rsid w:val="00223099"/>
    <w:rsid w:val="00223AE7"/>
    <w:rsid w:val="002241A4"/>
    <w:rsid w:val="002317AA"/>
    <w:rsid w:val="002326D0"/>
    <w:rsid w:val="00234559"/>
    <w:rsid w:val="002443C4"/>
    <w:rsid w:val="0024748D"/>
    <w:rsid w:val="0025138A"/>
    <w:rsid w:val="002526D3"/>
    <w:rsid w:val="00253DF4"/>
    <w:rsid w:val="00253F2B"/>
    <w:rsid w:val="00254983"/>
    <w:rsid w:val="00255445"/>
    <w:rsid w:val="00255C93"/>
    <w:rsid w:val="002604D0"/>
    <w:rsid w:val="00260D67"/>
    <w:rsid w:val="00260D7B"/>
    <w:rsid w:val="00261B67"/>
    <w:rsid w:val="00262AB2"/>
    <w:rsid w:val="00263023"/>
    <w:rsid w:val="00263584"/>
    <w:rsid w:val="00264318"/>
    <w:rsid w:val="00264C0A"/>
    <w:rsid w:val="00266829"/>
    <w:rsid w:val="002702A6"/>
    <w:rsid w:val="00271EB7"/>
    <w:rsid w:val="00273E5F"/>
    <w:rsid w:val="0027522D"/>
    <w:rsid w:val="002757BB"/>
    <w:rsid w:val="0027606B"/>
    <w:rsid w:val="0028571F"/>
    <w:rsid w:val="002931CB"/>
    <w:rsid w:val="0029369B"/>
    <w:rsid w:val="0029477E"/>
    <w:rsid w:val="0029545A"/>
    <w:rsid w:val="002955E9"/>
    <w:rsid w:val="00296519"/>
    <w:rsid w:val="0029695C"/>
    <w:rsid w:val="00296ADB"/>
    <w:rsid w:val="002A0DA4"/>
    <w:rsid w:val="002A0FF2"/>
    <w:rsid w:val="002A1943"/>
    <w:rsid w:val="002A4D57"/>
    <w:rsid w:val="002A68DC"/>
    <w:rsid w:val="002A6CF7"/>
    <w:rsid w:val="002B00B8"/>
    <w:rsid w:val="002B102C"/>
    <w:rsid w:val="002B3404"/>
    <w:rsid w:val="002B368D"/>
    <w:rsid w:val="002C0B7E"/>
    <w:rsid w:val="002C3805"/>
    <w:rsid w:val="002C4263"/>
    <w:rsid w:val="002C75EE"/>
    <w:rsid w:val="002C7A4D"/>
    <w:rsid w:val="002D0F06"/>
    <w:rsid w:val="002D14FF"/>
    <w:rsid w:val="002D15DD"/>
    <w:rsid w:val="002D2CAE"/>
    <w:rsid w:val="002E01E1"/>
    <w:rsid w:val="002E13E6"/>
    <w:rsid w:val="002E396E"/>
    <w:rsid w:val="002E3CB0"/>
    <w:rsid w:val="002E770A"/>
    <w:rsid w:val="002E7EAF"/>
    <w:rsid w:val="002F3547"/>
    <w:rsid w:val="002F40B6"/>
    <w:rsid w:val="002F49E1"/>
    <w:rsid w:val="002F4EB9"/>
    <w:rsid w:val="002F6E4F"/>
    <w:rsid w:val="00301F6A"/>
    <w:rsid w:val="00303AAF"/>
    <w:rsid w:val="003060B2"/>
    <w:rsid w:val="00310626"/>
    <w:rsid w:val="003111B4"/>
    <w:rsid w:val="00312239"/>
    <w:rsid w:val="00312A50"/>
    <w:rsid w:val="00316714"/>
    <w:rsid w:val="00320B02"/>
    <w:rsid w:val="00321880"/>
    <w:rsid w:val="00321B06"/>
    <w:rsid w:val="00321E59"/>
    <w:rsid w:val="00321F14"/>
    <w:rsid w:val="00322F55"/>
    <w:rsid w:val="003237A1"/>
    <w:rsid w:val="0032511C"/>
    <w:rsid w:val="00325259"/>
    <w:rsid w:val="00330E99"/>
    <w:rsid w:val="00334E34"/>
    <w:rsid w:val="003366EC"/>
    <w:rsid w:val="0033781E"/>
    <w:rsid w:val="00340D58"/>
    <w:rsid w:val="00340EED"/>
    <w:rsid w:val="00343365"/>
    <w:rsid w:val="00344526"/>
    <w:rsid w:val="00344D64"/>
    <w:rsid w:val="0034580A"/>
    <w:rsid w:val="003458F6"/>
    <w:rsid w:val="00347C34"/>
    <w:rsid w:val="00350BE5"/>
    <w:rsid w:val="003510FE"/>
    <w:rsid w:val="00351B10"/>
    <w:rsid w:val="00354420"/>
    <w:rsid w:val="0035790C"/>
    <w:rsid w:val="00357CA4"/>
    <w:rsid w:val="00360059"/>
    <w:rsid w:val="0036071E"/>
    <w:rsid w:val="00360AD0"/>
    <w:rsid w:val="003631DC"/>
    <w:rsid w:val="00363960"/>
    <w:rsid w:val="00367B58"/>
    <w:rsid w:val="003703EC"/>
    <w:rsid w:val="00370BC2"/>
    <w:rsid w:val="00370FBB"/>
    <w:rsid w:val="00371470"/>
    <w:rsid w:val="00372C80"/>
    <w:rsid w:val="0037300C"/>
    <w:rsid w:val="0037374B"/>
    <w:rsid w:val="00374EF9"/>
    <w:rsid w:val="00375D2C"/>
    <w:rsid w:val="00376858"/>
    <w:rsid w:val="00377686"/>
    <w:rsid w:val="00380BFC"/>
    <w:rsid w:val="003812D7"/>
    <w:rsid w:val="003815FB"/>
    <w:rsid w:val="0038208C"/>
    <w:rsid w:val="00382ACA"/>
    <w:rsid w:val="00383739"/>
    <w:rsid w:val="00384F6E"/>
    <w:rsid w:val="00385B57"/>
    <w:rsid w:val="00385DD7"/>
    <w:rsid w:val="0038608A"/>
    <w:rsid w:val="00386AE0"/>
    <w:rsid w:val="00387587"/>
    <w:rsid w:val="003901BC"/>
    <w:rsid w:val="0039065B"/>
    <w:rsid w:val="00390A30"/>
    <w:rsid w:val="00390DD3"/>
    <w:rsid w:val="003913C1"/>
    <w:rsid w:val="003929E4"/>
    <w:rsid w:val="00392C49"/>
    <w:rsid w:val="003934D1"/>
    <w:rsid w:val="00393C2E"/>
    <w:rsid w:val="0039493B"/>
    <w:rsid w:val="00395C0C"/>
    <w:rsid w:val="00395CDF"/>
    <w:rsid w:val="0039617A"/>
    <w:rsid w:val="003966BE"/>
    <w:rsid w:val="003A0260"/>
    <w:rsid w:val="003A1B34"/>
    <w:rsid w:val="003A1EA4"/>
    <w:rsid w:val="003A29DE"/>
    <w:rsid w:val="003A2ED9"/>
    <w:rsid w:val="003A4132"/>
    <w:rsid w:val="003A7367"/>
    <w:rsid w:val="003A7B47"/>
    <w:rsid w:val="003A7B67"/>
    <w:rsid w:val="003B33B1"/>
    <w:rsid w:val="003B375A"/>
    <w:rsid w:val="003B3A2D"/>
    <w:rsid w:val="003B49BE"/>
    <w:rsid w:val="003B5C9A"/>
    <w:rsid w:val="003B6D1A"/>
    <w:rsid w:val="003B76E5"/>
    <w:rsid w:val="003C016B"/>
    <w:rsid w:val="003C024F"/>
    <w:rsid w:val="003C071D"/>
    <w:rsid w:val="003C324A"/>
    <w:rsid w:val="003C4993"/>
    <w:rsid w:val="003C583E"/>
    <w:rsid w:val="003C733E"/>
    <w:rsid w:val="003C7E0D"/>
    <w:rsid w:val="003D01D5"/>
    <w:rsid w:val="003D2955"/>
    <w:rsid w:val="003D2EC7"/>
    <w:rsid w:val="003D300B"/>
    <w:rsid w:val="003D407B"/>
    <w:rsid w:val="003D4FFF"/>
    <w:rsid w:val="003E0991"/>
    <w:rsid w:val="003E1640"/>
    <w:rsid w:val="003E2085"/>
    <w:rsid w:val="003E7520"/>
    <w:rsid w:val="003F033F"/>
    <w:rsid w:val="003F101D"/>
    <w:rsid w:val="003F1914"/>
    <w:rsid w:val="003F217E"/>
    <w:rsid w:val="003F2DD1"/>
    <w:rsid w:val="003F3505"/>
    <w:rsid w:val="003F387B"/>
    <w:rsid w:val="003F482F"/>
    <w:rsid w:val="003F49F0"/>
    <w:rsid w:val="003F4DAE"/>
    <w:rsid w:val="003F5290"/>
    <w:rsid w:val="003F57CE"/>
    <w:rsid w:val="003F5AAA"/>
    <w:rsid w:val="003F69C1"/>
    <w:rsid w:val="00401F43"/>
    <w:rsid w:val="004024AC"/>
    <w:rsid w:val="004024F9"/>
    <w:rsid w:val="00402943"/>
    <w:rsid w:val="00403873"/>
    <w:rsid w:val="00403A8D"/>
    <w:rsid w:val="00403EED"/>
    <w:rsid w:val="00406C1F"/>
    <w:rsid w:val="00410AEB"/>
    <w:rsid w:val="00410C30"/>
    <w:rsid w:val="0041162C"/>
    <w:rsid w:val="004118D6"/>
    <w:rsid w:val="00411C04"/>
    <w:rsid w:val="00413E53"/>
    <w:rsid w:val="0041466A"/>
    <w:rsid w:val="00416613"/>
    <w:rsid w:val="00420810"/>
    <w:rsid w:val="004224FE"/>
    <w:rsid w:val="004233FB"/>
    <w:rsid w:val="00423ECF"/>
    <w:rsid w:val="00424DC6"/>
    <w:rsid w:val="00425E74"/>
    <w:rsid w:val="004262BD"/>
    <w:rsid w:val="00427459"/>
    <w:rsid w:val="00427DBE"/>
    <w:rsid w:val="00430AA2"/>
    <w:rsid w:val="004311E9"/>
    <w:rsid w:val="004311EA"/>
    <w:rsid w:val="004316E6"/>
    <w:rsid w:val="00433E16"/>
    <w:rsid w:val="00437CB9"/>
    <w:rsid w:val="0044052E"/>
    <w:rsid w:val="00444FE0"/>
    <w:rsid w:val="00445127"/>
    <w:rsid w:val="0044549B"/>
    <w:rsid w:val="00446002"/>
    <w:rsid w:val="004470DC"/>
    <w:rsid w:val="004474B2"/>
    <w:rsid w:val="00447786"/>
    <w:rsid w:val="00454566"/>
    <w:rsid w:val="00455188"/>
    <w:rsid w:val="00455DD9"/>
    <w:rsid w:val="004567A9"/>
    <w:rsid w:val="0045705E"/>
    <w:rsid w:val="004610A2"/>
    <w:rsid w:val="004634BF"/>
    <w:rsid w:val="0046491A"/>
    <w:rsid w:val="00465D4F"/>
    <w:rsid w:val="00465DBF"/>
    <w:rsid w:val="00466C46"/>
    <w:rsid w:val="004714A9"/>
    <w:rsid w:val="00473E4F"/>
    <w:rsid w:val="00474EB2"/>
    <w:rsid w:val="00477025"/>
    <w:rsid w:val="0048107B"/>
    <w:rsid w:val="00482BBD"/>
    <w:rsid w:val="0048322C"/>
    <w:rsid w:val="004838C4"/>
    <w:rsid w:val="00483C92"/>
    <w:rsid w:val="00490352"/>
    <w:rsid w:val="0049148A"/>
    <w:rsid w:val="004920D5"/>
    <w:rsid w:val="00492C1D"/>
    <w:rsid w:val="004932EC"/>
    <w:rsid w:val="00495481"/>
    <w:rsid w:val="00495DB4"/>
    <w:rsid w:val="00496931"/>
    <w:rsid w:val="004A003B"/>
    <w:rsid w:val="004A0940"/>
    <w:rsid w:val="004A11FF"/>
    <w:rsid w:val="004A1A1B"/>
    <w:rsid w:val="004A3661"/>
    <w:rsid w:val="004A4D07"/>
    <w:rsid w:val="004B0DA9"/>
    <w:rsid w:val="004B1ADA"/>
    <w:rsid w:val="004B260C"/>
    <w:rsid w:val="004B275E"/>
    <w:rsid w:val="004B3B9F"/>
    <w:rsid w:val="004B43DC"/>
    <w:rsid w:val="004B6D06"/>
    <w:rsid w:val="004B7152"/>
    <w:rsid w:val="004B79F6"/>
    <w:rsid w:val="004C29CE"/>
    <w:rsid w:val="004C2DA9"/>
    <w:rsid w:val="004C615E"/>
    <w:rsid w:val="004C6D08"/>
    <w:rsid w:val="004D0070"/>
    <w:rsid w:val="004D024D"/>
    <w:rsid w:val="004D3EBC"/>
    <w:rsid w:val="004D4C00"/>
    <w:rsid w:val="004D5E7A"/>
    <w:rsid w:val="004D5F57"/>
    <w:rsid w:val="004D6D12"/>
    <w:rsid w:val="004E04C5"/>
    <w:rsid w:val="004E0EF1"/>
    <w:rsid w:val="004E40AA"/>
    <w:rsid w:val="004E4C6C"/>
    <w:rsid w:val="004E4DAC"/>
    <w:rsid w:val="004E5AE9"/>
    <w:rsid w:val="004E5E58"/>
    <w:rsid w:val="004E6888"/>
    <w:rsid w:val="004E7322"/>
    <w:rsid w:val="004E779A"/>
    <w:rsid w:val="004E79D3"/>
    <w:rsid w:val="004E7FF8"/>
    <w:rsid w:val="004F1552"/>
    <w:rsid w:val="004F210D"/>
    <w:rsid w:val="004F292B"/>
    <w:rsid w:val="004F4C3C"/>
    <w:rsid w:val="004F548B"/>
    <w:rsid w:val="0050119E"/>
    <w:rsid w:val="00502CD5"/>
    <w:rsid w:val="00506088"/>
    <w:rsid w:val="005062E7"/>
    <w:rsid w:val="00511412"/>
    <w:rsid w:val="0051288F"/>
    <w:rsid w:val="005131D8"/>
    <w:rsid w:val="0051550A"/>
    <w:rsid w:val="00515802"/>
    <w:rsid w:val="00515A6A"/>
    <w:rsid w:val="00516B70"/>
    <w:rsid w:val="00517105"/>
    <w:rsid w:val="00520D95"/>
    <w:rsid w:val="00521013"/>
    <w:rsid w:val="00521280"/>
    <w:rsid w:val="005218E8"/>
    <w:rsid w:val="00521B88"/>
    <w:rsid w:val="00522001"/>
    <w:rsid w:val="005228F2"/>
    <w:rsid w:val="00524FED"/>
    <w:rsid w:val="00525962"/>
    <w:rsid w:val="00526B93"/>
    <w:rsid w:val="005301A2"/>
    <w:rsid w:val="00532D48"/>
    <w:rsid w:val="00534886"/>
    <w:rsid w:val="00535068"/>
    <w:rsid w:val="0053694D"/>
    <w:rsid w:val="00536B43"/>
    <w:rsid w:val="00537F0F"/>
    <w:rsid w:val="005400FC"/>
    <w:rsid w:val="0054013E"/>
    <w:rsid w:val="00540809"/>
    <w:rsid w:val="00542BE9"/>
    <w:rsid w:val="0054371D"/>
    <w:rsid w:val="00543FEA"/>
    <w:rsid w:val="005454EE"/>
    <w:rsid w:val="0054582C"/>
    <w:rsid w:val="00545933"/>
    <w:rsid w:val="00545A29"/>
    <w:rsid w:val="00546763"/>
    <w:rsid w:val="005477EB"/>
    <w:rsid w:val="00547993"/>
    <w:rsid w:val="005508C6"/>
    <w:rsid w:val="00550B2B"/>
    <w:rsid w:val="00552E26"/>
    <w:rsid w:val="00553266"/>
    <w:rsid w:val="0055328C"/>
    <w:rsid w:val="00554F3F"/>
    <w:rsid w:val="00554F93"/>
    <w:rsid w:val="00555570"/>
    <w:rsid w:val="00557005"/>
    <w:rsid w:val="00560162"/>
    <w:rsid w:val="00561457"/>
    <w:rsid w:val="00562066"/>
    <w:rsid w:val="00562D27"/>
    <w:rsid w:val="005659E5"/>
    <w:rsid w:val="00571110"/>
    <w:rsid w:val="0057116D"/>
    <w:rsid w:val="00571574"/>
    <w:rsid w:val="00572DA1"/>
    <w:rsid w:val="00572EC4"/>
    <w:rsid w:val="00573E0C"/>
    <w:rsid w:val="005742E4"/>
    <w:rsid w:val="00574AF3"/>
    <w:rsid w:val="00574B6F"/>
    <w:rsid w:val="00574E0C"/>
    <w:rsid w:val="00575A62"/>
    <w:rsid w:val="00575D25"/>
    <w:rsid w:val="005776E5"/>
    <w:rsid w:val="0058191B"/>
    <w:rsid w:val="00581ED8"/>
    <w:rsid w:val="00582167"/>
    <w:rsid w:val="0058572F"/>
    <w:rsid w:val="00586BDC"/>
    <w:rsid w:val="00586E99"/>
    <w:rsid w:val="00590832"/>
    <w:rsid w:val="005908DA"/>
    <w:rsid w:val="00592D42"/>
    <w:rsid w:val="00594005"/>
    <w:rsid w:val="005A11C5"/>
    <w:rsid w:val="005A2C4C"/>
    <w:rsid w:val="005A2D50"/>
    <w:rsid w:val="005A341A"/>
    <w:rsid w:val="005A56E9"/>
    <w:rsid w:val="005A5DDE"/>
    <w:rsid w:val="005A66BF"/>
    <w:rsid w:val="005A6ABC"/>
    <w:rsid w:val="005A6B4B"/>
    <w:rsid w:val="005B1934"/>
    <w:rsid w:val="005B2DE5"/>
    <w:rsid w:val="005B619B"/>
    <w:rsid w:val="005C14D1"/>
    <w:rsid w:val="005C2582"/>
    <w:rsid w:val="005C4F5E"/>
    <w:rsid w:val="005C5C0B"/>
    <w:rsid w:val="005C6859"/>
    <w:rsid w:val="005C6BF3"/>
    <w:rsid w:val="005C6F55"/>
    <w:rsid w:val="005C76AF"/>
    <w:rsid w:val="005D0FAC"/>
    <w:rsid w:val="005D1099"/>
    <w:rsid w:val="005D24C6"/>
    <w:rsid w:val="005D309E"/>
    <w:rsid w:val="005D66F0"/>
    <w:rsid w:val="005D6D96"/>
    <w:rsid w:val="005E32E1"/>
    <w:rsid w:val="005E339C"/>
    <w:rsid w:val="005E41A9"/>
    <w:rsid w:val="005E5407"/>
    <w:rsid w:val="005E6CDB"/>
    <w:rsid w:val="005E73C3"/>
    <w:rsid w:val="005F0B7C"/>
    <w:rsid w:val="005F1CD3"/>
    <w:rsid w:val="005F2177"/>
    <w:rsid w:val="005F2464"/>
    <w:rsid w:val="005F3EC7"/>
    <w:rsid w:val="005F43C4"/>
    <w:rsid w:val="005F553E"/>
    <w:rsid w:val="005F5CD3"/>
    <w:rsid w:val="005F704C"/>
    <w:rsid w:val="005F72AA"/>
    <w:rsid w:val="00600804"/>
    <w:rsid w:val="006038D1"/>
    <w:rsid w:val="0060682B"/>
    <w:rsid w:val="00606F84"/>
    <w:rsid w:val="0061067B"/>
    <w:rsid w:val="00611C64"/>
    <w:rsid w:val="0061376B"/>
    <w:rsid w:val="00614361"/>
    <w:rsid w:val="00617AAD"/>
    <w:rsid w:val="006201C7"/>
    <w:rsid w:val="0062027C"/>
    <w:rsid w:val="00620F33"/>
    <w:rsid w:val="00621CD6"/>
    <w:rsid w:val="0062618D"/>
    <w:rsid w:val="006305F0"/>
    <w:rsid w:val="006307A9"/>
    <w:rsid w:val="006316ED"/>
    <w:rsid w:val="006316F8"/>
    <w:rsid w:val="00631FBA"/>
    <w:rsid w:val="0063309F"/>
    <w:rsid w:val="0063550B"/>
    <w:rsid w:val="006357E3"/>
    <w:rsid w:val="00636088"/>
    <w:rsid w:val="00637ACB"/>
    <w:rsid w:val="00643023"/>
    <w:rsid w:val="006432C3"/>
    <w:rsid w:val="00645105"/>
    <w:rsid w:val="00647FB0"/>
    <w:rsid w:val="006511EF"/>
    <w:rsid w:val="00653B5E"/>
    <w:rsid w:val="006543A3"/>
    <w:rsid w:val="00654CFE"/>
    <w:rsid w:val="006557CF"/>
    <w:rsid w:val="00655B70"/>
    <w:rsid w:val="00657FD6"/>
    <w:rsid w:val="0066060B"/>
    <w:rsid w:val="006618C7"/>
    <w:rsid w:val="00661E55"/>
    <w:rsid w:val="00662158"/>
    <w:rsid w:val="00664A2D"/>
    <w:rsid w:val="006653F8"/>
    <w:rsid w:val="00666473"/>
    <w:rsid w:val="00666B03"/>
    <w:rsid w:val="00670B2E"/>
    <w:rsid w:val="0067135F"/>
    <w:rsid w:val="00671D44"/>
    <w:rsid w:val="006725E0"/>
    <w:rsid w:val="00672BB7"/>
    <w:rsid w:val="006735BA"/>
    <w:rsid w:val="00673A5C"/>
    <w:rsid w:val="00673BF0"/>
    <w:rsid w:val="006747E2"/>
    <w:rsid w:val="00674C50"/>
    <w:rsid w:val="00675802"/>
    <w:rsid w:val="006775FA"/>
    <w:rsid w:val="00677A2A"/>
    <w:rsid w:val="00677F86"/>
    <w:rsid w:val="00680695"/>
    <w:rsid w:val="006819DD"/>
    <w:rsid w:val="00682F2F"/>
    <w:rsid w:val="0068344B"/>
    <w:rsid w:val="00683EDD"/>
    <w:rsid w:val="00685BA4"/>
    <w:rsid w:val="00686379"/>
    <w:rsid w:val="00687735"/>
    <w:rsid w:val="006878E2"/>
    <w:rsid w:val="006965A9"/>
    <w:rsid w:val="00696E18"/>
    <w:rsid w:val="00697940"/>
    <w:rsid w:val="006979E9"/>
    <w:rsid w:val="006A26EE"/>
    <w:rsid w:val="006A27A7"/>
    <w:rsid w:val="006A2C07"/>
    <w:rsid w:val="006A3207"/>
    <w:rsid w:val="006A6F1B"/>
    <w:rsid w:val="006A7CC0"/>
    <w:rsid w:val="006B0C42"/>
    <w:rsid w:val="006B2229"/>
    <w:rsid w:val="006B4E27"/>
    <w:rsid w:val="006B54F7"/>
    <w:rsid w:val="006C1E97"/>
    <w:rsid w:val="006C2435"/>
    <w:rsid w:val="006C4E93"/>
    <w:rsid w:val="006C55A5"/>
    <w:rsid w:val="006C5BFE"/>
    <w:rsid w:val="006C6C37"/>
    <w:rsid w:val="006C6E79"/>
    <w:rsid w:val="006D0055"/>
    <w:rsid w:val="006D06A6"/>
    <w:rsid w:val="006D13A4"/>
    <w:rsid w:val="006D2465"/>
    <w:rsid w:val="006D3B9F"/>
    <w:rsid w:val="006D452B"/>
    <w:rsid w:val="006D4530"/>
    <w:rsid w:val="006E077C"/>
    <w:rsid w:val="006E12ED"/>
    <w:rsid w:val="006E1957"/>
    <w:rsid w:val="006E1D77"/>
    <w:rsid w:val="006E2BE5"/>
    <w:rsid w:val="006E56D4"/>
    <w:rsid w:val="006E578A"/>
    <w:rsid w:val="006E61E9"/>
    <w:rsid w:val="006E74A6"/>
    <w:rsid w:val="006E7684"/>
    <w:rsid w:val="006F1576"/>
    <w:rsid w:val="006F2BC1"/>
    <w:rsid w:val="006F3794"/>
    <w:rsid w:val="006F381B"/>
    <w:rsid w:val="006F4B8D"/>
    <w:rsid w:val="006F4DC7"/>
    <w:rsid w:val="006F5674"/>
    <w:rsid w:val="006F7363"/>
    <w:rsid w:val="006F7EE9"/>
    <w:rsid w:val="00700BDB"/>
    <w:rsid w:val="00701B6C"/>
    <w:rsid w:val="00702B0E"/>
    <w:rsid w:val="00703ED9"/>
    <w:rsid w:val="007040B7"/>
    <w:rsid w:val="00704D82"/>
    <w:rsid w:val="0070526F"/>
    <w:rsid w:val="00705273"/>
    <w:rsid w:val="00710C23"/>
    <w:rsid w:val="00710EE0"/>
    <w:rsid w:val="00713BBF"/>
    <w:rsid w:val="00714A9F"/>
    <w:rsid w:val="007158FF"/>
    <w:rsid w:val="007221FB"/>
    <w:rsid w:val="00722CA6"/>
    <w:rsid w:val="00723152"/>
    <w:rsid w:val="00724AF8"/>
    <w:rsid w:val="007254EB"/>
    <w:rsid w:val="007265CB"/>
    <w:rsid w:val="00732669"/>
    <w:rsid w:val="00732F83"/>
    <w:rsid w:val="00733758"/>
    <w:rsid w:val="00734C79"/>
    <w:rsid w:val="00735A9E"/>
    <w:rsid w:val="00735CC2"/>
    <w:rsid w:val="007362FB"/>
    <w:rsid w:val="00737B27"/>
    <w:rsid w:val="007400BF"/>
    <w:rsid w:val="00740F44"/>
    <w:rsid w:val="007420AC"/>
    <w:rsid w:val="00742325"/>
    <w:rsid w:val="0074482A"/>
    <w:rsid w:val="0074505E"/>
    <w:rsid w:val="00746415"/>
    <w:rsid w:val="00746DEB"/>
    <w:rsid w:val="0075208F"/>
    <w:rsid w:val="007534FF"/>
    <w:rsid w:val="00753C6B"/>
    <w:rsid w:val="007542AD"/>
    <w:rsid w:val="00757DA0"/>
    <w:rsid w:val="00765F82"/>
    <w:rsid w:val="00766096"/>
    <w:rsid w:val="00766316"/>
    <w:rsid w:val="00766DDF"/>
    <w:rsid w:val="0076767D"/>
    <w:rsid w:val="007739B8"/>
    <w:rsid w:val="0077625F"/>
    <w:rsid w:val="00776324"/>
    <w:rsid w:val="00776FCE"/>
    <w:rsid w:val="007805A5"/>
    <w:rsid w:val="00781C44"/>
    <w:rsid w:val="00783ED9"/>
    <w:rsid w:val="00784717"/>
    <w:rsid w:val="00784823"/>
    <w:rsid w:val="00784EE8"/>
    <w:rsid w:val="00785A27"/>
    <w:rsid w:val="00791785"/>
    <w:rsid w:val="0079389D"/>
    <w:rsid w:val="0079429F"/>
    <w:rsid w:val="00794F90"/>
    <w:rsid w:val="007959E6"/>
    <w:rsid w:val="00797C90"/>
    <w:rsid w:val="007A310C"/>
    <w:rsid w:val="007A488F"/>
    <w:rsid w:val="007A4CDE"/>
    <w:rsid w:val="007A4EAC"/>
    <w:rsid w:val="007A63BE"/>
    <w:rsid w:val="007A6687"/>
    <w:rsid w:val="007B0982"/>
    <w:rsid w:val="007B11A6"/>
    <w:rsid w:val="007B1A88"/>
    <w:rsid w:val="007B239F"/>
    <w:rsid w:val="007B23C9"/>
    <w:rsid w:val="007B4387"/>
    <w:rsid w:val="007B45C7"/>
    <w:rsid w:val="007B480A"/>
    <w:rsid w:val="007B4C33"/>
    <w:rsid w:val="007C10AD"/>
    <w:rsid w:val="007C36B6"/>
    <w:rsid w:val="007C489B"/>
    <w:rsid w:val="007C57DA"/>
    <w:rsid w:val="007C59D5"/>
    <w:rsid w:val="007C7B93"/>
    <w:rsid w:val="007D1E2D"/>
    <w:rsid w:val="007D1F06"/>
    <w:rsid w:val="007D493D"/>
    <w:rsid w:val="007D4E55"/>
    <w:rsid w:val="007E275E"/>
    <w:rsid w:val="007E3780"/>
    <w:rsid w:val="007F0275"/>
    <w:rsid w:val="007F3C21"/>
    <w:rsid w:val="007F4354"/>
    <w:rsid w:val="007F5AD1"/>
    <w:rsid w:val="007F5FED"/>
    <w:rsid w:val="007F6B4E"/>
    <w:rsid w:val="007F707E"/>
    <w:rsid w:val="0080003D"/>
    <w:rsid w:val="0080089F"/>
    <w:rsid w:val="00800BF8"/>
    <w:rsid w:val="00800C8B"/>
    <w:rsid w:val="0080174D"/>
    <w:rsid w:val="00803A5C"/>
    <w:rsid w:val="00804B4C"/>
    <w:rsid w:val="00805CC6"/>
    <w:rsid w:val="00810D9B"/>
    <w:rsid w:val="00814FBE"/>
    <w:rsid w:val="00816C9B"/>
    <w:rsid w:val="00822371"/>
    <w:rsid w:val="008233E7"/>
    <w:rsid w:val="0082559A"/>
    <w:rsid w:val="00825A11"/>
    <w:rsid w:val="008263E2"/>
    <w:rsid w:val="00831789"/>
    <w:rsid w:val="00832AA7"/>
    <w:rsid w:val="00833B84"/>
    <w:rsid w:val="00835277"/>
    <w:rsid w:val="008377F8"/>
    <w:rsid w:val="008425CC"/>
    <w:rsid w:val="008437C6"/>
    <w:rsid w:val="00844A7E"/>
    <w:rsid w:val="00845F4D"/>
    <w:rsid w:val="00845F68"/>
    <w:rsid w:val="00846055"/>
    <w:rsid w:val="00846C7F"/>
    <w:rsid w:val="00846CEE"/>
    <w:rsid w:val="008506C9"/>
    <w:rsid w:val="00850C4C"/>
    <w:rsid w:val="00850D10"/>
    <w:rsid w:val="00851EE2"/>
    <w:rsid w:val="00852550"/>
    <w:rsid w:val="00852BFF"/>
    <w:rsid w:val="00855492"/>
    <w:rsid w:val="008558A6"/>
    <w:rsid w:val="0086025D"/>
    <w:rsid w:val="0086249D"/>
    <w:rsid w:val="00862741"/>
    <w:rsid w:val="00862AEC"/>
    <w:rsid w:val="00864E8D"/>
    <w:rsid w:val="00867A82"/>
    <w:rsid w:val="00870E06"/>
    <w:rsid w:val="0087201D"/>
    <w:rsid w:val="0087506C"/>
    <w:rsid w:val="00875826"/>
    <w:rsid w:val="00876D27"/>
    <w:rsid w:val="00877BDE"/>
    <w:rsid w:val="00880301"/>
    <w:rsid w:val="0088130B"/>
    <w:rsid w:val="00881852"/>
    <w:rsid w:val="00881BA6"/>
    <w:rsid w:val="00883641"/>
    <w:rsid w:val="00883DB6"/>
    <w:rsid w:val="00883EAD"/>
    <w:rsid w:val="008842A8"/>
    <w:rsid w:val="008861EC"/>
    <w:rsid w:val="00886C75"/>
    <w:rsid w:val="00896250"/>
    <w:rsid w:val="008A2D3F"/>
    <w:rsid w:val="008B1DCB"/>
    <w:rsid w:val="008B2564"/>
    <w:rsid w:val="008B3004"/>
    <w:rsid w:val="008B436B"/>
    <w:rsid w:val="008B7A11"/>
    <w:rsid w:val="008C0F99"/>
    <w:rsid w:val="008C120F"/>
    <w:rsid w:val="008C29F7"/>
    <w:rsid w:val="008C34A8"/>
    <w:rsid w:val="008C38DF"/>
    <w:rsid w:val="008C7E24"/>
    <w:rsid w:val="008D02B6"/>
    <w:rsid w:val="008D1AD7"/>
    <w:rsid w:val="008D1CC6"/>
    <w:rsid w:val="008D2743"/>
    <w:rsid w:val="008D5110"/>
    <w:rsid w:val="008D6166"/>
    <w:rsid w:val="008D6C40"/>
    <w:rsid w:val="008E1688"/>
    <w:rsid w:val="008E4A11"/>
    <w:rsid w:val="008E4FA8"/>
    <w:rsid w:val="008E604D"/>
    <w:rsid w:val="008F0763"/>
    <w:rsid w:val="008F0AE4"/>
    <w:rsid w:val="008F1CA4"/>
    <w:rsid w:val="008F2043"/>
    <w:rsid w:val="008F23A8"/>
    <w:rsid w:val="008F489E"/>
    <w:rsid w:val="008F58C6"/>
    <w:rsid w:val="008F5932"/>
    <w:rsid w:val="008F7315"/>
    <w:rsid w:val="008F7FD4"/>
    <w:rsid w:val="00900BEA"/>
    <w:rsid w:val="00900FAF"/>
    <w:rsid w:val="009014EA"/>
    <w:rsid w:val="00901FF7"/>
    <w:rsid w:val="0090326D"/>
    <w:rsid w:val="00904308"/>
    <w:rsid w:val="00904AB5"/>
    <w:rsid w:val="00905E78"/>
    <w:rsid w:val="00906344"/>
    <w:rsid w:val="009063D5"/>
    <w:rsid w:val="00907237"/>
    <w:rsid w:val="00911432"/>
    <w:rsid w:val="00911DB6"/>
    <w:rsid w:val="009137AB"/>
    <w:rsid w:val="0091523A"/>
    <w:rsid w:val="0091571D"/>
    <w:rsid w:val="00921B4B"/>
    <w:rsid w:val="00922C36"/>
    <w:rsid w:val="00922EE1"/>
    <w:rsid w:val="00924895"/>
    <w:rsid w:val="0092651A"/>
    <w:rsid w:val="009272A4"/>
    <w:rsid w:val="00931059"/>
    <w:rsid w:val="009311E8"/>
    <w:rsid w:val="00933083"/>
    <w:rsid w:val="00934923"/>
    <w:rsid w:val="00934D0F"/>
    <w:rsid w:val="009350FA"/>
    <w:rsid w:val="009368B3"/>
    <w:rsid w:val="00937E02"/>
    <w:rsid w:val="00937E52"/>
    <w:rsid w:val="00940418"/>
    <w:rsid w:val="00942F35"/>
    <w:rsid w:val="00943454"/>
    <w:rsid w:val="009445EF"/>
    <w:rsid w:val="00945E71"/>
    <w:rsid w:val="0094623A"/>
    <w:rsid w:val="00946B40"/>
    <w:rsid w:val="00946DBE"/>
    <w:rsid w:val="009477E1"/>
    <w:rsid w:val="00947943"/>
    <w:rsid w:val="00952737"/>
    <w:rsid w:val="00953EAA"/>
    <w:rsid w:val="009557F6"/>
    <w:rsid w:val="00960966"/>
    <w:rsid w:val="00961BB1"/>
    <w:rsid w:val="00962261"/>
    <w:rsid w:val="00962A9E"/>
    <w:rsid w:val="00963A74"/>
    <w:rsid w:val="00964467"/>
    <w:rsid w:val="009644DB"/>
    <w:rsid w:val="009650B6"/>
    <w:rsid w:val="00966026"/>
    <w:rsid w:val="00967A70"/>
    <w:rsid w:val="00967A9B"/>
    <w:rsid w:val="009712B0"/>
    <w:rsid w:val="009735A6"/>
    <w:rsid w:val="00973AAA"/>
    <w:rsid w:val="009743C9"/>
    <w:rsid w:val="009756AE"/>
    <w:rsid w:val="0097618E"/>
    <w:rsid w:val="00980F59"/>
    <w:rsid w:val="00982B51"/>
    <w:rsid w:val="009832A3"/>
    <w:rsid w:val="00984EE0"/>
    <w:rsid w:val="00984FE9"/>
    <w:rsid w:val="00985FED"/>
    <w:rsid w:val="0098729B"/>
    <w:rsid w:val="00991359"/>
    <w:rsid w:val="00991E47"/>
    <w:rsid w:val="009925ED"/>
    <w:rsid w:val="00993C4C"/>
    <w:rsid w:val="009953C2"/>
    <w:rsid w:val="0099596C"/>
    <w:rsid w:val="009979C1"/>
    <w:rsid w:val="009A30A8"/>
    <w:rsid w:val="009A3DB7"/>
    <w:rsid w:val="009A7318"/>
    <w:rsid w:val="009B34A0"/>
    <w:rsid w:val="009B3C08"/>
    <w:rsid w:val="009B4330"/>
    <w:rsid w:val="009B4BC9"/>
    <w:rsid w:val="009B4D35"/>
    <w:rsid w:val="009B671F"/>
    <w:rsid w:val="009B695F"/>
    <w:rsid w:val="009C041F"/>
    <w:rsid w:val="009C2CB5"/>
    <w:rsid w:val="009C3855"/>
    <w:rsid w:val="009C59D2"/>
    <w:rsid w:val="009C7845"/>
    <w:rsid w:val="009D066D"/>
    <w:rsid w:val="009D0CF3"/>
    <w:rsid w:val="009D6518"/>
    <w:rsid w:val="009E0B56"/>
    <w:rsid w:val="009E10CD"/>
    <w:rsid w:val="009E26FF"/>
    <w:rsid w:val="009E2C7D"/>
    <w:rsid w:val="009E4887"/>
    <w:rsid w:val="009E6708"/>
    <w:rsid w:val="009F09FB"/>
    <w:rsid w:val="009F32A6"/>
    <w:rsid w:val="009F3605"/>
    <w:rsid w:val="009F39AA"/>
    <w:rsid w:val="009F54B4"/>
    <w:rsid w:val="009F658A"/>
    <w:rsid w:val="009F7677"/>
    <w:rsid w:val="00A005DF"/>
    <w:rsid w:val="00A01959"/>
    <w:rsid w:val="00A02319"/>
    <w:rsid w:val="00A072A9"/>
    <w:rsid w:val="00A11D76"/>
    <w:rsid w:val="00A12AB3"/>
    <w:rsid w:val="00A12CC8"/>
    <w:rsid w:val="00A13EF9"/>
    <w:rsid w:val="00A16B8F"/>
    <w:rsid w:val="00A172DA"/>
    <w:rsid w:val="00A17AEF"/>
    <w:rsid w:val="00A20E03"/>
    <w:rsid w:val="00A21674"/>
    <w:rsid w:val="00A24BAB"/>
    <w:rsid w:val="00A25058"/>
    <w:rsid w:val="00A26302"/>
    <w:rsid w:val="00A27005"/>
    <w:rsid w:val="00A30A17"/>
    <w:rsid w:val="00A32426"/>
    <w:rsid w:val="00A3311D"/>
    <w:rsid w:val="00A342C0"/>
    <w:rsid w:val="00A35271"/>
    <w:rsid w:val="00A369C7"/>
    <w:rsid w:val="00A3716B"/>
    <w:rsid w:val="00A3750A"/>
    <w:rsid w:val="00A41330"/>
    <w:rsid w:val="00A43BD3"/>
    <w:rsid w:val="00A44722"/>
    <w:rsid w:val="00A44D3F"/>
    <w:rsid w:val="00A44F8D"/>
    <w:rsid w:val="00A45F0C"/>
    <w:rsid w:val="00A460FE"/>
    <w:rsid w:val="00A473DE"/>
    <w:rsid w:val="00A47854"/>
    <w:rsid w:val="00A5046F"/>
    <w:rsid w:val="00A5129D"/>
    <w:rsid w:val="00A51A11"/>
    <w:rsid w:val="00A54471"/>
    <w:rsid w:val="00A558B9"/>
    <w:rsid w:val="00A558F1"/>
    <w:rsid w:val="00A56055"/>
    <w:rsid w:val="00A568F1"/>
    <w:rsid w:val="00A57574"/>
    <w:rsid w:val="00A577B6"/>
    <w:rsid w:val="00A57DF1"/>
    <w:rsid w:val="00A60380"/>
    <w:rsid w:val="00A60902"/>
    <w:rsid w:val="00A63581"/>
    <w:rsid w:val="00A64076"/>
    <w:rsid w:val="00A649FC"/>
    <w:rsid w:val="00A652DE"/>
    <w:rsid w:val="00A656DB"/>
    <w:rsid w:val="00A665A3"/>
    <w:rsid w:val="00A66BBD"/>
    <w:rsid w:val="00A72D30"/>
    <w:rsid w:val="00A735DC"/>
    <w:rsid w:val="00A779CA"/>
    <w:rsid w:val="00A8267B"/>
    <w:rsid w:val="00A826B5"/>
    <w:rsid w:val="00A830D3"/>
    <w:rsid w:val="00A83355"/>
    <w:rsid w:val="00A8354A"/>
    <w:rsid w:val="00A84F9F"/>
    <w:rsid w:val="00A86891"/>
    <w:rsid w:val="00A91086"/>
    <w:rsid w:val="00A91771"/>
    <w:rsid w:val="00A92AF9"/>
    <w:rsid w:val="00A93A07"/>
    <w:rsid w:val="00A93D1A"/>
    <w:rsid w:val="00A954AB"/>
    <w:rsid w:val="00A95FA7"/>
    <w:rsid w:val="00A97127"/>
    <w:rsid w:val="00A973D8"/>
    <w:rsid w:val="00A97C00"/>
    <w:rsid w:val="00AA36BD"/>
    <w:rsid w:val="00AA3D2C"/>
    <w:rsid w:val="00AA47C3"/>
    <w:rsid w:val="00AA50DE"/>
    <w:rsid w:val="00AA6155"/>
    <w:rsid w:val="00AA6957"/>
    <w:rsid w:val="00AA7224"/>
    <w:rsid w:val="00AA7342"/>
    <w:rsid w:val="00AA781F"/>
    <w:rsid w:val="00AA7DF2"/>
    <w:rsid w:val="00AB203A"/>
    <w:rsid w:val="00AC06F3"/>
    <w:rsid w:val="00AC1A4F"/>
    <w:rsid w:val="00AC2D99"/>
    <w:rsid w:val="00AC34B1"/>
    <w:rsid w:val="00AC38DA"/>
    <w:rsid w:val="00AC3E21"/>
    <w:rsid w:val="00AC5446"/>
    <w:rsid w:val="00AC7E6F"/>
    <w:rsid w:val="00AD00F9"/>
    <w:rsid w:val="00AD040A"/>
    <w:rsid w:val="00AD0E3D"/>
    <w:rsid w:val="00AD121C"/>
    <w:rsid w:val="00AD273C"/>
    <w:rsid w:val="00AD3040"/>
    <w:rsid w:val="00AD5265"/>
    <w:rsid w:val="00AD6007"/>
    <w:rsid w:val="00AE1027"/>
    <w:rsid w:val="00AE1AB3"/>
    <w:rsid w:val="00AE2A65"/>
    <w:rsid w:val="00AE3E76"/>
    <w:rsid w:val="00AE5A73"/>
    <w:rsid w:val="00AE7887"/>
    <w:rsid w:val="00AE7F26"/>
    <w:rsid w:val="00AF009D"/>
    <w:rsid w:val="00AF0D41"/>
    <w:rsid w:val="00AF1315"/>
    <w:rsid w:val="00AF1ED3"/>
    <w:rsid w:val="00AF3837"/>
    <w:rsid w:val="00AF61B2"/>
    <w:rsid w:val="00AF70DC"/>
    <w:rsid w:val="00B022B8"/>
    <w:rsid w:val="00B02B0E"/>
    <w:rsid w:val="00B04F30"/>
    <w:rsid w:val="00B0595F"/>
    <w:rsid w:val="00B0617F"/>
    <w:rsid w:val="00B06EAA"/>
    <w:rsid w:val="00B11779"/>
    <w:rsid w:val="00B16EFC"/>
    <w:rsid w:val="00B17D5C"/>
    <w:rsid w:val="00B22E00"/>
    <w:rsid w:val="00B23A0B"/>
    <w:rsid w:val="00B24152"/>
    <w:rsid w:val="00B24A93"/>
    <w:rsid w:val="00B25174"/>
    <w:rsid w:val="00B251A3"/>
    <w:rsid w:val="00B27808"/>
    <w:rsid w:val="00B300DB"/>
    <w:rsid w:val="00B314E1"/>
    <w:rsid w:val="00B31585"/>
    <w:rsid w:val="00B31C19"/>
    <w:rsid w:val="00B3403B"/>
    <w:rsid w:val="00B340C6"/>
    <w:rsid w:val="00B34175"/>
    <w:rsid w:val="00B3519D"/>
    <w:rsid w:val="00B355D4"/>
    <w:rsid w:val="00B35A33"/>
    <w:rsid w:val="00B40FCE"/>
    <w:rsid w:val="00B4317E"/>
    <w:rsid w:val="00B43732"/>
    <w:rsid w:val="00B463E5"/>
    <w:rsid w:val="00B5060E"/>
    <w:rsid w:val="00B507EF"/>
    <w:rsid w:val="00B50816"/>
    <w:rsid w:val="00B52E4B"/>
    <w:rsid w:val="00B53BD4"/>
    <w:rsid w:val="00B53FA7"/>
    <w:rsid w:val="00B54181"/>
    <w:rsid w:val="00B5482A"/>
    <w:rsid w:val="00B55492"/>
    <w:rsid w:val="00B57858"/>
    <w:rsid w:val="00B63344"/>
    <w:rsid w:val="00B63591"/>
    <w:rsid w:val="00B63A10"/>
    <w:rsid w:val="00B64B68"/>
    <w:rsid w:val="00B7136C"/>
    <w:rsid w:val="00B72422"/>
    <w:rsid w:val="00B82347"/>
    <w:rsid w:val="00B8258D"/>
    <w:rsid w:val="00B83293"/>
    <w:rsid w:val="00B85257"/>
    <w:rsid w:val="00B86544"/>
    <w:rsid w:val="00B865EA"/>
    <w:rsid w:val="00B9020F"/>
    <w:rsid w:val="00B91193"/>
    <w:rsid w:val="00B922C4"/>
    <w:rsid w:val="00B935CD"/>
    <w:rsid w:val="00B93A46"/>
    <w:rsid w:val="00B9697F"/>
    <w:rsid w:val="00BA03B8"/>
    <w:rsid w:val="00BA09FC"/>
    <w:rsid w:val="00BA4431"/>
    <w:rsid w:val="00BB06C8"/>
    <w:rsid w:val="00BB08D6"/>
    <w:rsid w:val="00BB12FD"/>
    <w:rsid w:val="00BB170F"/>
    <w:rsid w:val="00BB2435"/>
    <w:rsid w:val="00BB3B1E"/>
    <w:rsid w:val="00BB52ED"/>
    <w:rsid w:val="00BB6D3B"/>
    <w:rsid w:val="00BC1FBC"/>
    <w:rsid w:val="00BC2C42"/>
    <w:rsid w:val="00BC384E"/>
    <w:rsid w:val="00BC4439"/>
    <w:rsid w:val="00BC4CF2"/>
    <w:rsid w:val="00BC53E1"/>
    <w:rsid w:val="00BC6A8D"/>
    <w:rsid w:val="00BD0364"/>
    <w:rsid w:val="00BD1AA4"/>
    <w:rsid w:val="00BD3109"/>
    <w:rsid w:val="00BD3130"/>
    <w:rsid w:val="00BD39BC"/>
    <w:rsid w:val="00BD3A3C"/>
    <w:rsid w:val="00BD3F46"/>
    <w:rsid w:val="00BD44DA"/>
    <w:rsid w:val="00BD5B88"/>
    <w:rsid w:val="00BD75C5"/>
    <w:rsid w:val="00BD7F5B"/>
    <w:rsid w:val="00BE0A6A"/>
    <w:rsid w:val="00BE2B01"/>
    <w:rsid w:val="00BE4624"/>
    <w:rsid w:val="00BE790C"/>
    <w:rsid w:val="00BF0172"/>
    <w:rsid w:val="00BF09BD"/>
    <w:rsid w:val="00BF0A92"/>
    <w:rsid w:val="00BF1AFF"/>
    <w:rsid w:val="00BF21DD"/>
    <w:rsid w:val="00BF3253"/>
    <w:rsid w:val="00BF3ECC"/>
    <w:rsid w:val="00BF427D"/>
    <w:rsid w:val="00BF59F8"/>
    <w:rsid w:val="00BF6E6E"/>
    <w:rsid w:val="00BF7D80"/>
    <w:rsid w:val="00C017C9"/>
    <w:rsid w:val="00C01E41"/>
    <w:rsid w:val="00C02EBB"/>
    <w:rsid w:val="00C0450F"/>
    <w:rsid w:val="00C100CC"/>
    <w:rsid w:val="00C10D51"/>
    <w:rsid w:val="00C15C63"/>
    <w:rsid w:val="00C168FB"/>
    <w:rsid w:val="00C1765B"/>
    <w:rsid w:val="00C177D7"/>
    <w:rsid w:val="00C17F2A"/>
    <w:rsid w:val="00C17FD3"/>
    <w:rsid w:val="00C2434F"/>
    <w:rsid w:val="00C25E62"/>
    <w:rsid w:val="00C26822"/>
    <w:rsid w:val="00C27BCD"/>
    <w:rsid w:val="00C3297A"/>
    <w:rsid w:val="00C34B87"/>
    <w:rsid w:val="00C4023B"/>
    <w:rsid w:val="00C40650"/>
    <w:rsid w:val="00C4081F"/>
    <w:rsid w:val="00C40BB9"/>
    <w:rsid w:val="00C414D4"/>
    <w:rsid w:val="00C41FA0"/>
    <w:rsid w:val="00C45266"/>
    <w:rsid w:val="00C5073C"/>
    <w:rsid w:val="00C5086E"/>
    <w:rsid w:val="00C52B5D"/>
    <w:rsid w:val="00C55BC3"/>
    <w:rsid w:val="00C61AFA"/>
    <w:rsid w:val="00C61D10"/>
    <w:rsid w:val="00C6343A"/>
    <w:rsid w:val="00C70163"/>
    <w:rsid w:val="00C716E2"/>
    <w:rsid w:val="00C72CF0"/>
    <w:rsid w:val="00C736B1"/>
    <w:rsid w:val="00C74B00"/>
    <w:rsid w:val="00C8063E"/>
    <w:rsid w:val="00C80BD3"/>
    <w:rsid w:val="00C81F65"/>
    <w:rsid w:val="00C82C8A"/>
    <w:rsid w:val="00C830AE"/>
    <w:rsid w:val="00C83CC9"/>
    <w:rsid w:val="00C85B18"/>
    <w:rsid w:val="00C87EF3"/>
    <w:rsid w:val="00C90817"/>
    <w:rsid w:val="00C91918"/>
    <w:rsid w:val="00C91FC7"/>
    <w:rsid w:val="00C92E17"/>
    <w:rsid w:val="00C95593"/>
    <w:rsid w:val="00C96845"/>
    <w:rsid w:val="00CA0275"/>
    <w:rsid w:val="00CA0914"/>
    <w:rsid w:val="00CA0D0C"/>
    <w:rsid w:val="00CA12B1"/>
    <w:rsid w:val="00CA1D50"/>
    <w:rsid w:val="00CA2A02"/>
    <w:rsid w:val="00CA32D4"/>
    <w:rsid w:val="00CA37A1"/>
    <w:rsid w:val="00CB09A0"/>
    <w:rsid w:val="00CB1D91"/>
    <w:rsid w:val="00CB22AC"/>
    <w:rsid w:val="00CB3FA4"/>
    <w:rsid w:val="00CB5F74"/>
    <w:rsid w:val="00CB7B9F"/>
    <w:rsid w:val="00CC0041"/>
    <w:rsid w:val="00CC153A"/>
    <w:rsid w:val="00CC1AFE"/>
    <w:rsid w:val="00CC3B19"/>
    <w:rsid w:val="00CC4200"/>
    <w:rsid w:val="00CC47CA"/>
    <w:rsid w:val="00CC5C61"/>
    <w:rsid w:val="00CC65C2"/>
    <w:rsid w:val="00CD275E"/>
    <w:rsid w:val="00CD530B"/>
    <w:rsid w:val="00CE0EEA"/>
    <w:rsid w:val="00CE32C9"/>
    <w:rsid w:val="00CE3DFC"/>
    <w:rsid w:val="00CE7C1B"/>
    <w:rsid w:val="00CF009C"/>
    <w:rsid w:val="00CF04C0"/>
    <w:rsid w:val="00CF126A"/>
    <w:rsid w:val="00CF1CF6"/>
    <w:rsid w:val="00CF2D7F"/>
    <w:rsid w:val="00CF3240"/>
    <w:rsid w:val="00CF3F08"/>
    <w:rsid w:val="00D01AA8"/>
    <w:rsid w:val="00D030C3"/>
    <w:rsid w:val="00D04A02"/>
    <w:rsid w:val="00D04D5E"/>
    <w:rsid w:val="00D079F7"/>
    <w:rsid w:val="00D10015"/>
    <w:rsid w:val="00D107AD"/>
    <w:rsid w:val="00D14126"/>
    <w:rsid w:val="00D14CDB"/>
    <w:rsid w:val="00D15771"/>
    <w:rsid w:val="00D15907"/>
    <w:rsid w:val="00D17F01"/>
    <w:rsid w:val="00D20883"/>
    <w:rsid w:val="00D23A16"/>
    <w:rsid w:val="00D26AD4"/>
    <w:rsid w:val="00D270BD"/>
    <w:rsid w:val="00D33100"/>
    <w:rsid w:val="00D33736"/>
    <w:rsid w:val="00D338E9"/>
    <w:rsid w:val="00D35B34"/>
    <w:rsid w:val="00D40065"/>
    <w:rsid w:val="00D40629"/>
    <w:rsid w:val="00D40DC0"/>
    <w:rsid w:val="00D41843"/>
    <w:rsid w:val="00D45F7B"/>
    <w:rsid w:val="00D47515"/>
    <w:rsid w:val="00D47C2F"/>
    <w:rsid w:val="00D47E8B"/>
    <w:rsid w:val="00D47F23"/>
    <w:rsid w:val="00D524AF"/>
    <w:rsid w:val="00D5459E"/>
    <w:rsid w:val="00D5594C"/>
    <w:rsid w:val="00D565BB"/>
    <w:rsid w:val="00D56930"/>
    <w:rsid w:val="00D60554"/>
    <w:rsid w:val="00D613E0"/>
    <w:rsid w:val="00D620A2"/>
    <w:rsid w:val="00D6240C"/>
    <w:rsid w:val="00D62C9C"/>
    <w:rsid w:val="00D63C0D"/>
    <w:rsid w:val="00D64A6E"/>
    <w:rsid w:val="00D64AD3"/>
    <w:rsid w:val="00D7057C"/>
    <w:rsid w:val="00D718D9"/>
    <w:rsid w:val="00D7292A"/>
    <w:rsid w:val="00D739A3"/>
    <w:rsid w:val="00D75F40"/>
    <w:rsid w:val="00D7731B"/>
    <w:rsid w:val="00D77E0E"/>
    <w:rsid w:val="00D80C41"/>
    <w:rsid w:val="00D81638"/>
    <w:rsid w:val="00D83172"/>
    <w:rsid w:val="00D83FF7"/>
    <w:rsid w:val="00D862D5"/>
    <w:rsid w:val="00D865CF"/>
    <w:rsid w:val="00D87050"/>
    <w:rsid w:val="00D87EA5"/>
    <w:rsid w:val="00D9103F"/>
    <w:rsid w:val="00D9114D"/>
    <w:rsid w:val="00D916FC"/>
    <w:rsid w:val="00D9188E"/>
    <w:rsid w:val="00D94EF8"/>
    <w:rsid w:val="00DA1521"/>
    <w:rsid w:val="00DA1841"/>
    <w:rsid w:val="00DA1F44"/>
    <w:rsid w:val="00DA2118"/>
    <w:rsid w:val="00DA26B8"/>
    <w:rsid w:val="00DA2B49"/>
    <w:rsid w:val="00DA54B0"/>
    <w:rsid w:val="00DA5691"/>
    <w:rsid w:val="00DA5F7A"/>
    <w:rsid w:val="00DB0682"/>
    <w:rsid w:val="00DC020A"/>
    <w:rsid w:val="00DC1182"/>
    <w:rsid w:val="00DC1797"/>
    <w:rsid w:val="00DC19F0"/>
    <w:rsid w:val="00DC2D8C"/>
    <w:rsid w:val="00DC335C"/>
    <w:rsid w:val="00DC3881"/>
    <w:rsid w:val="00DC4C4E"/>
    <w:rsid w:val="00DC4F14"/>
    <w:rsid w:val="00DC5684"/>
    <w:rsid w:val="00DD05D8"/>
    <w:rsid w:val="00DD206D"/>
    <w:rsid w:val="00DD2201"/>
    <w:rsid w:val="00DD4986"/>
    <w:rsid w:val="00DD58C3"/>
    <w:rsid w:val="00DD68A4"/>
    <w:rsid w:val="00DD6A61"/>
    <w:rsid w:val="00DE0E39"/>
    <w:rsid w:val="00DE23C1"/>
    <w:rsid w:val="00DE4019"/>
    <w:rsid w:val="00DE5EAA"/>
    <w:rsid w:val="00DE6693"/>
    <w:rsid w:val="00DE683B"/>
    <w:rsid w:val="00DE698E"/>
    <w:rsid w:val="00DF02D2"/>
    <w:rsid w:val="00DF080A"/>
    <w:rsid w:val="00DF0CB3"/>
    <w:rsid w:val="00DF19A0"/>
    <w:rsid w:val="00DF229B"/>
    <w:rsid w:val="00DF3E78"/>
    <w:rsid w:val="00DF44B6"/>
    <w:rsid w:val="00DF51B0"/>
    <w:rsid w:val="00DF6752"/>
    <w:rsid w:val="00E0092C"/>
    <w:rsid w:val="00E01259"/>
    <w:rsid w:val="00E02A7A"/>
    <w:rsid w:val="00E04BFD"/>
    <w:rsid w:val="00E04C3F"/>
    <w:rsid w:val="00E07524"/>
    <w:rsid w:val="00E11695"/>
    <w:rsid w:val="00E1225F"/>
    <w:rsid w:val="00E134D6"/>
    <w:rsid w:val="00E16543"/>
    <w:rsid w:val="00E2008F"/>
    <w:rsid w:val="00E23170"/>
    <w:rsid w:val="00E243E5"/>
    <w:rsid w:val="00E25B52"/>
    <w:rsid w:val="00E314A0"/>
    <w:rsid w:val="00E33182"/>
    <w:rsid w:val="00E3422D"/>
    <w:rsid w:val="00E34328"/>
    <w:rsid w:val="00E37781"/>
    <w:rsid w:val="00E41229"/>
    <w:rsid w:val="00E41CA1"/>
    <w:rsid w:val="00E42274"/>
    <w:rsid w:val="00E4232D"/>
    <w:rsid w:val="00E4261A"/>
    <w:rsid w:val="00E466B3"/>
    <w:rsid w:val="00E472D2"/>
    <w:rsid w:val="00E51013"/>
    <w:rsid w:val="00E51AF2"/>
    <w:rsid w:val="00E5337D"/>
    <w:rsid w:val="00E534AD"/>
    <w:rsid w:val="00E543BF"/>
    <w:rsid w:val="00E545A7"/>
    <w:rsid w:val="00E5510E"/>
    <w:rsid w:val="00E55E44"/>
    <w:rsid w:val="00E57789"/>
    <w:rsid w:val="00E61019"/>
    <w:rsid w:val="00E63929"/>
    <w:rsid w:val="00E6473F"/>
    <w:rsid w:val="00E67DC5"/>
    <w:rsid w:val="00E7199E"/>
    <w:rsid w:val="00E71E48"/>
    <w:rsid w:val="00E7278C"/>
    <w:rsid w:val="00E72853"/>
    <w:rsid w:val="00E745E3"/>
    <w:rsid w:val="00E7476F"/>
    <w:rsid w:val="00E75212"/>
    <w:rsid w:val="00E77E7A"/>
    <w:rsid w:val="00E8087D"/>
    <w:rsid w:val="00E819E5"/>
    <w:rsid w:val="00E81BA1"/>
    <w:rsid w:val="00E82B7B"/>
    <w:rsid w:val="00E82F89"/>
    <w:rsid w:val="00E837EE"/>
    <w:rsid w:val="00E84638"/>
    <w:rsid w:val="00E856C6"/>
    <w:rsid w:val="00E8646E"/>
    <w:rsid w:val="00E919F3"/>
    <w:rsid w:val="00E9208A"/>
    <w:rsid w:val="00E920CD"/>
    <w:rsid w:val="00E92C3D"/>
    <w:rsid w:val="00E968AA"/>
    <w:rsid w:val="00E9793D"/>
    <w:rsid w:val="00EA0420"/>
    <w:rsid w:val="00EA1900"/>
    <w:rsid w:val="00EA1CE4"/>
    <w:rsid w:val="00EA3616"/>
    <w:rsid w:val="00EA4FE2"/>
    <w:rsid w:val="00EA6597"/>
    <w:rsid w:val="00EB0D08"/>
    <w:rsid w:val="00EB318A"/>
    <w:rsid w:val="00EB3C86"/>
    <w:rsid w:val="00EB414E"/>
    <w:rsid w:val="00EB6134"/>
    <w:rsid w:val="00EC01AE"/>
    <w:rsid w:val="00EC584B"/>
    <w:rsid w:val="00EC5EC2"/>
    <w:rsid w:val="00ED22C9"/>
    <w:rsid w:val="00ED2BC1"/>
    <w:rsid w:val="00ED3F37"/>
    <w:rsid w:val="00ED41B7"/>
    <w:rsid w:val="00ED4DB3"/>
    <w:rsid w:val="00ED61EB"/>
    <w:rsid w:val="00ED6BD0"/>
    <w:rsid w:val="00ED7561"/>
    <w:rsid w:val="00EE1C59"/>
    <w:rsid w:val="00EE49D4"/>
    <w:rsid w:val="00EE4B2D"/>
    <w:rsid w:val="00EE6998"/>
    <w:rsid w:val="00EF0B41"/>
    <w:rsid w:val="00EF1B11"/>
    <w:rsid w:val="00EF1E63"/>
    <w:rsid w:val="00EF2178"/>
    <w:rsid w:val="00EF3D44"/>
    <w:rsid w:val="00EF53C7"/>
    <w:rsid w:val="00EF5FEE"/>
    <w:rsid w:val="00EF6640"/>
    <w:rsid w:val="00EF7B24"/>
    <w:rsid w:val="00EF7C62"/>
    <w:rsid w:val="00F00CA4"/>
    <w:rsid w:val="00F01589"/>
    <w:rsid w:val="00F02077"/>
    <w:rsid w:val="00F02948"/>
    <w:rsid w:val="00F02C1F"/>
    <w:rsid w:val="00F03680"/>
    <w:rsid w:val="00F06AA2"/>
    <w:rsid w:val="00F07FE5"/>
    <w:rsid w:val="00F105E2"/>
    <w:rsid w:val="00F11D22"/>
    <w:rsid w:val="00F13CB5"/>
    <w:rsid w:val="00F1462D"/>
    <w:rsid w:val="00F1572D"/>
    <w:rsid w:val="00F15B74"/>
    <w:rsid w:val="00F20545"/>
    <w:rsid w:val="00F21727"/>
    <w:rsid w:val="00F21EFF"/>
    <w:rsid w:val="00F24247"/>
    <w:rsid w:val="00F255E5"/>
    <w:rsid w:val="00F26B92"/>
    <w:rsid w:val="00F31501"/>
    <w:rsid w:val="00F321A2"/>
    <w:rsid w:val="00F337BF"/>
    <w:rsid w:val="00F364FF"/>
    <w:rsid w:val="00F41E16"/>
    <w:rsid w:val="00F42388"/>
    <w:rsid w:val="00F4322C"/>
    <w:rsid w:val="00F44065"/>
    <w:rsid w:val="00F53B91"/>
    <w:rsid w:val="00F55DA1"/>
    <w:rsid w:val="00F5612A"/>
    <w:rsid w:val="00F56A86"/>
    <w:rsid w:val="00F61F97"/>
    <w:rsid w:val="00F62C4D"/>
    <w:rsid w:val="00F6376B"/>
    <w:rsid w:val="00F67F07"/>
    <w:rsid w:val="00F719B0"/>
    <w:rsid w:val="00F71F90"/>
    <w:rsid w:val="00F7388A"/>
    <w:rsid w:val="00F742F0"/>
    <w:rsid w:val="00F744A8"/>
    <w:rsid w:val="00F74583"/>
    <w:rsid w:val="00F74B8B"/>
    <w:rsid w:val="00F75234"/>
    <w:rsid w:val="00F77320"/>
    <w:rsid w:val="00F77421"/>
    <w:rsid w:val="00F77ED6"/>
    <w:rsid w:val="00F80037"/>
    <w:rsid w:val="00F80A4C"/>
    <w:rsid w:val="00F80B78"/>
    <w:rsid w:val="00F80FA1"/>
    <w:rsid w:val="00F83E65"/>
    <w:rsid w:val="00F855A7"/>
    <w:rsid w:val="00F87D35"/>
    <w:rsid w:val="00F9012F"/>
    <w:rsid w:val="00F929E2"/>
    <w:rsid w:val="00F93278"/>
    <w:rsid w:val="00F939C7"/>
    <w:rsid w:val="00F95455"/>
    <w:rsid w:val="00F95828"/>
    <w:rsid w:val="00F95A5E"/>
    <w:rsid w:val="00F95D69"/>
    <w:rsid w:val="00F97E3F"/>
    <w:rsid w:val="00FA08E4"/>
    <w:rsid w:val="00FA1694"/>
    <w:rsid w:val="00FA1DC8"/>
    <w:rsid w:val="00FA1E06"/>
    <w:rsid w:val="00FA2C82"/>
    <w:rsid w:val="00FA41FD"/>
    <w:rsid w:val="00FA4C5F"/>
    <w:rsid w:val="00FA5885"/>
    <w:rsid w:val="00FA5E6A"/>
    <w:rsid w:val="00FA620A"/>
    <w:rsid w:val="00FA6734"/>
    <w:rsid w:val="00FA686C"/>
    <w:rsid w:val="00FA695B"/>
    <w:rsid w:val="00FA749D"/>
    <w:rsid w:val="00FB0D86"/>
    <w:rsid w:val="00FB2409"/>
    <w:rsid w:val="00FB6370"/>
    <w:rsid w:val="00FB7918"/>
    <w:rsid w:val="00FC09EA"/>
    <w:rsid w:val="00FC234F"/>
    <w:rsid w:val="00FC28BF"/>
    <w:rsid w:val="00FC3B88"/>
    <w:rsid w:val="00FC62C0"/>
    <w:rsid w:val="00FC6D0E"/>
    <w:rsid w:val="00FD0FAB"/>
    <w:rsid w:val="00FD1A50"/>
    <w:rsid w:val="00FD2D47"/>
    <w:rsid w:val="00FD35B1"/>
    <w:rsid w:val="00FD4A10"/>
    <w:rsid w:val="00FD5192"/>
    <w:rsid w:val="00FE06BB"/>
    <w:rsid w:val="00FE0930"/>
    <w:rsid w:val="00FE1673"/>
    <w:rsid w:val="00FE5C19"/>
    <w:rsid w:val="00FE5E97"/>
    <w:rsid w:val="00FE70EF"/>
    <w:rsid w:val="00FE7E78"/>
    <w:rsid w:val="00FF0206"/>
    <w:rsid w:val="00FF3C50"/>
    <w:rsid w:val="00FF6881"/>
    <w:rsid w:val="00FF7955"/>
    <w:rsid w:val="0707F8CE"/>
    <w:rsid w:val="0BD8A818"/>
    <w:rsid w:val="148B6334"/>
    <w:rsid w:val="14D52533"/>
    <w:rsid w:val="1917084E"/>
    <w:rsid w:val="19CFF714"/>
    <w:rsid w:val="1B26FD0E"/>
    <w:rsid w:val="1D18742C"/>
    <w:rsid w:val="1D8BD187"/>
    <w:rsid w:val="1E7D674B"/>
    <w:rsid w:val="231BF5FA"/>
    <w:rsid w:val="262EE5F9"/>
    <w:rsid w:val="2A237BC0"/>
    <w:rsid w:val="2A5DD21D"/>
    <w:rsid w:val="2A8C483E"/>
    <w:rsid w:val="2DF6FAC3"/>
    <w:rsid w:val="2DF86A70"/>
    <w:rsid w:val="3296BF99"/>
    <w:rsid w:val="32EEC29C"/>
    <w:rsid w:val="346740FB"/>
    <w:rsid w:val="4BD32FA5"/>
    <w:rsid w:val="4BEA4F87"/>
    <w:rsid w:val="4FCAD664"/>
    <w:rsid w:val="51BCD0AD"/>
    <w:rsid w:val="579E4B17"/>
    <w:rsid w:val="619DB945"/>
    <w:rsid w:val="62410475"/>
    <w:rsid w:val="6350AC37"/>
    <w:rsid w:val="63C0F92A"/>
    <w:rsid w:val="640C03E2"/>
    <w:rsid w:val="6642D7E4"/>
    <w:rsid w:val="695A20A6"/>
    <w:rsid w:val="6DF3F36F"/>
    <w:rsid w:val="7181319A"/>
    <w:rsid w:val="7AB0898D"/>
    <w:rsid w:val="7DB2A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0714"/>
  <w15:chartTrackingRefBased/>
  <w15:docId w15:val="{DB79AB31-1476-431C-A389-A939F245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D7"/>
    <w:rPr>
      <w:rFonts w:ascii="Montserrat" w:hAnsi="Montserrat"/>
    </w:rPr>
  </w:style>
  <w:style w:type="paragraph" w:styleId="Heading1">
    <w:name w:val="heading 1"/>
    <w:basedOn w:val="Normal"/>
    <w:next w:val="Normal"/>
    <w:link w:val="Heading1Char"/>
    <w:uiPriority w:val="9"/>
    <w:qFormat/>
    <w:rsid w:val="003812D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12D7"/>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16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2D7"/>
    <w:rPr>
      <w:rFonts w:ascii="Montserrat" w:eastAsiaTheme="majorEastAsia" w:hAnsi="Montserrat" w:cstheme="majorBidi"/>
      <w:color w:val="2F5496" w:themeColor="accent1" w:themeShade="BF"/>
      <w:sz w:val="26"/>
      <w:szCs w:val="26"/>
    </w:rPr>
  </w:style>
  <w:style w:type="paragraph" w:styleId="BalloonText">
    <w:name w:val="Balloon Text"/>
    <w:basedOn w:val="Normal"/>
    <w:link w:val="BalloonTextChar"/>
    <w:uiPriority w:val="99"/>
    <w:semiHidden/>
    <w:unhideWhenUsed/>
    <w:rsid w:val="007C7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93"/>
    <w:rPr>
      <w:rFonts w:ascii="Segoe UI" w:hAnsi="Segoe UI" w:cs="Segoe UI"/>
      <w:sz w:val="18"/>
      <w:szCs w:val="18"/>
    </w:rPr>
  </w:style>
  <w:style w:type="character" w:styleId="Hyperlink">
    <w:name w:val="Hyperlink"/>
    <w:basedOn w:val="DefaultParagraphFont"/>
    <w:uiPriority w:val="99"/>
    <w:semiHidden/>
    <w:unhideWhenUsed/>
    <w:rsid w:val="005D1099"/>
    <w:rPr>
      <w:color w:val="0000FF"/>
      <w:u w:val="single"/>
    </w:rPr>
  </w:style>
  <w:style w:type="paragraph" w:styleId="ListBullet">
    <w:name w:val="List Bullet"/>
    <w:basedOn w:val="Normal"/>
    <w:uiPriority w:val="99"/>
    <w:unhideWhenUsed/>
    <w:rsid w:val="00143DCF"/>
    <w:pPr>
      <w:numPr>
        <w:numId w:val="1"/>
      </w:numPr>
      <w:contextualSpacing/>
    </w:pPr>
  </w:style>
  <w:style w:type="paragraph" w:customStyle="1" w:styleId="IndentedQuote">
    <w:name w:val="Indented Quote"/>
    <w:basedOn w:val="Normal"/>
    <w:autoRedefine/>
    <w:qFormat/>
    <w:rsid w:val="00BB3B1E"/>
    <w:pPr>
      <w:ind w:left="1134" w:right="1088"/>
    </w:pPr>
    <w:rPr>
      <w:sz w:val="20"/>
      <w:szCs w:val="20"/>
    </w:rPr>
  </w:style>
  <w:style w:type="table" w:styleId="TableGrid">
    <w:name w:val="Table Grid"/>
    <w:basedOn w:val="TableNormal"/>
    <w:uiPriority w:val="39"/>
    <w:rsid w:val="0018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1AF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5">
    <w:name w:val="List Table 5 Dark Accent 5"/>
    <w:basedOn w:val="TableNormal"/>
    <w:uiPriority w:val="50"/>
    <w:rsid w:val="00151898"/>
    <w:pPr>
      <w:spacing w:after="0" w:line="240" w:lineRule="auto"/>
    </w:pPr>
    <w:tblPr>
      <w:tblStyleRowBandSize w:val="1"/>
      <w:tblStyleCol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val="0"/>
        <w:bCs/>
        <w:i w:val="0"/>
      </w:rPr>
      <w:tblPr/>
      <w:tcPr>
        <w:tcBorders>
          <w:top w:val="single" w:sz="4" w:space="0" w:color="FFFFFF" w:themeColor="background1"/>
        </w:tcBorders>
      </w:tcPr>
    </w:tblStylePr>
    <w:tblStylePr w:type="firstCol">
      <w:rPr>
        <w:b w:val="0"/>
        <w:bCs/>
        <w:i w:val="0"/>
      </w:rPr>
      <w:tblPr/>
      <w:tcPr>
        <w:tcBorders>
          <w:right w:val="single" w:sz="4" w:space="0" w:color="FFFFFF" w:themeColor="background1"/>
        </w:tcBorders>
      </w:tcPr>
    </w:tblStylePr>
    <w:tblStylePr w:type="lastCol">
      <w:rPr>
        <w:b w:val="0"/>
        <w:bCs/>
        <w:i w:val="0"/>
      </w:rPr>
      <w:tblPr/>
      <w:tcPr>
        <w:tcBorders>
          <w:left w:val="single" w:sz="4" w:space="0" w:color="FFFFFF" w:themeColor="background1"/>
        </w:tcBorders>
      </w:tcPr>
    </w:tblStylePr>
    <w:tblStylePr w:type="band1Vert">
      <w:rPr>
        <w:b w:val="0"/>
        <w:i w:val="0"/>
      </w:rPr>
      <w:tblPr/>
      <w:tcPr>
        <w:shd w:val="clear" w:color="auto" w:fill="8EAADB" w:themeFill="accent1" w:themeFillTint="99"/>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ableHeading">
    <w:name w:val="Table Heading"/>
    <w:basedOn w:val="Normal"/>
    <w:qFormat/>
    <w:rsid w:val="003812D7"/>
    <w:pPr>
      <w:spacing w:after="0" w:line="240" w:lineRule="auto"/>
    </w:pPr>
    <w:rPr>
      <w:b/>
      <w:bCs/>
      <w:color w:val="0066CC"/>
      <w:sz w:val="26"/>
    </w:rPr>
  </w:style>
  <w:style w:type="paragraph" w:styleId="ListParagraph">
    <w:name w:val="List Paragraph"/>
    <w:basedOn w:val="Normal"/>
    <w:uiPriority w:val="34"/>
    <w:qFormat/>
    <w:rsid w:val="002604D0"/>
    <w:pPr>
      <w:ind w:left="720"/>
      <w:contextualSpacing/>
    </w:pPr>
  </w:style>
  <w:style w:type="character" w:customStyle="1" w:styleId="Heading3Char">
    <w:name w:val="Heading 3 Char"/>
    <w:basedOn w:val="DefaultParagraphFont"/>
    <w:link w:val="Heading3"/>
    <w:uiPriority w:val="9"/>
    <w:semiHidden/>
    <w:rsid w:val="00D916FC"/>
    <w:rPr>
      <w:rFonts w:asciiTheme="majorHAnsi" w:eastAsiaTheme="majorEastAsia" w:hAnsiTheme="majorHAnsi" w:cstheme="majorBidi"/>
      <w:color w:val="1F3763" w:themeColor="accent1" w:themeShade="7F"/>
      <w:sz w:val="24"/>
      <w:szCs w:val="24"/>
    </w:rPr>
  </w:style>
  <w:style w:type="paragraph" w:customStyle="1" w:styleId="Tablebullet">
    <w:name w:val="Table bullet"/>
    <w:basedOn w:val="ListBullet"/>
    <w:qFormat/>
    <w:rsid w:val="00151898"/>
    <w:pPr>
      <w:tabs>
        <w:tab w:val="clear" w:pos="360"/>
        <w:tab w:val="num" w:pos="134"/>
        <w:tab w:val="left" w:pos="705"/>
      </w:tabs>
      <w:spacing w:after="0" w:line="240" w:lineRule="auto"/>
      <w:ind w:left="417"/>
    </w:pPr>
    <w:rPr>
      <w:sz w:val="20"/>
    </w:rPr>
  </w:style>
  <w:style w:type="paragraph" w:customStyle="1" w:styleId="LMHeadinginTable">
    <w:name w:val="LM Heading in Table"/>
    <w:basedOn w:val="TableHeading"/>
    <w:qFormat/>
    <w:rsid w:val="004D0070"/>
    <w:pPr>
      <w:jc w:val="center"/>
    </w:pPr>
    <w:rPr>
      <w:color w:val="FFFFFF" w:themeColor="background1"/>
    </w:rPr>
  </w:style>
  <w:style w:type="paragraph" w:customStyle="1" w:styleId="Default">
    <w:name w:val="Default"/>
    <w:rsid w:val="00B5482A"/>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3812D7"/>
    <w:rPr>
      <w:rFonts w:ascii="Montserrat" w:eastAsiaTheme="majorEastAsia" w:hAnsi="Montserrat" w:cstheme="majorBidi"/>
      <w:color w:val="2F5496" w:themeColor="accent1" w:themeShade="BF"/>
      <w:sz w:val="32"/>
      <w:szCs w:val="32"/>
    </w:rPr>
  </w:style>
  <w:style w:type="paragraph" w:styleId="Bibliography">
    <w:name w:val="Bibliography"/>
    <w:basedOn w:val="Normal"/>
    <w:next w:val="Normal"/>
    <w:uiPriority w:val="37"/>
    <w:unhideWhenUsed/>
    <w:rsid w:val="00DE0E39"/>
    <w:pPr>
      <w:spacing w:after="0" w:line="240" w:lineRule="auto"/>
      <w:ind w:left="454" w:hanging="454"/>
    </w:pPr>
    <w:rPr>
      <w:sz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aliases w:val="ŠHeader"/>
    <w:basedOn w:val="Normal"/>
    <w:link w:val="HeaderChar"/>
    <w:uiPriority w:val="5"/>
    <w:unhideWhenUsed/>
    <w:qFormat/>
    <w:rsid w:val="003812D7"/>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5"/>
    <w:rsid w:val="003812D7"/>
    <w:rPr>
      <w:rFonts w:ascii="Montserrat" w:hAnsi="Montserrat"/>
    </w:rPr>
  </w:style>
  <w:style w:type="paragraph" w:styleId="Footer">
    <w:name w:val="footer"/>
    <w:basedOn w:val="Normal"/>
    <w:link w:val="FooterChar"/>
    <w:uiPriority w:val="99"/>
    <w:unhideWhenUsed/>
    <w:rsid w:val="0038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2D7"/>
    <w:rPr>
      <w:rFonts w:ascii="Montserrat" w:hAnsi="Montserrat"/>
    </w:rPr>
  </w:style>
  <w:style w:type="paragraph" w:customStyle="1" w:styleId="Logo">
    <w:name w:val="ŠLogo"/>
    <w:basedOn w:val="Normal"/>
    <w:uiPriority w:val="16"/>
    <w:qFormat/>
    <w:rsid w:val="003812D7"/>
    <w:pPr>
      <w:tabs>
        <w:tab w:val="right" w:pos="10199"/>
      </w:tabs>
      <w:spacing w:before="120" w:after="0" w:line="312" w:lineRule="auto"/>
      <w:ind w:right="-573"/>
    </w:pPr>
    <w:rPr>
      <w:rFonts w:ascii="Arial" w:eastAsia="SimSun" w:hAnsi="Arial"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70372">
      <w:bodyDiv w:val="1"/>
      <w:marLeft w:val="0"/>
      <w:marRight w:val="0"/>
      <w:marTop w:val="0"/>
      <w:marBottom w:val="0"/>
      <w:divBdr>
        <w:top w:val="none" w:sz="0" w:space="0" w:color="auto"/>
        <w:left w:val="none" w:sz="0" w:space="0" w:color="auto"/>
        <w:bottom w:val="none" w:sz="0" w:space="0" w:color="auto"/>
        <w:right w:val="none" w:sz="0" w:space="0" w:color="auto"/>
      </w:divBdr>
      <w:divsChild>
        <w:div w:id="1129544707">
          <w:marLeft w:val="0"/>
          <w:marRight w:val="0"/>
          <w:marTop w:val="0"/>
          <w:marBottom w:val="0"/>
          <w:divBdr>
            <w:top w:val="none" w:sz="0" w:space="0" w:color="auto"/>
            <w:left w:val="none" w:sz="0" w:space="0" w:color="auto"/>
            <w:bottom w:val="none" w:sz="0" w:space="0" w:color="auto"/>
            <w:right w:val="none" w:sz="0" w:space="0" w:color="auto"/>
          </w:divBdr>
          <w:divsChild>
            <w:div w:id="1177310586">
              <w:marLeft w:val="0"/>
              <w:marRight w:val="0"/>
              <w:marTop w:val="0"/>
              <w:marBottom w:val="0"/>
              <w:divBdr>
                <w:top w:val="none" w:sz="0" w:space="0" w:color="auto"/>
                <w:left w:val="none" w:sz="0" w:space="0" w:color="auto"/>
                <w:bottom w:val="none" w:sz="0" w:space="0" w:color="auto"/>
                <w:right w:val="none" w:sz="0" w:space="0" w:color="auto"/>
              </w:divBdr>
            </w:div>
            <w:div w:id="1390612237">
              <w:marLeft w:val="0"/>
              <w:marRight w:val="0"/>
              <w:marTop w:val="0"/>
              <w:marBottom w:val="0"/>
              <w:divBdr>
                <w:top w:val="none" w:sz="0" w:space="0" w:color="auto"/>
                <w:left w:val="none" w:sz="0" w:space="0" w:color="auto"/>
                <w:bottom w:val="none" w:sz="0" w:space="0" w:color="auto"/>
                <w:right w:val="none" w:sz="0" w:space="0" w:color="auto"/>
              </w:divBdr>
            </w:div>
          </w:divsChild>
        </w:div>
        <w:div w:id="1202742301">
          <w:marLeft w:val="0"/>
          <w:marRight w:val="0"/>
          <w:marTop w:val="0"/>
          <w:marBottom w:val="0"/>
          <w:divBdr>
            <w:top w:val="none" w:sz="0" w:space="0" w:color="auto"/>
            <w:left w:val="none" w:sz="0" w:space="0" w:color="auto"/>
            <w:bottom w:val="none" w:sz="0" w:space="0" w:color="auto"/>
            <w:right w:val="none" w:sz="0" w:space="0" w:color="auto"/>
          </w:divBdr>
          <w:divsChild>
            <w:div w:id="743643253">
              <w:marLeft w:val="0"/>
              <w:marRight w:val="0"/>
              <w:marTop w:val="0"/>
              <w:marBottom w:val="0"/>
              <w:divBdr>
                <w:top w:val="none" w:sz="0" w:space="0" w:color="auto"/>
                <w:left w:val="none" w:sz="0" w:space="0" w:color="auto"/>
                <w:bottom w:val="none" w:sz="0" w:space="0" w:color="auto"/>
                <w:right w:val="none" w:sz="0" w:space="0" w:color="auto"/>
              </w:divBdr>
            </w:div>
            <w:div w:id="1916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081">
      <w:bodyDiv w:val="1"/>
      <w:marLeft w:val="0"/>
      <w:marRight w:val="0"/>
      <w:marTop w:val="0"/>
      <w:marBottom w:val="0"/>
      <w:divBdr>
        <w:top w:val="none" w:sz="0" w:space="0" w:color="auto"/>
        <w:left w:val="none" w:sz="0" w:space="0" w:color="auto"/>
        <w:bottom w:val="none" w:sz="0" w:space="0" w:color="auto"/>
        <w:right w:val="none" w:sz="0" w:space="0" w:color="auto"/>
      </w:divBdr>
      <w:divsChild>
        <w:div w:id="796489383">
          <w:marLeft w:val="0"/>
          <w:marRight w:val="0"/>
          <w:marTop w:val="0"/>
          <w:marBottom w:val="420"/>
          <w:divBdr>
            <w:top w:val="none" w:sz="0" w:space="0" w:color="auto"/>
            <w:left w:val="none" w:sz="0" w:space="0" w:color="auto"/>
            <w:bottom w:val="none" w:sz="0" w:space="0" w:color="auto"/>
            <w:right w:val="none" w:sz="0" w:space="0" w:color="auto"/>
          </w:divBdr>
          <w:divsChild>
            <w:div w:id="1019283474">
              <w:marLeft w:val="0"/>
              <w:marRight w:val="0"/>
              <w:marTop w:val="0"/>
              <w:marBottom w:val="0"/>
              <w:divBdr>
                <w:top w:val="none" w:sz="0" w:space="0" w:color="auto"/>
                <w:left w:val="none" w:sz="0" w:space="0" w:color="auto"/>
                <w:bottom w:val="none" w:sz="0" w:space="0" w:color="auto"/>
                <w:right w:val="none" w:sz="0" w:space="0" w:color="auto"/>
              </w:divBdr>
              <w:divsChild>
                <w:div w:id="747076525">
                  <w:marLeft w:val="0"/>
                  <w:marRight w:val="0"/>
                  <w:marTop w:val="0"/>
                  <w:marBottom w:val="0"/>
                  <w:divBdr>
                    <w:top w:val="none" w:sz="0" w:space="0" w:color="auto"/>
                    <w:left w:val="none" w:sz="0" w:space="0" w:color="auto"/>
                    <w:bottom w:val="none" w:sz="0" w:space="0" w:color="auto"/>
                    <w:right w:val="none" w:sz="0" w:space="0" w:color="auto"/>
                  </w:divBdr>
                  <w:divsChild>
                    <w:div w:id="1427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footer" Target="footer2.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A51BF2F78AE469FC586ED4A99C459" ma:contentTypeVersion="13" ma:contentTypeDescription="Create a new document." ma:contentTypeScope="" ma:versionID="89d25bf0ef44fe627928b16d27c70948">
  <xsd:schema xmlns:xsd="http://www.w3.org/2001/XMLSchema" xmlns:xs="http://www.w3.org/2001/XMLSchema" xmlns:p="http://schemas.microsoft.com/office/2006/metadata/properties" xmlns:ns3="137c8372-fa1e-4965-a17c-06d28bff4030" xmlns:ns4="14042725-ea76-4369-b101-be5165e52bd2" targetNamespace="http://schemas.microsoft.com/office/2006/metadata/properties" ma:root="true" ma:fieldsID="2e714e45f7d5e6c5364d22d40be731f4" ns3:_="" ns4:_="">
    <xsd:import namespace="137c8372-fa1e-4965-a17c-06d28bff4030"/>
    <xsd:import namespace="14042725-ea76-4369-b101-be5165e52b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372-fa1e-4965-a17c-06d28bff4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42725-ea76-4369-b101-be5165e52b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E1B0-E4D0-4175-A934-8A53A03BACBD}">
  <ds:schemaRefs>
    <ds:schemaRef ds:uri="http://schemas.microsoft.com/sharepoint/v3/contenttype/forms"/>
  </ds:schemaRefs>
</ds:datastoreItem>
</file>

<file path=customXml/itemProps2.xml><?xml version="1.0" encoding="utf-8"?>
<ds:datastoreItem xmlns:ds="http://schemas.openxmlformats.org/officeDocument/2006/customXml" ds:itemID="{666D0610-0AAB-41CE-BA5A-7B9C4C8758E4}">
  <ds:schemaRefs>
    <ds:schemaRef ds:uri="http://purl.org/dc/terms/"/>
    <ds:schemaRef ds:uri="137c8372-fa1e-4965-a17c-06d28bff403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4042725-ea76-4369-b101-be5165e52bd2"/>
    <ds:schemaRef ds:uri="http://www.w3.org/XML/1998/namespace"/>
    <ds:schemaRef ds:uri="http://purl.org/dc/dcmitype/"/>
  </ds:schemaRefs>
</ds:datastoreItem>
</file>

<file path=customXml/itemProps3.xml><?xml version="1.0" encoding="utf-8"?>
<ds:datastoreItem xmlns:ds="http://schemas.openxmlformats.org/officeDocument/2006/customXml" ds:itemID="{DBB52139-F5FD-4CD2-9F71-56635FD4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372-fa1e-4965-a17c-06d28bff4030"/>
    <ds:schemaRef ds:uri="14042725-ea76-4369-b101-be5165e52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58505-F3E6-44B8-BAB8-B67E0534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16770</Words>
  <Characters>95589</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Stevenson (Michael Stevenson)</dc:creator>
  <cp:keywords/>
  <dc:description/>
  <cp:lastModifiedBy>James Hull</cp:lastModifiedBy>
  <cp:revision>2</cp:revision>
  <dcterms:created xsi:type="dcterms:W3CDTF">2020-07-22T00:40:00Z</dcterms:created>
  <dcterms:modified xsi:type="dcterms:W3CDTF">2020-07-22T00:40:00Z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id="3kHHBMhe"/&gt;&lt;style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0x0101007A7A51BF2F78AE469FC586ED4A99C459</vt:lpwstr>
  </property>
</Properties>
</file>