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4566" w14:textId="00F58AA2" w:rsidR="00086656" w:rsidRDefault="00BB2DBB" w:rsidP="00086656">
      <w:pPr>
        <w:pStyle w:val="Title"/>
      </w:pPr>
      <w:bookmarkStart w:id="0" w:name="_GoBack"/>
      <w:bookmarkEnd w:id="0"/>
      <w:r>
        <w:t xml:space="preserve">Module 8: </w:t>
      </w:r>
      <w:r w:rsidR="00920D36">
        <w:t>Mining relationships with Aboriginal c</w:t>
      </w:r>
      <w:r w:rsidR="00D67056">
        <w:t xml:space="preserve">ommunities </w:t>
      </w:r>
    </w:p>
    <w:p w14:paraId="107EB6B2" w14:textId="2749AC58" w:rsidR="004B6E18" w:rsidRDefault="00920D36" w:rsidP="00920D36">
      <w:pPr>
        <w:pStyle w:val="Heading2"/>
      </w:pPr>
      <w:r>
        <w:t>Working with c</w:t>
      </w:r>
      <w:r w:rsidR="005804E5">
        <w:t>ommunities</w:t>
      </w:r>
    </w:p>
    <w:p w14:paraId="056A5009" w14:textId="171D7243" w:rsidR="005804E5" w:rsidRDefault="005804E5" w:rsidP="005804E5">
      <w:r>
        <w:t>Refer to the following documents to answer the questions</w:t>
      </w:r>
      <w:r w:rsidR="00920D36">
        <w:t xml:space="preserve"> below</w:t>
      </w:r>
      <w:r>
        <w:t>:</w:t>
      </w:r>
    </w:p>
    <w:p w14:paraId="5A8D0C1C" w14:textId="20CE5FC5" w:rsidR="005804E5" w:rsidRPr="00334EEF" w:rsidRDefault="008458F0" w:rsidP="00391844">
      <w:pPr>
        <w:pStyle w:val="ListBullet"/>
      </w:pPr>
      <w:hyperlink r:id="rId10" w:history="1">
        <w:r w:rsidR="005804E5" w:rsidRPr="00391844">
          <w:rPr>
            <w:rStyle w:val="Hyperlink"/>
          </w:rPr>
          <w:t>Working with Indigenous Communities</w:t>
        </w:r>
      </w:hyperlink>
    </w:p>
    <w:p w14:paraId="294A4E1D" w14:textId="3BD1063F" w:rsidR="005804E5" w:rsidRPr="00334EEF" w:rsidRDefault="008458F0" w:rsidP="00391844">
      <w:pPr>
        <w:pStyle w:val="ListBullet"/>
      </w:pPr>
      <w:hyperlink r:id="rId11" w:history="1">
        <w:r w:rsidR="005804E5" w:rsidRPr="00391844">
          <w:rPr>
            <w:rStyle w:val="Hyperlink"/>
          </w:rPr>
          <w:t>Engage Early</w:t>
        </w:r>
      </w:hyperlink>
      <w:r w:rsidR="005804E5" w:rsidRPr="00334EEF">
        <w:t xml:space="preserve"> </w:t>
      </w:r>
    </w:p>
    <w:p w14:paraId="7401BB95" w14:textId="73F18E85" w:rsidR="005804E5" w:rsidRPr="00334EEF" w:rsidRDefault="008458F0" w:rsidP="00391844">
      <w:pPr>
        <w:pStyle w:val="ListBullet"/>
      </w:pPr>
      <w:hyperlink r:id="rId12" w:history="1">
        <w:r w:rsidR="005804E5" w:rsidRPr="005B61B1">
          <w:rPr>
            <w:rStyle w:val="Hyperlink"/>
          </w:rPr>
          <w:t>Glencore: Working with Australian Indigenous communities</w:t>
        </w:r>
      </w:hyperlink>
    </w:p>
    <w:p w14:paraId="21B7ECAA" w14:textId="3F461B14" w:rsidR="005804E5" w:rsidRPr="00920D36" w:rsidRDefault="00920D36" w:rsidP="005804E5">
      <w:pPr>
        <w:rPr>
          <w:rStyle w:val="Strong"/>
        </w:rPr>
      </w:pPr>
      <w:r>
        <w:rPr>
          <w:rStyle w:val="Strong"/>
        </w:rPr>
        <w:t>Questions</w:t>
      </w:r>
    </w:p>
    <w:p w14:paraId="27FEE929" w14:textId="77777777" w:rsidR="005804E5" w:rsidRDefault="005804E5" w:rsidP="005C6CFC">
      <w:pPr>
        <w:pStyle w:val="ListNumber"/>
      </w:pPr>
      <w:r>
        <w:t>Outline the importance of Aboriginal cultural sites to local communities and the impact mining operations can have on these sites.</w:t>
      </w:r>
    </w:p>
    <w:p w14:paraId="79439498" w14:textId="77777777" w:rsidR="005804E5" w:rsidRDefault="005804E5" w:rsidP="005C6CFC">
      <w:pPr>
        <w:pStyle w:val="ListNumber"/>
      </w:pPr>
      <w:r>
        <w:t xml:space="preserve">Outline the importance of ongoing communication and negations between mining companies and Indigenous groups at all stages of mining operations. </w:t>
      </w:r>
    </w:p>
    <w:p w14:paraId="30A88F18" w14:textId="77777777" w:rsidR="005804E5" w:rsidRDefault="005804E5" w:rsidP="005C6CFC">
      <w:pPr>
        <w:pStyle w:val="ListNumber"/>
      </w:pPr>
      <w:r>
        <w:t xml:space="preserve">Describe how mining operations can have positive outcomes for local Aboriginal and Torres Strait Islander communities. </w:t>
      </w:r>
    </w:p>
    <w:p w14:paraId="39081069" w14:textId="1DB92525" w:rsidR="005804E5" w:rsidRDefault="005804E5">
      <w:pPr>
        <w:rPr>
          <w:lang w:eastAsia="zh-CN"/>
        </w:rPr>
      </w:pPr>
      <w:r>
        <w:rPr>
          <w:lang w:eastAsia="zh-CN"/>
        </w:rPr>
        <w:br w:type="page"/>
      </w:r>
    </w:p>
    <w:p w14:paraId="1B49690F" w14:textId="115D6647" w:rsidR="005804E5" w:rsidRDefault="005804E5" w:rsidP="005C6CFC">
      <w:pPr>
        <w:pStyle w:val="Heading2"/>
      </w:pPr>
      <w:r>
        <w:lastRenderedPageBreak/>
        <w:t>Gumatj Corporation</w:t>
      </w:r>
    </w:p>
    <w:p w14:paraId="2F579D10" w14:textId="62226FFC" w:rsidR="005804E5" w:rsidRDefault="005804E5" w:rsidP="005804E5">
      <w:r>
        <w:t xml:space="preserve">Watch </w:t>
      </w:r>
      <w:hyperlink r:id="rId13" w:history="1">
        <w:r w:rsidRPr="005C6CFC">
          <w:rPr>
            <w:rStyle w:val="Hyperlink"/>
          </w:rPr>
          <w:t xml:space="preserve">Traditional owners and mining: </w:t>
        </w:r>
        <w:proofErr w:type="spellStart"/>
        <w:r w:rsidRPr="005C6CFC">
          <w:rPr>
            <w:rStyle w:val="Hyperlink"/>
          </w:rPr>
          <w:t>Djawa</w:t>
        </w:r>
        <w:proofErr w:type="spellEnd"/>
        <w:r w:rsidRPr="005C6CFC">
          <w:rPr>
            <w:rStyle w:val="Hyperlink"/>
          </w:rPr>
          <w:t xml:space="preserve"> and Linda</w:t>
        </w:r>
      </w:hyperlink>
      <w:r>
        <w:t xml:space="preserve"> </w:t>
      </w:r>
      <w:r w:rsidR="005C6CFC">
        <w:t>(duration 0:59)</w:t>
      </w:r>
    </w:p>
    <w:p w14:paraId="2C3BB82E" w14:textId="77777777" w:rsidR="005C6CFC" w:rsidRPr="00920D36" w:rsidRDefault="005C6CFC" w:rsidP="005C6CFC">
      <w:pPr>
        <w:rPr>
          <w:rStyle w:val="Strong"/>
        </w:rPr>
      </w:pPr>
      <w:r>
        <w:rPr>
          <w:rStyle w:val="Strong"/>
        </w:rPr>
        <w:t>Questions</w:t>
      </w:r>
    </w:p>
    <w:p w14:paraId="2500D6C3" w14:textId="427AA575" w:rsidR="005C6CFC" w:rsidRDefault="005804E5" w:rsidP="005C6CFC">
      <w:r>
        <w:t>Use the source and other research to answer the following questions:</w:t>
      </w:r>
    </w:p>
    <w:p w14:paraId="2D338914" w14:textId="058D9E5C" w:rsidR="005804E5" w:rsidRDefault="005804E5" w:rsidP="005C6CFC">
      <w:pPr>
        <w:pStyle w:val="ListNumber"/>
        <w:numPr>
          <w:ilvl w:val="0"/>
          <w:numId w:val="48"/>
        </w:numPr>
      </w:pPr>
      <w:r>
        <w:t xml:space="preserve">Outline the </w:t>
      </w:r>
      <w:r w:rsidRPr="007053AA">
        <w:t>Gumatj Corporation</w:t>
      </w:r>
      <w:r>
        <w:t xml:space="preserve"> and </w:t>
      </w:r>
      <w:proofErr w:type="spellStart"/>
      <w:r>
        <w:t>Gulkula</w:t>
      </w:r>
      <w:proofErr w:type="spellEnd"/>
      <w:r>
        <w:t xml:space="preserve"> Mine project.</w:t>
      </w:r>
    </w:p>
    <w:p w14:paraId="2D1E9770" w14:textId="77777777" w:rsidR="005804E5" w:rsidRDefault="005804E5" w:rsidP="005C6CFC">
      <w:pPr>
        <w:pStyle w:val="ListNumber"/>
        <w:numPr>
          <w:ilvl w:val="0"/>
          <w:numId w:val="48"/>
        </w:numPr>
      </w:pPr>
      <w:r>
        <w:t xml:space="preserve">Explain how the </w:t>
      </w:r>
      <w:r w:rsidRPr="007053AA">
        <w:t>Gumatj Corporation</w:t>
      </w:r>
      <w:r>
        <w:t xml:space="preserve"> and </w:t>
      </w:r>
      <w:proofErr w:type="spellStart"/>
      <w:r>
        <w:t>Gulkula</w:t>
      </w:r>
      <w:proofErr w:type="spellEnd"/>
      <w:r>
        <w:t xml:space="preserve"> Mine project seek to establish positive relationships between large mining corporation and Aboriginal communities.</w:t>
      </w:r>
    </w:p>
    <w:p w14:paraId="365F10CB" w14:textId="0E27365E" w:rsidR="005804E5" w:rsidRDefault="005804E5" w:rsidP="005C6CFC">
      <w:pPr>
        <w:pStyle w:val="ListNumber"/>
        <w:numPr>
          <w:ilvl w:val="0"/>
          <w:numId w:val="48"/>
        </w:numPr>
      </w:pPr>
      <w:r>
        <w:t xml:space="preserve">Assess the effectiveness of this project. </w:t>
      </w:r>
    </w:p>
    <w:p w14:paraId="5CC11652" w14:textId="77777777" w:rsidR="005804E5" w:rsidRDefault="005804E5">
      <w:pPr>
        <w:rPr>
          <w:rFonts w:eastAsiaTheme="majorEastAsia" w:cs="Arial"/>
          <w:b/>
          <w:color w:val="1C438B"/>
          <w:sz w:val="52"/>
          <w:szCs w:val="32"/>
          <w:lang w:eastAsia="zh-CN"/>
        </w:rPr>
      </w:pPr>
      <w:r>
        <w:rPr>
          <w:rFonts w:cs="Arial"/>
          <w:lang w:eastAsia="zh-CN"/>
        </w:rPr>
        <w:br w:type="page"/>
      </w:r>
    </w:p>
    <w:p w14:paraId="3F6B4690" w14:textId="0FB4A712" w:rsidR="005804E5" w:rsidRDefault="005804E5" w:rsidP="0014669A">
      <w:pPr>
        <w:pStyle w:val="Heading2"/>
      </w:pPr>
      <w:r>
        <w:lastRenderedPageBreak/>
        <w:t xml:space="preserve">Case </w:t>
      </w:r>
      <w:r w:rsidR="0014669A">
        <w:t>s</w:t>
      </w:r>
      <w:r>
        <w:t>tudy: Gulf Communities Agreement at the Century Mine, Q</w:t>
      </w:r>
      <w:r w:rsidR="0014669A">
        <w:t>ueensland</w:t>
      </w:r>
    </w:p>
    <w:p w14:paraId="29E081F0" w14:textId="7A0D5D92" w:rsidR="005804E5" w:rsidRDefault="005804E5" w:rsidP="005804E5">
      <w:pPr>
        <w:rPr>
          <w:lang w:eastAsia="en-AU"/>
        </w:rPr>
      </w:pPr>
      <w:r w:rsidRPr="00401E77">
        <w:rPr>
          <w:rFonts w:cstheme="minorHAnsi"/>
          <w:lang w:eastAsia="en-AU"/>
        </w:rPr>
        <w:t xml:space="preserve">Watch the </w:t>
      </w:r>
      <w:proofErr w:type="gramStart"/>
      <w:r w:rsidRPr="00401E77">
        <w:rPr>
          <w:rFonts w:cstheme="minorHAnsi"/>
          <w:lang w:eastAsia="en-AU"/>
        </w:rPr>
        <w:t>clip on</w:t>
      </w:r>
      <w:proofErr w:type="gramEnd"/>
      <w:r w:rsidRPr="00401E77">
        <w:rPr>
          <w:rFonts w:cstheme="minorHAnsi"/>
          <w:lang w:eastAsia="en-AU"/>
        </w:rPr>
        <w:t xml:space="preserve"> Century Mining operations, </w:t>
      </w:r>
      <w:hyperlink r:id="rId14" w:history="1">
        <w:r w:rsidRPr="005C6CFC">
          <w:rPr>
            <w:rStyle w:val="Hyperlink"/>
          </w:rPr>
          <w:t>New Century Zinc</w:t>
        </w:r>
      </w:hyperlink>
      <w:r w:rsidR="005C6CFC">
        <w:t xml:space="preserve"> (duration 8:21).</w:t>
      </w:r>
    </w:p>
    <w:p w14:paraId="2C30EF17" w14:textId="4E67C757" w:rsidR="005804E5" w:rsidRDefault="005804E5" w:rsidP="005804E5">
      <w:pPr>
        <w:rPr>
          <w:lang w:eastAsia="en-AU"/>
        </w:rPr>
      </w:pPr>
      <w:r>
        <w:rPr>
          <w:lang w:eastAsia="en-AU"/>
        </w:rPr>
        <w:t>Use the resources provided as well as any further research to answer t</w:t>
      </w:r>
      <w:r w:rsidR="00E307A9">
        <w:rPr>
          <w:lang w:eastAsia="en-AU"/>
        </w:rPr>
        <w:t>he</w:t>
      </w:r>
      <w:r>
        <w:rPr>
          <w:lang w:eastAsia="en-AU"/>
        </w:rPr>
        <w:t xml:space="preserve"> questions.</w:t>
      </w:r>
    </w:p>
    <w:p w14:paraId="6C510438" w14:textId="77777777" w:rsidR="005804E5" w:rsidRPr="005C6CFC" w:rsidRDefault="005804E5" w:rsidP="005C6CFC">
      <w:pPr>
        <w:rPr>
          <w:rStyle w:val="Strong"/>
        </w:rPr>
      </w:pPr>
      <w:r w:rsidRPr="005C6CFC">
        <w:rPr>
          <w:rStyle w:val="Strong"/>
        </w:rPr>
        <w:t>Questions:</w:t>
      </w:r>
    </w:p>
    <w:p w14:paraId="7B1BCCE4" w14:textId="77777777" w:rsidR="005804E5" w:rsidRDefault="005804E5" w:rsidP="005C6CFC">
      <w:pPr>
        <w:pStyle w:val="ListNumber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>Identify the key aspects of the Gulf Communities Agreement.</w:t>
      </w:r>
    </w:p>
    <w:p w14:paraId="749048AD" w14:textId="77777777" w:rsidR="005804E5" w:rsidRDefault="005804E5" w:rsidP="005C6CFC">
      <w:pPr>
        <w:pStyle w:val="ListNumber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 xml:space="preserve">Outline how increasing local Aboriginal employment helps improve relationships between the community and the mining company. </w:t>
      </w:r>
    </w:p>
    <w:p w14:paraId="5E410CCE" w14:textId="77777777" w:rsidR="005804E5" w:rsidRDefault="005804E5" w:rsidP="005C6CFC">
      <w:pPr>
        <w:pStyle w:val="ListNumber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>Assess the extent to which traditional owners were involved in the planning procedures and mining practices of Century Mine.</w:t>
      </w:r>
    </w:p>
    <w:p w14:paraId="009533B3" w14:textId="77777777" w:rsidR="005804E5" w:rsidRDefault="005804E5" w:rsidP="005C6CFC">
      <w:pPr>
        <w:pStyle w:val="ListNumber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 xml:space="preserve">Analyse how positive relations with the traditional owners can improve environmental and cultural site restoration of damaged land after mining operations cease. </w:t>
      </w:r>
    </w:p>
    <w:p w14:paraId="76ED0CFA" w14:textId="77777777" w:rsidR="005804E5" w:rsidRDefault="005804E5" w:rsidP="005804E5">
      <w:pPr>
        <w:rPr>
          <w:lang w:eastAsia="en-AU"/>
        </w:rPr>
      </w:pPr>
      <w:r>
        <w:rPr>
          <w:lang w:eastAsia="en-AU"/>
        </w:rPr>
        <w:t xml:space="preserve">Reference all sources used in your responses. </w:t>
      </w:r>
    </w:p>
    <w:p w14:paraId="4D3E8A8A" w14:textId="0BAFBBF3" w:rsidR="005804E5" w:rsidRPr="005C6CFC" w:rsidRDefault="005804E5" w:rsidP="005C6CFC">
      <w:pPr>
        <w:rPr>
          <w:rStyle w:val="Strong"/>
        </w:rPr>
      </w:pPr>
      <w:r w:rsidRPr="005C6CFC">
        <w:rPr>
          <w:rStyle w:val="Strong"/>
        </w:rPr>
        <w:t>Resources</w:t>
      </w:r>
    </w:p>
    <w:p w14:paraId="5F48CA84" w14:textId="2CBE85F5" w:rsidR="005804E5" w:rsidRDefault="4BFBE890" w:rsidP="6DC52F75">
      <w:pPr>
        <w:pStyle w:val="ListBullet"/>
      </w:pPr>
      <w:r>
        <w:t xml:space="preserve">Barker, E. (2017) </w:t>
      </w:r>
      <w:hyperlink r:id="rId15">
        <w:r w:rsidRPr="6DC52F75">
          <w:rPr>
            <w:rStyle w:val="Hyperlink"/>
          </w:rPr>
          <w:t>Landmark native title agreement to stay as world's largest open-cut zinc mine looks to reopen</w:t>
        </w:r>
      </w:hyperlink>
      <w:r>
        <w:t xml:space="preserve">. ABC Rural; NSW. </w:t>
      </w:r>
    </w:p>
    <w:p w14:paraId="372A555B" w14:textId="0E791D3F" w:rsidR="005804E5" w:rsidRDefault="4BFBE890" w:rsidP="6DC52F75">
      <w:pPr>
        <w:pStyle w:val="ListBullet"/>
      </w:pPr>
      <w:r>
        <w:t xml:space="preserve">Brereton, D., Everingham, J. (2016) </w:t>
      </w:r>
      <w:hyperlink r:id="rId16">
        <w:r w:rsidRPr="6DC52F75">
          <w:rPr>
            <w:rStyle w:val="Hyperlink"/>
          </w:rPr>
          <w:t>Making and Implementing Agreements with Indigenous Communities: A Case Study of the Gulf Communities Agreement</w:t>
        </w:r>
      </w:hyperlink>
      <w:r>
        <w:t xml:space="preserve">. Centre for Social Responsibility in Mining; University of Queensland. </w:t>
      </w:r>
    </w:p>
    <w:p w14:paraId="6E195667" w14:textId="21F7348D" w:rsidR="005804E5" w:rsidRDefault="4BFBE890" w:rsidP="6DC52F75">
      <w:pPr>
        <w:pStyle w:val="ListBullet"/>
      </w:pPr>
      <w:r>
        <w:t xml:space="preserve">Evans, S. (2019) </w:t>
      </w:r>
      <w:hyperlink r:id="rId17">
        <w:r w:rsidRPr="6DC52F75">
          <w:rPr>
            <w:rStyle w:val="Hyperlink"/>
          </w:rPr>
          <w:t>Indigenous employment in Australian mining: what more needs to be done?</w:t>
        </w:r>
      </w:hyperlink>
      <w:r>
        <w:t xml:space="preserve"> Verdict Media Limited; UK. </w:t>
      </w:r>
    </w:p>
    <w:p w14:paraId="5D149F28" w14:textId="462768EE" w:rsidR="005804E5" w:rsidRDefault="4BFBE890" w:rsidP="6DC52F75">
      <w:pPr>
        <w:pStyle w:val="ListBullet"/>
      </w:pPr>
      <w:r>
        <w:t xml:space="preserve">Everingham, J., Barnes, R., Brereton, D. (2013). </w:t>
      </w:r>
      <w:hyperlink r:id="rId18">
        <w:r w:rsidRPr="6DC52F75">
          <w:rPr>
            <w:rStyle w:val="Hyperlink"/>
          </w:rPr>
          <w:t>Gulf Communities Agreement 2008-2013 15 Year Review</w:t>
        </w:r>
      </w:hyperlink>
      <w:r>
        <w:t xml:space="preserve">. Centre for Social Responsibility in Mining; University of Queensland.  </w:t>
      </w:r>
    </w:p>
    <w:p w14:paraId="7B2AB78A" w14:textId="77777777" w:rsidR="005804E5" w:rsidRDefault="4BFBE890" w:rsidP="6DC52F75">
      <w:pPr>
        <w:pStyle w:val="ListBullet"/>
        <w:rPr>
          <w:lang w:eastAsia="en-AU"/>
        </w:rPr>
      </w:pPr>
      <w:r>
        <w:t>Heffernan, D., Mahon, R. (2019) Spotlight: NSW Earth and Environmental Science Modules 5 to 8. Science Press; Marrickville. (p. 235-236)</w:t>
      </w:r>
    </w:p>
    <w:p w14:paraId="4C3AAB67" w14:textId="2E10954D" w:rsidR="005804E5" w:rsidRDefault="4BFBE890" w:rsidP="6DC52F75">
      <w:pPr>
        <w:pStyle w:val="ListBullet"/>
        <w:rPr>
          <w:rFonts w:asciiTheme="minorHAnsi" w:eastAsiaTheme="minorEastAsia" w:hAnsiTheme="minorHAnsi"/>
        </w:rPr>
      </w:pPr>
      <w:r>
        <w:t xml:space="preserve">Maguire, K. (2019) </w:t>
      </w:r>
      <w:hyperlink r:id="rId19">
        <w:r w:rsidRPr="6DC52F75">
          <w:rPr>
            <w:rStyle w:val="Hyperlink"/>
          </w:rPr>
          <w:t>New Century Resources signs deal to be mining industry leader for Indigenous employment</w:t>
        </w:r>
      </w:hyperlink>
      <w:r>
        <w:t xml:space="preserve">. ABC Rural; NSW. </w:t>
      </w:r>
    </w:p>
    <w:p w14:paraId="3D4A3481" w14:textId="03AC00EF" w:rsidR="005804E5" w:rsidRDefault="4BFBE890" w:rsidP="6DC52F75">
      <w:pPr>
        <w:pStyle w:val="ListBullet"/>
      </w:pPr>
      <w:r>
        <w:t xml:space="preserve">Martin, D. (1998) </w:t>
      </w:r>
      <w:hyperlink r:id="rId20">
        <w:r w:rsidRPr="6DC52F75">
          <w:rPr>
            <w:rStyle w:val="Hyperlink"/>
          </w:rPr>
          <w:t xml:space="preserve">Deal of the Century? a Case Study from the </w:t>
        </w:r>
        <w:proofErr w:type="spellStart"/>
        <w:r w:rsidRPr="6DC52F75">
          <w:rPr>
            <w:rStyle w:val="Hyperlink"/>
          </w:rPr>
          <w:t>Pasminco</w:t>
        </w:r>
        <w:proofErr w:type="spellEnd"/>
        <w:r w:rsidRPr="6DC52F75">
          <w:rPr>
            <w:rStyle w:val="Hyperlink"/>
          </w:rPr>
          <w:t xml:space="preserve"> Century Project</w:t>
        </w:r>
      </w:hyperlink>
      <w:r>
        <w:t xml:space="preserve">. Indigenous Law Bulletin; NSW. </w:t>
      </w:r>
    </w:p>
    <w:p w14:paraId="62CD086F" w14:textId="4EC780D0" w:rsidR="005804E5" w:rsidRDefault="4BFBE890" w:rsidP="6DC52F75">
      <w:pPr>
        <w:pStyle w:val="ListBullet"/>
      </w:pPr>
      <w:r>
        <w:t xml:space="preserve">Mining Australia (2008). </w:t>
      </w:r>
      <w:hyperlink r:id="rId21">
        <w:r w:rsidRPr="6DC52F75">
          <w:rPr>
            <w:rStyle w:val="Hyperlink"/>
          </w:rPr>
          <w:t>Gulf Communities agree on board</w:t>
        </w:r>
      </w:hyperlink>
      <w:r>
        <w:t xml:space="preserve">. Prime Creative Media; South Melbourne. </w:t>
      </w:r>
    </w:p>
    <w:p w14:paraId="3AD708EC" w14:textId="29C7DA95" w:rsidR="005804E5" w:rsidRPr="005804E5" w:rsidRDefault="4BFBE890" w:rsidP="6DC52F75">
      <w:pPr>
        <w:pStyle w:val="ListBullet"/>
      </w:pPr>
      <w:proofErr w:type="spellStart"/>
      <w:r>
        <w:lastRenderedPageBreak/>
        <w:t>Scambary</w:t>
      </w:r>
      <w:proofErr w:type="spellEnd"/>
      <w:r>
        <w:t xml:space="preserve">, B. (2013) </w:t>
      </w:r>
      <w:hyperlink r:id="rId22">
        <w:r w:rsidRPr="6DC52F75">
          <w:rPr>
            <w:rStyle w:val="Hyperlink"/>
          </w:rPr>
          <w:t>My Country, Mine Country; Indigenous people, mining and development contestation in remote Australia</w:t>
        </w:r>
      </w:hyperlink>
      <w:r>
        <w:t>. Centre for Aboriginal Economic Policy Research; Australian National University. (p. 187-230)</w:t>
      </w:r>
    </w:p>
    <w:p w14:paraId="08A0D9C8" w14:textId="76822C99" w:rsidR="005804E5" w:rsidRDefault="005804E5">
      <w:pPr>
        <w:rPr>
          <w:lang w:eastAsia="zh-CN"/>
        </w:rPr>
      </w:pPr>
      <w:r>
        <w:rPr>
          <w:lang w:eastAsia="zh-CN"/>
        </w:rPr>
        <w:br w:type="page"/>
      </w:r>
    </w:p>
    <w:p w14:paraId="05A016B4" w14:textId="77777777" w:rsidR="005804E5" w:rsidRDefault="005804E5" w:rsidP="005C6CFC">
      <w:pPr>
        <w:pStyle w:val="Heading2"/>
      </w:pPr>
      <w:r>
        <w:lastRenderedPageBreak/>
        <w:t>Poorer Relationships</w:t>
      </w:r>
    </w:p>
    <w:p w14:paraId="75C3272D" w14:textId="77777777" w:rsidR="005804E5" w:rsidRDefault="005804E5" w:rsidP="005804E5">
      <w:pPr>
        <w:rPr>
          <w:rFonts w:cstheme="minorHAnsi"/>
        </w:rPr>
      </w:pPr>
      <w:r>
        <w:rPr>
          <w:rFonts w:cstheme="minorHAnsi"/>
        </w:rPr>
        <w:t xml:space="preserve">The approval process from traditional owners for the Adani Carmichael mine in Queensland and the destruction of the </w:t>
      </w:r>
      <w:proofErr w:type="spellStart"/>
      <w:r>
        <w:rPr>
          <w:rFonts w:cstheme="minorHAnsi"/>
        </w:rPr>
        <w:t>Juukan</w:t>
      </w:r>
      <w:proofErr w:type="spellEnd"/>
      <w:r>
        <w:rPr>
          <w:rFonts w:cstheme="minorHAnsi"/>
        </w:rPr>
        <w:t xml:space="preserve"> Gorge cave by the Rio Tinto mining company are two examples of less positive relations between mining companies and traditional owners in recent affairs. </w:t>
      </w:r>
    </w:p>
    <w:p w14:paraId="5AC2D8C4" w14:textId="06C04E0A" w:rsidR="005804E5" w:rsidRDefault="005804E5" w:rsidP="005804E5">
      <w:r>
        <w:rPr>
          <w:rFonts w:cstheme="minorHAnsi"/>
        </w:rPr>
        <w:t>Watch the following clips</w:t>
      </w:r>
      <w:r w:rsidR="00E307A9">
        <w:rPr>
          <w:rFonts w:cstheme="minorHAnsi"/>
        </w:rPr>
        <w:t>:</w:t>
      </w:r>
    </w:p>
    <w:p w14:paraId="0002B4F1" w14:textId="0A693D22" w:rsidR="005804E5" w:rsidRDefault="008458F0" w:rsidP="00E307A9">
      <w:pPr>
        <w:pStyle w:val="ListBullet"/>
      </w:pPr>
      <w:hyperlink r:id="rId23" w:history="1">
        <w:r w:rsidR="005804E5" w:rsidRPr="00E307A9">
          <w:rPr>
            <w:rStyle w:val="Hyperlink"/>
          </w:rPr>
          <w:t>An inside look at how Adani dealt with Traditional Owners</w:t>
        </w:r>
      </w:hyperlink>
      <w:r w:rsidR="00E307A9">
        <w:t xml:space="preserve"> (duration 10:36)</w:t>
      </w:r>
    </w:p>
    <w:p w14:paraId="458E0E85" w14:textId="4AB54658" w:rsidR="005804E5" w:rsidRDefault="008458F0" w:rsidP="00E307A9">
      <w:pPr>
        <w:pStyle w:val="ListBullet"/>
      </w:pPr>
      <w:hyperlink r:id="rId24" w:history="1">
        <w:r w:rsidR="005804E5" w:rsidRPr="00E307A9">
          <w:rPr>
            <w:rStyle w:val="Hyperlink"/>
          </w:rPr>
          <w:t>Rio Tinto says sorry for blasting 46,000-year-old Aboriginal site</w:t>
        </w:r>
      </w:hyperlink>
      <w:r w:rsidR="00E307A9">
        <w:t xml:space="preserve"> (duration 6:39)</w:t>
      </w:r>
    </w:p>
    <w:p w14:paraId="3B5B1F37" w14:textId="1788F8DC" w:rsidR="005804E5" w:rsidRDefault="005804E5" w:rsidP="005804E5">
      <w:pPr>
        <w:rPr>
          <w:lang w:eastAsia="en-AU"/>
        </w:rPr>
      </w:pPr>
      <w:r>
        <w:rPr>
          <w:lang w:eastAsia="en-AU"/>
        </w:rPr>
        <w:t xml:space="preserve">Suggest and justify steps that could be taken to improve the relationship between traditional owners and mining companies for </w:t>
      </w:r>
      <w:r w:rsidR="00E307A9" w:rsidRPr="00E307A9">
        <w:rPr>
          <w:rStyle w:val="Strong"/>
        </w:rPr>
        <w:t>one</w:t>
      </w:r>
      <w:r>
        <w:rPr>
          <w:lang w:eastAsia="en-AU"/>
        </w:rPr>
        <w:t xml:space="preserve"> of the examples above. </w:t>
      </w:r>
    </w:p>
    <w:p w14:paraId="4D6BEFED" w14:textId="3EF454E5" w:rsidR="005804E5" w:rsidRPr="00E307A9" w:rsidRDefault="005804E5" w:rsidP="00E307A9">
      <w:pPr>
        <w:rPr>
          <w:rStyle w:val="Strong"/>
        </w:rPr>
      </w:pPr>
      <w:r w:rsidRPr="00E307A9">
        <w:rPr>
          <w:rStyle w:val="Strong"/>
        </w:rPr>
        <w:t xml:space="preserve">Further </w:t>
      </w:r>
      <w:r w:rsidR="00DB002A">
        <w:rPr>
          <w:rStyle w:val="Strong"/>
        </w:rPr>
        <w:t>r</w:t>
      </w:r>
      <w:r w:rsidRPr="00E307A9">
        <w:rPr>
          <w:rStyle w:val="Strong"/>
        </w:rPr>
        <w:t>esources</w:t>
      </w:r>
    </w:p>
    <w:p w14:paraId="40E02D91" w14:textId="77777777" w:rsidR="005804E5" w:rsidRPr="000A01F3" w:rsidRDefault="005804E5" w:rsidP="00E307A9">
      <w:pPr>
        <w:rPr>
          <w:lang w:eastAsia="en-AU"/>
        </w:rPr>
      </w:pPr>
      <w:r w:rsidRPr="000A01F3">
        <w:rPr>
          <w:lang w:eastAsia="en-AU"/>
        </w:rPr>
        <w:t>Adani</w:t>
      </w:r>
    </w:p>
    <w:p w14:paraId="7340DEAD" w14:textId="1C930C4B" w:rsidR="005804E5" w:rsidRDefault="4BFBE890" w:rsidP="6DC52F75">
      <w:pPr>
        <w:pStyle w:val="ListBullet"/>
      </w:pPr>
      <w:r>
        <w:t xml:space="preserve">Carey, M. (2019) </w:t>
      </w:r>
      <w:hyperlink r:id="rId25">
        <w:r w:rsidRPr="6DC52F75">
          <w:rPr>
            <w:rStyle w:val="Hyperlink"/>
          </w:rPr>
          <w:t>An inside look at how Adani dealt with Traditional Owners</w:t>
        </w:r>
      </w:hyperlink>
      <w:r>
        <w:t xml:space="preserve">. National Indigenous Television; NSW. </w:t>
      </w:r>
    </w:p>
    <w:p w14:paraId="1AAB8C3C" w14:textId="3059AFBD" w:rsidR="005804E5" w:rsidRDefault="4BFBE890" w:rsidP="6DC52F75">
      <w:pPr>
        <w:pStyle w:val="ListBullet"/>
      </w:pPr>
      <w:r>
        <w:t xml:space="preserve">Lyons, K., Brigg, M. (2019) </w:t>
      </w:r>
      <w:hyperlink r:id="rId26">
        <w:r w:rsidRPr="6DC52F75">
          <w:rPr>
            <w:rStyle w:val="Hyperlink"/>
          </w:rPr>
          <w:t>Traditional owners still stand in Adani’s way</w:t>
        </w:r>
      </w:hyperlink>
      <w:r w:rsidRPr="000F63F3">
        <w:t xml:space="preserve">. The Conversation; NSW. </w:t>
      </w:r>
    </w:p>
    <w:p w14:paraId="5D30DB43" w14:textId="5122900B" w:rsidR="005804E5" w:rsidRDefault="4BFBE890" w:rsidP="6DC52F75">
      <w:pPr>
        <w:pStyle w:val="ListBullet"/>
        <w:rPr>
          <w:rFonts w:asciiTheme="minorHAnsi" w:eastAsiaTheme="minorEastAsia" w:hAnsiTheme="minorHAnsi"/>
        </w:rPr>
      </w:pPr>
      <w:r w:rsidRPr="000F63F3">
        <w:t xml:space="preserve">O’Sullivan, D (2019) </w:t>
      </w:r>
      <w:hyperlink r:id="rId27">
        <w:r w:rsidRPr="6DC52F75">
          <w:rPr>
            <w:rStyle w:val="Hyperlink"/>
          </w:rPr>
          <w:t>Indigenous people no longer have the legal right to say no to the Adani mine – here’s what it means for equality</w:t>
        </w:r>
      </w:hyperlink>
      <w:r w:rsidRPr="000F63F3">
        <w:t xml:space="preserve">. The Conversation; VIC. </w:t>
      </w:r>
    </w:p>
    <w:p w14:paraId="60DCAC5C" w14:textId="7085FC7E" w:rsidR="005804E5" w:rsidRDefault="4BFBE890" w:rsidP="6DC52F75">
      <w:pPr>
        <w:pStyle w:val="ListBullet"/>
        <w:rPr>
          <w:rFonts w:asciiTheme="minorHAnsi" w:eastAsiaTheme="minorEastAsia" w:hAnsiTheme="minorHAnsi"/>
        </w:rPr>
      </w:pPr>
      <w:r>
        <w:t xml:space="preserve">NITV Staff Writer (2019) </w:t>
      </w:r>
      <w:hyperlink r:id="rId28">
        <w:r w:rsidRPr="6DC52F75">
          <w:rPr>
            <w:rStyle w:val="Hyperlink"/>
          </w:rPr>
          <w:t>Adani obtains court order to prevent Traditional Owners entering mine site</w:t>
        </w:r>
      </w:hyperlink>
      <w:r>
        <w:t xml:space="preserve">. National Indigenous Television; NSW. </w:t>
      </w:r>
    </w:p>
    <w:p w14:paraId="338508BC" w14:textId="500C7DC1" w:rsidR="005804E5" w:rsidRDefault="4BFBE890" w:rsidP="6DC52F75">
      <w:pPr>
        <w:pStyle w:val="ListBullet"/>
      </w:pPr>
      <w:r>
        <w:t xml:space="preserve">Robertson, J. (2019) </w:t>
      </w:r>
      <w:hyperlink r:id="rId29">
        <w:r w:rsidRPr="6DC52F75">
          <w:rPr>
            <w:rStyle w:val="Hyperlink"/>
          </w:rPr>
          <w:t>Adani coal mine should be suspended, UN says, until all traditional owners support the project</w:t>
        </w:r>
      </w:hyperlink>
      <w:r>
        <w:t xml:space="preserve">. ABC News; NSW. </w:t>
      </w:r>
    </w:p>
    <w:p w14:paraId="11ACDB8F" w14:textId="77777777" w:rsidR="005804E5" w:rsidRPr="000A01F3" w:rsidRDefault="005804E5" w:rsidP="00E307A9">
      <w:r w:rsidRPr="000A01F3">
        <w:t>Rio Tinto</w:t>
      </w:r>
    </w:p>
    <w:p w14:paraId="2F6FA676" w14:textId="145FF4A0" w:rsidR="005804E5" w:rsidRDefault="4BFBE890" w:rsidP="6DC52F75">
      <w:pPr>
        <w:pStyle w:val="ListBullet"/>
      </w:pPr>
      <w:r>
        <w:t xml:space="preserve">Jenkins, K. (2020) </w:t>
      </w:r>
      <w:hyperlink r:id="rId30">
        <w:r w:rsidRPr="6DC52F75">
          <w:rPr>
            <w:rStyle w:val="Hyperlink"/>
          </w:rPr>
          <w:t xml:space="preserve">Rio Tinto tells Senate inquiry it could have avoided </w:t>
        </w:r>
        <w:proofErr w:type="spellStart"/>
        <w:r w:rsidRPr="6DC52F75">
          <w:rPr>
            <w:rStyle w:val="Hyperlink"/>
          </w:rPr>
          <w:t>Juukan</w:t>
        </w:r>
        <w:proofErr w:type="spellEnd"/>
        <w:r w:rsidRPr="6DC52F75">
          <w:rPr>
            <w:rStyle w:val="Hyperlink"/>
          </w:rPr>
          <w:t xml:space="preserve"> Gorge destruction</w:t>
        </w:r>
      </w:hyperlink>
      <w:r>
        <w:t xml:space="preserve">. National Indigenous Television; NSW. </w:t>
      </w:r>
    </w:p>
    <w:p w14:paraId="6951C878" w14:textId="255299EC" w:rsidR="005804E5" w:rsidRDefault="4BFBE890" w:rsidP="6DC52F75">
      <w:pPr>
        <w:pStyle w:val="ListBullet"/>
      </w:pPr>
      <w:r>
        <w:t xml:space="preserve">Rio Tinto (2020) </w:t>
      </w:r>
      <w:hyperlink r:id="rId31">
        <w:r w:rsidRPr="6DC52F75">
          <w:rPr>
            <w:rStyle w:val="Hyperlink"/>
          </w:rPr>
          <w:t xml:space="preserve">Statement on </w:t>
        </w:r>
        <w:proofErr w:type="spellStart"/>
        <w:r w:rsidRPr="6DC52F75">
          <w:rPr>
            <w:rStyle w:val="Hyperlink"/>
          </w:rPr>
          <w:t>Juukan</w:t>
        </w:r>
        <w:proofErr w:type="spellEnd"/>
        <w:r w:rsidRPr="6DC52F75">
          <w:rPr>
            <w:rStyle w:val="Hyperlink"/>
          </w:rPr>
          <w:t xml:space="preserve"> Gorge</w:t>
        </w:r>
      </w:hyperlink>
      <w:r>
        <w:t>. Rio Tinto; WA.</w:t>
      </w:r>
    </w:p>
    <w:p w14:paraId="1DCDC71E" w14:textId="5C2F4690" w:rsidR="005804E5" w:rsidRPr="005804E5" w:rsidRDefault="4BFBE890" w:rsidP="6DC52F75">
      <w:pPr>
        <w:pStyle w:val="ListBullet"/>
        <w:rPr>
          <w:rFonts w:asciiTheme="minorHAnsi" w:eastAsiaTheme="minorEastAsia" w:hAnsiTheme="minorHAnsi"/>
        </w:rPr>
      </w:pPr>
      <w:proofErr w:type="spellStart"/>
      <w:r>
        <w:t>Stayner</w:t>
      </w:r>
      <w:proofErr w:type="spellEnd"/>
      <w:r>
        <w:t xml:space="preserve">, T. (2020) </w:t>
      </w:r>
      <w:hyperlink r:id="rId32">
        <w:r w:rsidRPr="6DC52F75">
          <w:rPr>
            <w:rStyle w:val="Hyperlink"/>
          </w:rPr>
          <w:t xml:space="preserve">Rio Tinto did not tell traditional owners alternatives to blowing up sacred </w:t>
        </w:r>
        <w:proofErr w:type="spellStart"/>
        <w:r w:rsidRPr="6DC52F75">
          <w:rPr>
            <w:rStyle w:val="Hyperlink"/>
          </w:rPr>
          <w:t>Juukan</w:t>
        </w:r>
        <w:proofErr w:type="spellEnd"/>
        <w:r w:rsidRPr="6DC52F75">
          <w:rPr>
            <w:rStyle w:val="Hyperlink"/>
          </w:rPr>
          <w:t xml:space="preserve"> Gorge</w:t>
        </w:r>
      </w:hyperlink>
      <w:r>
        <w:t xml:space="preserve">. SBS News; NSW. </w:t>
      </w:r>
    </w:p>
    <w:p w14:paraId="5D976CAE" w14:textId="0571FB2E" w:rsidR="005804E5" w:rsidRPr="005804E5" w:rsidRDefault="4BFBE890" w:rsidP="6DC52F75">
      <w:pPr>
        <w:pStyle w:val="ListBullet"/>
        <w:rPr>
          <w:rFonts w:asciiTheme="minorHAnsi" w:eastAsiaTheme="minorEastAsia" w:hAnsiTheme="minorHAnsi"/>
        </w:rPr>
      </w:pPr>
      <w:r>
        <w:t xml:space="preserve">Toscano, N., Hastie, H. (2020) </w:t>
      </w:r>
      <w:hyperlink r:id="rId33">
        <w:r w:rsidRPr="6DC52F75">
          <w:rPr>
            <w:rStyle w:val="Hyperlink"/>
          </w:rPr>
          <w:t>Indigenous leaders, investors urge BHP to halt works at sacred sites</w:t>
        </w:r>
      </w:hyperlink>
      <w:r>
        <w:t xml:space="preserve">. The Sydney Morning Herald; NSW. </w:t>
      </w:r>
    </w:p>
    <w:p w14:paraId="0ADAC276" w14:textId="5409D15D" w:rsidR="005804E5" w:rsidRPr="005804E5" w:rsidRDefault="4BFBE890" w:rsidP="6DC52F75">
      <w:pPr>
        <w:pStyle w:val="ListBullet"/>
        <w:rPr>
          <w:rFonts w:asciiTheme="minorHAnsi" w:eastAsiaTheme="minorEastAsia" w:hAnsiTheme="minorHAnsi"/>
          <w:lang w:eastAsia="zh-CN"/>
        </w:rPr>
      </w:pPr>
      <w:r>
        <w:t xml:space="preserve">Turner, R. (2020) </w:t>
      </w:r>
      <w:hyperlink r:id="rId34">
        <w:proofErr w:type="spellStart"/>
        <w:r w:rsidRPr="6DC52F75">
          <w:rPr>
            <w:rStyle w:val="Hyperlink"/>
          </w:rPr>
          <w:t>Juukan</w:t>
        </w:r>
        <w:proofErr w:type="spellEnd"/>
        <w:r w:rsidRPr="6DC52F75">
          <w:rPr>
            <w:rStyle w:val="Hyperlink"/>
          </w:rPr>
          <w:t xml:space="preserve"> Gorge won't be the last priceless record of human history to be legally destroyed by mining</w:t>
        </w:r>
      </w:hyperlink>
      <w:r>
        <w:t xml:space="preserve">. ABC News; NSW. </w:t>
      </w:r>
    </w:p>
    <w:p w14:paraId="62D2B024" w14:textId="7B367991" w:rsidR="005804E5" w:rsidRPr="005804E5" w:rsidRDefault="4BFBE890" w:rsidP="6DC52F75">
      <w:pPr>
        <w:pStyle w:val="ListBullet"/>
      </w:pPr>
      <w:r>
        <w:t xml:space="preserve">Wallace, S. (2020) </w:t>
      </w:r>
      <w:hyperlink r:id="rId35">
        <w:r w:rsidRPr="6DC52F75">
          <w:rPr>
            <w:rStyle w:val="Hyperlink"/>
          </w:rPr>
          <w:t>Rio Tinto can start to redeem cave blast by keeping relics safe</w:t>
        </w:r>
      </w:hyperlink>
      <w:r>
        <w:t>. The Australian Financial Review; NSW.</w:t>
      </w:r>
    </w:p>
    <w:sectPr w:rsidR="005804E5" w:rsidRPr="005804E5" w:rsidSect="00ED288C">
      <w:footerReference w:type="even" r:id="rId36"/>
      <w:footerReference w:type="default" r:id="rId37"/>
      <w:headerReference w:type="first" r:id="rId38"/>
      <w:footerReference w:type="first" r:id="rId39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98D8" w14:textId="77777777" w:rsidR="00B50209" w:rsidRDefault="00B50209" w:rsidP="00191F45">
      <w:r>
        <w:separator/>
      </w:r>
    </w:p>
    <w:p w14:paraId="6D206837" w14:textId="77777777" w:rsidR="00B50209" w:rsidRDefault="00B50209"/>
    <w:p w14:paraId="0F4AE657" w14:textId="77777777" w:rsidR="00B50209" w:rsidRDefault="00B50209"/>
    <w:p w14:paraId="477361DC" w14:textId="77777777" w:rsidR="00B50209" w:rsidRDefault="00B50209"/>
  </w:endnote>
  <w:endnote w:type="continuationSeparator" w:id="0">
    <w:p w14:paraId="6F11C01F" w14:textId="77777777" w:rsidR="00B50209" w:rsidRDefault="00B50209" w:rsidP="00191F45">
      <w:r>
        <w:continuationSeparator/>
      </w:r>
    </w:p>
    <w:p w14:paraId="170458A7" w14:textId="77777777" w:rsidR="00B50209" w:rsidRDefault="00B50209"/>
    <w:p w14:paraId="1CC9CE05" w14:textId="77777777" w:rsidR="00B50209" w:rsidRDefault="00B50209"/>
    <w:p w14:paraId="04F15702" w14:textId="77777777" w:rsidR="00B50209" w:rsidRDefault="00B50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32FAF1C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20D36">
      <w:rPr>
        <w:noProof/>
      </w:rPr>
      <w:t>4</w:t>
    </w:r>
    <w:r w:rsidRPr="002810D3">
      <w:fldChar w:fldCharType="end"/>
    </w:r>
    <w:r w:rsidRPr="002810D3">
      <w:tab/>
    </w:r>
    <w:r w:rsidR="00FF2362">
      <w:t>Module 8: Mining relationships with Aboriginal communities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03CAEDF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458F0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20D36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6DC52F75" w:rsidP="00493120">
    <w:pPr>
      <w:pStyle w:val="Logo"/>
    </w:pPr>
    <w:r w:rsidRPr="6DC52F75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11EC6CF6" wp14:editId="42C11A6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C9DA" w14:textId="77777777" w:rsidR="00B50209" w:rsidRDefault="00B50209" w:rsidP="00191F45">
      <w:r>
        <w:separator/>
      </w:r>
    </w:p>
    <w:p w14:paraId="43299139" w14:textId="77777777" w:rsidR="00B50209" w:rsidRDefault="00B50209"/>
    <w:p w14:paraId="2CB51286" w14:textId="77777777" w:rsidR="00B50209" w:rsidRDefault="00B50209"/>
    <w:p w14:paraId="399457DA" w14:textId="77777777" w:rsidR="00B50209" w:rsidRDefault="00B50209"/>
  </w:footnote>
  <w:footnote w:type="continuationSeparator" w:id="0">
    <w:p w14:paraId="5CB005F8" w14:textId="77777777" w:rsidR="00B50209" w:rsidRDefault="00B50209" w:rsidP="00191F45">
      <w:r>
        <w:continuationSeparator/>
      </w:r>
    </w:p>
    <w:p w14:paraId="67E1E5CA" w14:textId="77777777" w:rsidR="00B50209" w:rsidRDefault="00B50209"/>
    <w:p w14:paraId="60396965" w14:textId="77777777" w:rsidR="00B50209" w:rsidRDefault="00B50209"/>
    <w:p w14:paraId="158D40EE" w14:textId="77777777" w:rsidR="00B50209" w:rsidRDefault="00B50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443531"/>
    <w:multiLevelType w:val="hybridMultilevel"/>
    <w:tmpl w:val="BD52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23F1A"/>
    <w:multiLevelType w:val="hybridMultilevel"/>
    <w:tmpl w:val="06CE8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8D71529"/>
    <w:multiLevelType w:val="hybridMultilevel"/>
    <w:tmpl w:val="03DEC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50B48F5"/>
    <w:multiLevelType w:val="hybridMultilevel"/>
    <w:tmpl w:val="B8C299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00EB8"/>
    <w:multiLevelType w:val="hybridMultilevel"/>
    <w:tmpl w:val="FB14B5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22405"/>
    <w:multiLevelType w:val="hybridMultilevel"/>
    <w:tmpl w:val="41EEB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F15D0"/>
    <w:multiLevelType w:val="hybridMultilevel"/>
    <w:tmpl w:val="387E9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80D0955"/>
    <w:multiLevelType w:val="hybridMultilevel"/>
    <w:tmpl w:val="5AF28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4E7C2FCB"/>
    <w:multiLevelType w:val="hybridMultilevel"/>
    <w:tmpl w:val="6DBE7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8627F"/>
    <w:multiLevelType w:val="hybridMultilevel"/>
    <w:tmpl w:val="A2926586"/>
    <w:lvl w:ilvl="0" w:tplc="54B07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04758C"/>
    <w:multiLevelType w:val="hybridMultilevel"/>
    <w:tmpl w:val="E71A5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1" w15:restartNumberingAfterBreak="0">
    <w:nsid w:val="6F7F1B96"/>
    <w:multiLevelType w:val="hybridMultilevel"/>
    <w:tmpl w:val="BA4EE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30789"/>
    <w:multiLevelType w:val="hybridMultilevel"/>
    <w:tmpl w:val="50368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0"/>
  </w:num>
  <w:num w:numId="8">
    <w:abstractNumId w:val="13"/>
  </w:num>
  <w:num w:numId="9">
    <w:abstractNumId w:val="26"/>
  </w:num>
  <w:num w:numId="10">
    <w:abstractNumId w:val="11"/>
  </w:num>
  <w:num w:numId="11">
    <w:abstractNumId w:val="2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33"/>
  </w:num>
  <w:num w:numId="22">
    <w:abstractNumId w:val="28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5"/>
  </w:num>
  <w:num w:numId="32">
    <w:abstractNumId w:val="33"/>
  </w:num>
  <w:num w:numId="33">
    <w:abstractNumId w:val="27"/>
  </w:num>
  <w:num w:numId="34">
    <w:abstractNumId w:val="29"/>
  </w:num>
  <w:num w:numId="35">
    <w:abstractNumId w:val="32"/>
  </w:num>
  <w:num w:numId="36">
    <w:abstractNumId w:val="23"/>
  </w:num>
  <w:num w:numId="37">
    <w:abstractNumId w:val="17"/>
  </w:num>
  <w:num w:numId="38">
    <w:abstractNumId w:val="31"/>
  </w:num>
  <w:num w:numId="39">
    <w:abstractNumId w:val="12"/>
  </w:num>
  <w:num w:numId="40">
    <w:abstractNumId w:val="19"/>
  </w:num>
  <w:num w:numId="41">
    <w:abstractNumId w:val="14"/>
  </w:num>
  <w:num w:numId="42">
    <w:abstractNumId w:val="22"/>
  </w:num>
  <w:num w:numId="43">
    <w:abstractNumId w:val="21"/>
  </w:num>
  <w:num w:numId="44">
    <w:abstractNumId w:val="15"/>
  </w:num>
  <w:num w:numId="45">
    <w:abstractNumId w:val="10"/>
  </w:num>
  <w:num w:numId="46">
    <w:abstractNumId w:val="16"/>
  </w:num>
  <w:num w:numId="47">
    <w:abstractNumId w:val="9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3704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69A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0E4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38E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1844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E18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4E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C53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1B1"/>
    <w:rsid w:val="005B64AE"/>
    <w:rsid w:val="005B6E3D"/>
    <w:rsid w:val="005B7298"/>
    <w:rsid w:val="005C1BFC"/>
    <w:rsid w:val="005C6C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E2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8F0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0C9F"/>
    <w:rsid w:val="00912C5D"/>
    <w:rsid w:val="00912EC7"/>
    <w:rsid w:val="00913D40"/>
    <w:rsid w:val="009153A2"/>
    <w:rsid w:val="0091571A"/>
    <w:rsid w:val="00915AC4"/>
    <w:rsid w:val="00920A1E"/>
    <w:rsid w:val="00920C71"/>
    <w:rsid w:val="00920D36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3B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26E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04B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44A0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0209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2DBB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056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24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002A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07A9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585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7D86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A7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2362"/>
    <w:rsid w:val="00FF492B"/>
    <w:rsid w:val="00FF5EC7"/>
    <w:rsid w:val="00FF7815"/>
    <w:rsid w:val="00FF7892"/>
    <w:rsid w:val="012B29DD"/>
    <w:rsid w:val="070B8650"/>
    <w:rsid w:val="0E669D41"/>
    <w:rsid w:val="210C545F"/>
    <w:rsid w:val="21A326F6"/>
    <w:rsid w:val="2995107E"/>
    <w:rsid w:val="301D7A5F"/>
    <w:rsid w:val="31B94AC0"/>
    <w:rsid w:val="36739386"/>
    <w:rsid w:val="4352168E"/>
    <w:rsid w:val="45E1A9E2"/>
    <w:rsid w:val="4BFBE890"/>
    <w:rsid w:val="4D44AE59"/>
    <w:rsid w:val="4F888C28"/>
    <w:rsid w:val="4FB2D566"/>
    <w:rsid w:val="507C4F1B"/>
    <w:rsid w:val="5B69FEEC"/>
    <w:rsid w:val="6DC52F75"/>
    <w:rsid w:val="6E64B8E0"/>
    <w:rsid w:val="6EFB8B77"/>
    <w:rsid w:val="7551A49E"/>
    <w:rsid w:val="76ED74FF"/>
    <w:rsid w:val="7B6DD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FBC31"/>
  <w14:defaultImageDpi w14:val="330"/>
  <w15:chartTrackingRefBased/>
  <w15:docId w15:val="{71B23977-E4E4-453A-A3FF-77DAD3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4B6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E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F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2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36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6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6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62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C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mmT_P-VrK4" TargetMode="External"/><Relationship Id="rId18" Type="http://schemas.openxmlformats.org/officeDocument/2006/relationships/hyperlink" Target="https://www.csrm.uq.edu.au/media/docs/536/MMG%20Century%2015%20year%20GCA%20Review%20FINAL.pdf" TargetMode="External"/><Relationship Id="rId26" Type="http://schemas.openxmlformats.org/officeDocument/2006/relationships/hyperlink" Target="https://theconversation.com/traditional-owners-still-stand-in-adanis-way-115454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australianmining.com.au/news/gulf-communities-agree-on-board/" TargetMode="External"/><Relationship Id="rId34" Type="http://schemas.openxmlformats.org/officeDocument/2006/relationships/hyperlink" Target="https://www.abc.net.au/news/2020-06-11/juukan-gorge-aboriginal-heritage-site-just-one-of-many-destroyed/12337562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rm.uq.edu.au/media/docs/1424/lessons-of-the-gca-v12-finalsep16.pdf" TargetMode="External"/><Relationship Id="rId20" Type="http://schemas.openxmlformats.org/officeDocument/2006/relationships/hyperlink" Target="http://www.austlii.edu.au/au/journals/IndigLawB/1998/34.html" TargetMode="External"/><Relationship Id="rId29" Type="http://schemas.openxmlformats.org/officeDocument/2006/relationships/hyperlink" Target="https://www.abc.net.au/news/2019-01-25/adani-mine-should-be-suspended-un-traditional-owners/1068613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vironment.gov.au/system/files/resources/3201a986-88e8-40f3-8c15-6e659ed04006/files/engage-early-indigenous-engagement-guidelines.pdf" TargetMode="External"/><Relationship Id="rId24" Type="http://schemas.openxmlformats.org/officeDocument/2006/relationships/hyperlink" Target="https://www.youtube.com/watch?v=A25FHaWrUkA" TargetMode="External"/><Relationship Id="rId32" Type="http://schemas.openxmlformats.org/officeDocument/2006/relationships/hyperlink" Target="https://www.sbs.com.au/news/rio-tinto-did-not-tell-traditional-owners-alternatives-to-blowing-up-sacred-juukan-gorge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bc.net.au/news/rural/2017-12-07/landmark-native-title-agreement-stays-at-new-century-mine/9233022" TargetMode="External"/><Relationship Id="rId23" Type="http://schemas.openxmlformats.org/officeDocument/2006/relationships/hyperlink" Target="https://www.sbs.com.au/nitv/nitv-news/article/2019/05/16/inside-look-how-adani-dealt-traditional-owners" TargetMode="External"/><Relationship Id="rId28" Type="http://schemas.openxmlformats.org/officeDocument/2006/relationships/hyperlink" Target="https://www.sbs.com.au/nitv/nitv-news/article/2019/10/23/adani-obtains-court-order-prevent-traditional-owners-entering-mine-sit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ndustry.gov.au/sites/default/files/2019-04/lpsdp-working-with-indigenous-communities-handbook-english.pdf" TargetMode="External"/><Relationship Id="rId19" Type="http://schemas.openxmlformats.org/officeDocument/2006/relationships/hyperlink" Target="https://www.abc.net.au/news/rural/2019-07-10/half-indigenous-employment-for-new-gulf-of-carpentaria-mine/11290912" TargetMode="External"/><Relationship Id="rId31" Type="http://schemas.openxmlformats.org/officeDocument/2006/relationships/hyperlink" Target="https://www.riotinto.com/en/news/releases/2020/Statement-on-Juukan-Gorge-?gclid=EAIaIQobChMI5-jNypWS6wIVUiUrCh2xKgE9EAAYASAAEgKv3PD_Bw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cNYkXfUXVDU" TargetMode="External"/><Relationship Id="rId22" Type="http://schemas.openxmlformats.org/officeDocument/2006/relationships/hyperlink" Target="https://press-files.anu.edu.au/downloads/press/p223641/pdf/book.pdf" TargetMode="External"/><Relationship Id="rId27" Type="http://schemas.openxmlformats.org/officeDocument/2006/relationships/hyperlink" Target="https://theconversation.com/indigenous-people-no-longer-have-the-legal-right-to-say-no-to-the-adani-mine-heres-what-it-means-for-equality-122788" TargetMode="External"/><Relationship Id="rId30" Type="http://schemas.openxmlformats.org/officeDocument/2006/relationships/hyperlink" Target="https://www.sbs.com.au/nitv/article/2020/08/05/rio-tinto-tells-senate-inquiry-it-could-have-avoided-juukan-gorge-destruction" TargetMode="External"/><Relationship Id="rId35" Type="http://schemas.openxmlformats.org/officeDocument/2006/relationships/hyperlink" Target="https://www.afr.com/policy/economy/a-keeping-place-would-preserve-what-s-left-after-rio-tinto-cave-blast-20200806-p55j0i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lencore.com.au/en/dam/jcr:eac15127-ee93-4c50-91d4-88d666e34cf6/glencore-australia-working-with-australian-indigenous-communities-2016.pdf" TargetMode="External"/><Relationship Id="rId17" Type="http://schemas.openxmlformats.org/officeDocument/2006/relationships/hyperlink" Target="https://www.mining-technology.com/features/indigenous-employment-in-australian-mining-what-more-needs-to-be-done/" TargetMode="External"/><Relationship Id="rId25" Type="http://schemas.openxmlformats.org/officeDocument/2006/relationships/hyperlink" Target="https://www.sbs.com.au/nitv/nitv-news/article/2019/05/16/inside-look-how-adani-dealt-traditional-owners" TargetMode="External"/><Relationship Id="rId33" Type="http://schemas.openxmlformats.org/officeDocument/2006/relationships/hyperlink" Target="https://www.smh.com.au/business/companies/indigenous-leaders-investors-urge-bhp-to-halt-works-at-sacred-sites-20200813-p55lds.html?utm_medium=Social" TargetMode="External"/><Relationship Id="rId38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4" ma:contentTypeDescription="Create a new document." ma:contentTypeScope="" ma:versionID="a0d499341fafde2d22c4b03e19c22139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6f704ceac05a5697dba63e1db187c6c4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59E42-E8B3-4132-9ACC-BFFF46473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FA6D1-62E8-4A12-96F4-A78D48725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2243F-BE76-4AB8-8AA6-CA8F1D41443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2777ac0-bca4-49b9-b304-d2b7eff515d1"/>
    <ds:schemaRef ds:uri="http://purl.org/dc/dcmitype/"/>
    <ds:schemaRef ds:uri="33c16299-9e76-4446-b84b-eefe81b91f7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relationships with Aboriginal communities</dc:title>
  <dc:subject/>
  <dc:creator>Vas Ratusau</dc:creator>
  <cp:keywords>Stage 6</cp:keywords>
  <dc:description/>
  <cp:lastModifiedBy>Vas Ratusau</cp:lastModifiedBy>
  <cp:revision>2</cp:revision>
  <dcterms:created xsi:type="dcterms:W3CDTF">2021-06-16T04:00:00Z</dcterms:created>
  <dcterms:modified xsi:type="dcterms:W3CDTF">2021-06-16T04:00:00Z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