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83DDC" w14:textId="77777777" w:rsidR="006B3160" w:rsidRDefault="006B3160" w:rsidP="006B3160">
      <w:pPr>
        <w:pStyle w:val="Heading1"/>
      </w:pPr>
      <w:r>
        <w:t>Research snapshot activity</w:t>
      </w:r>
    </w:p>
    <w:p w14:paraId="1FD97262" w14:textId="4BA38F2B" w:rsidR="006B3160" w:rsidRPr="004D672E" w:rsidRDefault="006B3160" w:rsidP="006B3160">
      <w:r w:rsidRPr="00F32EDE">
        <w:rPr>
          <w:shd w:val="clear" w:color="auto" w:fill="FFFFFF"/>
        </w:rPr>
        <w:t>The research snapshots provided in the document below have implications for our teaching. Explore each of the snapshots to find out more about your students.</w:t>
      </w:r>
      <w:r>
        <w:rPr>
          <w:shd w:val="clear" w:color="auto" w:fill="FFFFFF"/>
        </w:rPr>
        <w:t xml:space="preserve"> </w:t>
      </w:r>
    </w:p>
    <w:p w14:paraId="7405CBF3" w14:textId="77777777" w:rsidR="006B3160" w:rsidRPr="00F32EDE" w:rsidRDefault="006B3160" w:rsidP="006B3160">
      <w:pPr>
        <w:shd w:val="clear" w:color="auto" w:fill="FFFFFF"/>
        <w:spacing w:before="0" w:after="150" w:line="360" w:lineRule="atLeast"/>
        <w:rPr>
          <w:rFonts w:eastAsia="Times New Roman" w:cs="Arial"/>
          <w:spacing w:val="-3"/>
          <w:lang w:eastAsia="en-AU"/>
        </w:rPr>
      </w:pPr>
      <w:r w:rsidRPr="00F32EDE">
        <w:rPr>
          <w:rFonts w:eastAsia="Times New Roman" w:cs="Arial"/>
          <w:spacing w:val="-3"/>
          <w:lang w:eastAsia="en-AU"/>
        </w:rPr>
        <w:t>Consider the following when you are reading each snapshot.</w:t>
      </w:r>
    </w:p>
    <w:p w14:paraId="1D6E2BE1" w14:textId="77777777" w:rsidR="006B3160" w:rsidRPr="00F32EDE" w:rsidRDefault="006B3160" w:rsidP="006B3160">
      <w:pPr>
        <w:pStyle w:val="ListBullet"/>
        <w:numPr>
          <w:ilvl w:val="0"/>
          <w:numId w:val="1"/>
        </w:numPr>
        <w:rPr>
          <w:lang w:eastAsia="en-AU"/>
        </w:rPr>
      </w:pPr>
      <w:r w:rsidRPr="00F32EDE">
        <w:rPr>
          <w:lang w:eastAsia="en-AU"/>
        </w:rPr>
        <w:t>What decisions, behaviours and/or attitudes do the snapshots identify? (What trends can you identify?)</w:t>
      </w:r>
    </w:p>
    <w:p w14:paraId="2696214B" w14:textId="77777777" w:rsidR="006B3160" w:rsidRPr="00F32EDE" w:rsidRDefault="006B3160" w:rsidP="006B3160">
      <w:pPr>
        <w:pStyle w:val="ListBullet"/>
        <w:numPr>
          <w:ilvl w:val="0"/>
          <w:numId w:val="1"/>
        </w:numPr>
        <w:rPr>
          <w:lang w:eastAsia="en-AU"/>
        </w:rPr>
      </w:pPr>
      <w:r w:rsidRPr="00F32EDE">
        <w:rPr>
          <w:lang w:eastAsia="en-AU"/>
        </w:rPr>
        <w:t>What influences student’s decisions, behaviours and actions in relation to this data? (What influences lead to these trends?)</w:t>
      </w:r>
    </w:p>
    <w:p w14:paraId="688809D1" w14:textId="77777777" w:rsidR="006B3160" w:rsidRPr="00F32EDE" w:rsidRDefault="006B3160" w:rsidP="006B3160">
      <w:pPr>
        <w:pStyle w:val="ListBullet"/>
        <w:numPr>
          <w:ilvl w:val="0"/>
          <w:numId w:val="1"/>
        </w:numPr>
        <w:rPr>
          <w:lang w:eastAsia="en-AU"/>
        </w:rPr>
      </w:pPr>
      <w:r w:rsidRPr="00F32EDE">
        <w:rPr>
          <w:lang w:eastAsia="en-AU"/>
        </w:rPr>
        <w:t>What are the knowledge, understanding and skills that student’s need to manage these influences?</w:t>
      </w:r>
    </w:p>
    <w:p w14:paraId="45ED9362" w14:textId="77777777" w:rsidR="006B3160" w:rsidRDefault="006B3160" w:rsidP="006B3160">
      <w:pPr>
        <w:pStyle w:val="ListBullet"/>
        <w:numPr>
          <w:ilvl w:val="0"/>
          <w:numId w:val="1"/>
        </w:numPr>
        <w:rPr>
          <w:lang w:eastAsia="en-AU"/>
        </w:rPr>
      </w:pPr>
      <w:r w:rsidRPr="00F32EDE">
        <w:rPr>
          <w:lang w:eastAsia="en-AU"/>
        </w:rPr>
        <w:t>What decisions, behaviours and attitudes are we currently teaching? Do we address the knowledge, understanding and skills students need in relation to the snapshot data?</w:t>
      </w:r>
    </w:p>
    <w:p w14:paraId="463BE520" w14:textId="77777777" w:rsidR="006B3160" w:rsidRPr="00EE6CA8" w:rsidRDefault="006B3160" w:rsidP="006B3160">
      <w:pPr>
        <w:pStyle w:val="ListBullet"/>
        <w:numPr>
          <w:ilvl w:val="0"/>
          <w:numId w:val="1"/>
        </w:numPr>
        <w:rPr>
          <w:lang w:eastAsia="en-AU"/>
        </w:rPr>
      </w:pPr>
      <w:r>
        <w:rPr>
          <w:lang w:eastAsia="en-AU"/>
        </w:rPr>
        <w:t>What</w:t>
      </w:r>
      <w:r w:rsidRPr="00F32EDE">
        <w:rPr>
          <w:lang w:eastAsia="en-AU"/>
        </w:rPr>
        <w:t xml:space="preserve"> are</w:t>
      </w:r>
      <w:r>
        <w:rPr>
          <w:lang w:eastAsia="en-AU"/>
        </w:rPr>
        <w:t>as can we improve</w:t>
      </w:r>
      <w:r w:rsidRPr="00F32EDE">
        <w:rPr>
          <w:lang w:eastAsia="en-AU"/>
        </w:rPr>
        <w:t xml:space="preserve"> in our PDHPE programs?</w:t>
      </w:r>
    </w:p>
    <w:p w14:paraId="02D1E441" w14:textId="77777777" w:rsidR="006B3160" w:rsidRDefault="006B3160" w:rsidP="006B3160">
      <w:r w:rsidRPr="00F32EDE">
        <w:t>Once you have explored the snapshots choose one that you think is highly relevant to your students</w:t>
      </w:r>
      <w:r>
        <w:t>. Return to MyPL</w:t>
      </w:r>
      <w:r w:rsidRPr="00F32EDE">
        <w:t xml:space="preserve"> and answer Question 2 of </w:t>
      </w:r>
      <w:r>
        <w:t>‘</w:t>
      </w:r>
      <w:r w:rsidRPr="00F32EDE">
        <w:t>Part 2: Unpacking the key features of the syllabus assignment</w:t>
      </w:r>
      <w:r>
        <w:t>’</w:t>
      </w:r>
    </w:p>
    <w:p w14:paraId="492E4D1B" w14:textId="77777777" w:rsidR="006B3160" w:rsidRDefault="006B3160" w:rsidP="006B3160">
      <w:r>
        <w:t>The following questions will need to be answered in MyPL:</w:t>
      </w:r>
    </w:p>
    <w:p w14:paraId="1050E732" w14:textId="77777777" w:rsidR="006B3160" w:rsidRPr="00547F39" w:rsidRDefault="006B3160" w:rsidP="006B3160">
      <w:pPr>
        <w:shd w:val="clear" w:color="auto" w:fill="FFFFFF"/>
        <w:spacing w:before="100" w:beforeAutospacing="1" w:after="100" w:afterAutospacing="1" w:line="240" w:lineRule="auto"/>
        <w:ind w:left="720"/>
        <w:rPr>
          <w:rFonts w:eastAsia="Times New Roman" w:cs="Arial"/>
          <w:color w:val="000000"/>
          <w:spacing w:val="-3"/>
          <w:lang w:eastAsia="en-AU"/>
        </w:rPr>
      </w:pPr>
      <w:r w:rsidRPr="00547F39">
        <w:rPr>
          <w:rFonts w:cs="Arial"/>
        </w:rPr>
        <w:t xml:space="preserve">2a. </w:t>
      </w:r>
      <w:r w:rsidRPr="00547F39">
        <w:rPr>
          <w:rFonts w:eastAsia="Times New Roman" w:cs="Arial"/>
          <w:color w:val="000000"/>
          <w:spacing w:val="-3"/>
          <w:lang w:eastAsia="en-AU"/>
        </w:rPr>
        <w:t>What does the research tell us about students? (strengths, needs, decisions, behaviours and attitudes)</w:t>
      </w:r>
    </w:p>
    <w:p w14:paraId="0AC2203D" w14:textId="77777777" w:rsidR="006B3160" w:rsidRPr="008336A6" w:rsidRDefault="006B3160" w:rsidP="006B3160">
      <w:pPr>
        <w:shd w:val="clear" w:color="auto" w:fill="FFFFFF"/>
        <w:spacing w:before="100" w:beforeAutospacing="1" w:after="100" w:afterAutospacing="1" w:line="240" w:lineRule="auto"/>
        <w:ind w:left="720"/>
        <w:rPr>
          <w:rFonts w:eastAsia="Times New Roman" w:cs="Arial"/>
          <w:color w:val="000000"/>
          <w:spacing w:val="-3"/>
          <w:lang w:eastAsia="en-AU"/>
        </w:rPr>
      </w:pPr>
      <w:r w:rsidRPr="00547F39">
        <w:rPr>
          <w:rFonts w:eastAsia="Times New Roman" w:cs="Arial"/>
          <w:color w:val="000000"/>
          <w:spacing w:val="-3"/>
          <w:lang w:eastAsia="en-AU"/>
        </w:rPr>
        <w:t xml:space="preserve">2b. </w:t>
      </w:r>
      <w:r w:rsidRPr="008336A6">
        <w:rPr>
          <w:rFonts w:eastAsia="Times New Roman" w:cs="Arial"/>
          <w:color w:val="000000"/>
          <w:spacing w:val="-3"/>
          <w:lang w:eastAsia="en-AU"/>
        </w:rPr>
        <w:t>What influences students in relation to the research findings/trends?</w:t>
      </w:r>
    </w:p>
    <w:p w14:paraId="545B8B0B" w14:textId="77777777" w:rsidR="006B3160" w:rsidRPr="008336A6" w:rsidRDefault="006B3160" w:rsidP="006B3160">
      <w:pPr>
        <w:shd w:val="clear" w:color="auto" w:fill="FFFFFF"/>
        <w:spacing w:before="100" w:beforeAutospacing="1" w:after="100" w:afterAutospacing="1" w:line="240" w:lineRule="auto"/>
        <w:ind w:left="720"/>
        <w:rPr>
          <w:rFonts w:eastAsia="Times New Roman" w:cs="Arial"/>
          <w:color w:val="000000"/>
          <w:spacing w:val="-3"/>
          <w:lang w:eastAsia="en-AU"/>
        </w:rPr>
      </w:pPr>
      <w:r w:rsidRPr="00547F39">
        <w:rPr>
          <w:rFonts w:eastAsia="Times New Roman" w:cs="Arial"/>
          <w:color w:val="000000"/>
          <w:spacing w:val="-3"/>
          <w:lang w:eastAsia="en-AU"/>
        </w:rPr>
        <w:t xml:space="preserve">2c. </w:t>
      </w:r>
      <w:r w:rsidRPr="008336A6">
        <w:rPr>
          <w:rFonts w:eastAsia="Times New Roman" w:cs="Arial"/>
          <w:color w:val="000000"/>
          <w:spacing w:val="-3"/>
          <w:lang w:eastAsia="en-AU"/>
        </w:rPr>
        <w:t xml:space="preserve">What does this mean for student learning? How </w:t>
      </w:r>
      <w:r w:rsidRPr="00547F39">
        <w:rPr>
          <w:rFonts w:eastAsia="Times New Roman" w:cs="Arial"/>
          <w:color w:val="000000"/>
          <w:spacing w:val="-3"/>
          <w:lang w:eastAsia="en-AU"/>
        </w:rPr>
        <w:t xml:space="preserve">will this effect your teaching? What </w:t>
      </w:r>
      <w:r w:rsidRPr="008336A6">
        <w:rPr>
          <w:rFonts w:eastAsia="Times New Roman" w:cs="Arial"/>
          <w:color w:val="000000"/>
          <w:spacing w:val="-3"/>
          <w:lang w:eastAsia="en-AU"/>
        </w:rPr>
        <w:t>knowledge, understanding, skills and attitudes</w:t>
      </w:r>
      <w:r w:rsidRPr="00547F39">
        <w:rPr>
          <w:rFonts w:eastAsia="Times New Roman" w:cs="Arial"/>
          <w:color w:val="000000"/>
          <w:spacing w:val="-3"/>
          <w:lang w:eastAsia="en-AU"/>
        </w:rPr>
        <w:t xml:space="preserve"> will you emphasise?</w:t>
      </w:r>
    </w:p>
    <w:p w14:paraId="56F1F864" w14:textId="77777777" w:rsidR="006B3160" w:rsidRPr="008336A6" w:rsidRDefault="006B3160" w:rsidP="006B3160"/>
    <w:p w14:paraId="1BD2F48A" w14:textId="77777777" w:rsidR="006B3160" w:rsidRDefault="006B3160" w:rsidP="006B3160">
      <w:pPr>
        <w:rPr>
          <w:rFonts w:eastAsia="SimSun" w:cs="Times New Roman"/>
          <w:color w:val="1B428A"/>
          <w:sz w:val="48"/>
          <w:szCs w:val="36"/>
          <w:shd w:val="clear" w:color="auto" w:fill="FFFFFF"/>
        </w:rPr>
      </w:pPr>
      <w:r>
        <w:rPr>
          <w:shd w:val="clear" w:color="auto" w:fill="FFFFFF"/>
        </w:rPr>
        <w:br w:type="page"/>
      </w:r>
    </w:p>
    <w:p w14:paraId="3E6DECC7" w14:textId="749C139A" w:rsidR="001D15EB" w:rsidRDefault="00A4296D" w:rsidP="000B746D">
      <w:pPr>
        <w:pStyle w:val="Heading2"/>
        <w:rPr>
          <w:shd w:val="clear" w:color="auto" w:fill="FFFFFF"/>
        </w:rPr>
      </w:pPr>
      <w:r>
        <w:rPr>
          <w:shd w:val="clear" w:color="auto" w:fill="FFFFFF"/>
        </w:rPr>
        <w:lastRenderedPageBreak/>
        <w:t>Snapshot 1 ؘ–</w:t>
      </w:r>
      <w:r w:rsidR="001D15EB">
        <w:rPr>
          <w:shd w:val="clear" w:color="auto" w:fill="FFFFFF"/>
        </w:rPr>
        <w:t xml:space="preserve"> Eating habits</w:t>
      </w:r>
    </w:p>
    <w:p w14:paraId="2699F97E" w14:textId="2106BC70" w:rsidR="00A4296D" w:rsidRPr="000B746D" w:rsidRDefault="00A4296D" w:rsidP="000B746D">
      <w:pPr>
        <w:pStyle w:val="FeatureBox"/>
        <w:rPr>
          <w:rStyle w:val="Strong"/>
        </w:rPr>
      </w:pPr>
      <w:r w:rsidRPr="000B746D">
        <w:rPr>
          <w:rStyle w:val="Strong"/>
        </w:rPr>
        <w:t>Snapshot – Children and adolescents age 5-16</w:t>
      </w:r>
    </w:p>
    <w:p w14:paraId="1A77D102" w14:textId="3784983C" w:rsidR="00A4296D" w:rsidRDefault="00A4296D" w:rsidP="000B746D">
      <w:pPr>
        <w:pStyle w:val="FeatureBox"/>
        <w:rPr>
          <w:sz w:val="22"/>
        </w:rPr>
      </w:pPr>
      <w:r w:rsidRPr="009B6028">
        <w:rPr>
          <w:sz w:val="22"/>
        </w:rPr>
        <w:t>More than 3 in 4 children and adolescents (76%) ate breakfast daily.</w:t>
      </w:r>
    </w:p>
    <w:p w14:paraId="74D0FF4C" w14:textId="048C564F" w:rsidR="00A4296D" w:rsidRDefault="00A4296D" w:rsidP="000B746D">
      <w:pPr>
        <w:pStyle w:val="FeatureBox"/>
        <w:rPr>
          <w:sz w:val="22"/>
        </w:rPr>
      </w:pPr>
      <w:r w:rsidRPr="009B6028">
        <w:rPr>
          <w:sz w:val="22"/>
        </w:rPr>
        <w:t>More than 1 in 10 children and adolescents (12%) ate dinner in front of the television 5 or more days a week.</w:t>
      </w:r>
    </w:p>
    <w:p w14:paraId="16D7C7A8" w14:textId="65A2CD15" w:rsidR="00A4296D" w:rsidRDefault="00A4296D" w:rsidP="000B746D">
      <w:pPr>
        <w:pStyle w:val="FeatureBox"/>
        <w:rPr>
          <w:sz w:val="22"/>
        </w:rPr>
      </w:pPr>
      <w:r w:rsidRPr="009B6028">
        <w:rPr>
          <w:sz w:val="22"/>
        </w:rPr>
        <w:t>More than 1 in 5 children and adolescents (23%) ate take away meals or snacks from fast food outlets 1 or more times a week.</w:t>
      </w:r>
    </w:p>
    <w:p w14:paraId="31A28A01" w14:textId="3FB54FE1" w:rsidR="00A4296D" w:rsidRDefault="00A4296D" w:rsidP="000B746D">
      <w:pPr>
        <w:pStyle w:val="FeatureBox"/>
        <w:rPr>
          <w:sz w:val="22"/>
        </w:rPr>
      </w:pPr>
      <w:r w:rsidRPr="009B6028">
        <w:rPr>
          <w:sz w:val="22"/>
        </w:rPr>
        <w:t>3 in 10 children and adolescents (30%) have unrestricted snacking at home.</w:t>
      </w:r>
    </w:p>
    <w:p w14:paraId="1DA4A7A4" w14:textId="77777777" w:rsidR="000B746D" w:rsidRDefault="000B746D" w:rsidP="000B746D">
      <w:pPr>
        <w:pStyle w:val="FeatureBox"/>
      </w:pPr>
      <w:r>
        <w:t xml:space="preserve">Source: </w:t>
      </w:r>
      <w:r w:rsidRPr="00A630A3">
        <w:rPr>
          <w:rFonts w:eastAsia="Calibri"/>
        </w:rPr>
        <w:t xml:space="preserve">Hardy LL, Mihrshahi S, Drayton BA, Bauman, A. </w:t>
      </w:r>
      <w:hyperlink r:id="rId8" w:history="1">
        <w:r w:rsidRPr="00A630A3">
          <w:rPr>
            <w:rFonts w:eastAsia="Calibri"/>
            <w:color w:val="0000FF"/>
            <w:u w:val="single"/>
          </w:rPr>
          <w:t>NSW Schools Physical Activity and Nutrition Survey (SPANS) 2015: Full Report. 2016</w:t>
        </w:r>
      </w:hyperlink>
      <w:r w:rsidRPr="00A630A3">
        <w:rPr>
          <w:rFonts w:eastAsia="Calibri"/>
        </w:rPr>
        <w:t xml:space="preserve"> Sydney: NSW Department of Health.</w:t>
      </w:r>
    </w:p>
    <w:p w14:paraId="5279DF9C" w14:textId="21824476" w:rsidR="001D15EB" w:rsidRDefault="001D15EB" w:rsidP="000B746D">
      <w:pPr>
        <w:pStyle w:val="Heading2"/>
        <w:numPr>
          <w:ilvl w:val="0"/>
          <w:numId w:val="0"/>
        </w:numPr>
      </w:pPr>
      <w:r>
        <w:t>Snapshot 2: Fundamental movement skills</w:t>
      </w:r>
    </w:p>
    <w:p w14:paraId="28844EBF" w14:textId="534C3E07" w:rsidR="001D15EB" w:rsidRDefault="001D15EB" w:rsidP="001D15EB">
      <w:r>
        <w:t>In 2015, the prevalence of fundamental movement skills (FMS) competency was generally low among school age children and adolescents in NSW. However there were significant increases in all fundamental movement skills among both primary school aged boys and girls between 2010 and 2015.</w:t>
      </w:r>
    </w:p>
    <w:p w14:paraId="2EF473BA" w14:textId="5AFDEE9E" w:rsidR="000B746D" w:rsidRPr="000B746D" w:rsidRDefault="000B746D" w:rsidP="000B746D">
      <w:pPr>
        <w:pStyle w:val="FeatureBox"/>
        <w:rPr>
          <w:rStyle w:val="Strong"/>
        </w:rPr>
      </w:pPr>
      <w:r w:rsidRPr="000B746D">
        <w:rPr>
          <w:rStyle w:val="Strong"/>
        </w:rPr>
        <w:t>Snapshot – Primary school students</w:t>
      </w:r>
    </w:p>
    <w:p w14:paraId="5AB8143D" w14:textId="5864ACBA" w:rsidR="000B746D" w:rsidRDefault="000B746D" w:rsidP="000B746D">
      <w:pPr>
        <w:pStyle w:val="FeatureBox"/>
      </w:pPr>
      <w:r w:rsidRPr="009B6028">
        <w:t>67% of boys and 53% of girls demonstrated advanced skills in the catch</w:t>
      </w:r>
    </w:p>
    <w:p w14:paraId="29434DEA" w14:textId="1E494ADA" w:rsidR="000B746D" w:rsidRDefault="000B746D" w:rsidP="000B746D">
      <w:pPr>
        <w:pStyle w:val="FeatureBox"/>
      </w:pPr>
      <w:r w:rsidRPr="009B6028">
        <w:t>54% of boys and 16% of girls demonstrated advanced skills in the kick</w:t>
      </w:r>
    </w:p>
    <w:p w14:paraId="22372F86" w14:textId="77777777" w:rsidR="000B746D" w:rsidRPr="009B6028" w:rsidRDefault="000B746D" w:rsidP="000B746D">
      <w:pPr>
        <w:pStyle w:val="FeatureBox"/>
        <w:cnfStyle w:val="000000100000" w:firstRow="0" w:lastRow="0" w:firstColumn="0" w:lastColumn="0" w:oddVBand="0" w:evenVBand="0" w:oddHBand="1" w:evenHBand="0" w:firstRowFirstColumn="0" w:firstRowLastColumn="0" w:lastRowFirstColumn="0" w:lastRowLastColumn="0"/>
      </w:pPr>
      <w:r w:rsidRPr="009B6028">
        <w:t>52% of boys and 18% of girls demonstrated advanced skills in the over-arm throw</w:t>
      </w:r>
    </w:p>
    <w:p w14:paraId="7CC95E57" w14:textId="6573678C" w:rsidR="000B746D" w:rsidRDefault="000B746D" w:rsidP="000B746D">
      <w:pPr>
        <w:pStyle w:val="FeatureBox"/>
      </w:pPr>
      <w:r w:rsidRPr="000B746D">
        <w:t>75% of boys and 80% of girls demonstrated advanced skills in the side-gallop</w:t>
      </w:r>
    </w:p>
    <w:p w14:paraId="17584D7D" w14:textId="5AE39BF0" w:rsidR="000B746D" w:rsidRDefault="000B746D" w:rsidP="000B746D">
      <w:pPr>
        <w:pStyle w:val="FeatureBox"/>
      </w:pPr>
      <w:r w:rsidRPr="009B6028">
        <w:t>45% of boys and 48% of girls demonstrated advanced skills in the vertical jump</w:t>
      </w:r>
    </w:p>
    <w:p w14:paraId="68E21B27" w14:textId="0053A4FE" w:rsidR="000B746D" w:rsidRDefault="000B746D" w:rsidP="000B746D">
      <w:pPr>
        <w:pStyle w:val="FeatureBox"/>
      </w:pPr>
      <w:r w:rsidRPr="009B6028">
        <w:t>24% of boys and 49% of girls demonstrated advanced skills in the leap</w:t>
      </w:r>
    </w:p>
    <w:p w14:paraId="23ED63BD" w14:textId="5A244829" w:rsidR="000B746D" w:rsidRDefault="000B746D" w:rsidP="000B746D">
      <w:pPr>
        <w:pStyle w:val="FeatureBox"/>
      </w:pPr>
      <w:r w:rsidRPr="009B6028">
        <w:t>52% of boys and 43% of girls demonstrated advanced skills in the sprint run</w:t>
      </w:r>
    </w:p>
    <w:p w14:paraId="68CA8FEB" w14:textId="77777777" w:rsidR="000B746D" w:rsidRDefault="000B746D" w:rsidP="001D15EB"/>
    <w:p w14:paraId="37480AFD" w14:textId="5937EA31" w:rsidR="001D15EB" w:rsidRPr="000B746D" w:rsidRDefault="000B746D" w:rsidP="000B746D">
      <w:pPr>
        <w:pStyle w:val="FeatureBox"/>
        <w:rPr>
          <w:rStyle w:val="Strong"/>
        </w:rPr>
      </w:pPr>
      <w:r w:rsidRPr="000B746D">
        <w:rPr>
          <w:rStyle w:val="Strong"/>
        </w:rPr>
        <w:t>Snapshot – Secondary school students</w:t>
      </w:r>
    </w:p>
    <w:p w14:paraId="512050B6" w14:textId="496905FD" w:rsidR="000B746D" w:rsidRDefault="000B746D" w:rsidP="000B746D">
      <w:pPr>
        <w:pStyle w:val="FeatureBox"/>
        <w:rPr>
          <w:sz w:val="22"/>
        </w:rPr>
      </w:pPr>
      <w:r w:rsidRPr="009B6028">
        <w:rPr>
          <w:sz w:val="22"/>
        </w:rPr>
        <w:t>87% of boys and 74% of girls demonstrated advanced skills in the catch</w:t>
      </w:r>
    </w:p>
    <w:p w14:paraId="225A19ED" w14:textId="77777777" w:rsidR="000B746D" w:rsidRPr="009B6028" w:rsidRDefault="000B746D" w:rsidP="000B746D">
      <w:pPr>
        <w:pStyle w:val="FeatureBox"/>
        <w:cnfStyle w:val="000000010000" w:firstRow="0" w:lastRow="0" w:firstColumn="0" w:lastColumn="0" w:oddVBand="0" w:evenVBand="0" w:oddHBand="0" w:evenHBand="1" w:firstRowFirstColumn="0" w:firstRowLastColumn="0" w:lastRowFirstColumn="0" w:lastRowLastColumn="0"/>
        <w:rPr>
          <w:sz w:val="22"/>
        </w:rPr>
      </w:pPr>
      <w:r w:rsidRPr="009B6028">
        <w:rPr>
          <w:sz w:val="22"/>
        </w:rPr>
        <w:t>74% of boys and 33% of girls demonstrated advanced skills in the kick</w:t>
      </w:r>
    </w:p>
    <w:p w14:paraId="7BD7E57C" w14:textId="77777777" w:rsidR="000B746D" w:rsidRPr="009B6028" w:rsidRDefault="000B746D" w:rsidP="000B746D">
      <w:pPr>
        <w:pStyle w:val="FeatureBox"/>
        <w:cnfStyle w:val="000000100000" w:firstRow="0" w:lastRow="0" w:firstColumn="0" w:lastColumn="0" w:oddVBand="0" w:evenVBand="0" w:oddHBand="1" w:evenHBand="0" w:firstRowFirstColumn="0" w:firstRowLastColumn="0" w:lastRowFirstColumn="0" w:lastRowLastColumn="0"/>
        <w:rPr>
          <w:sz w:val="22"/>
        </w:rPr>
      </w:pPr>
      <w:r w:rsidRPr="009B6028">
        <w:rPr>
          <w:sz w:val="22"/>
        </w:rPr>
        <w:t>67% of boys and 30% of girls demonstrated advanced skills in the over-arm throw</w:t>
      </w:r>
    </w:p>
    <w:p w14:paraId="5D179413" w14:textId="7520B098" w:rsidR="000B746D" w:rsidRDefault="000B746D" w:rsidP="000B746D">
      <w:pPr>
        <w:pStyle w:val="FeatureBox"/>
        <w:rPr>
          <w:sz w:val="22"/>
        </w:rPr>
      </w:pPr>
      <w:r w:rsidRPr="009B6028">
        <w:rPr>
          <w:sz w:val="22"/>
        </w:rPr>
        <w:t>93% of boys and 93% of girls demonstrated advanced skills in the side-gallop</w:t>
      </w:r>
    </w:p>
    <w:p w14:paraId="0223B21B" w14:textId="132C1829" w:rsidR="000B746D" w:rsidRDefault="000B746D" w:rsidP="000B746D">
      <w:pPr>
        <w:pStyle w:val="FeatureBox"/>
        <w:rPr>
          <w:sz w:val="22"/>
        </w:rPr>
      </w:pPr>
      <w:r w:rsidRPr="009B6028">
        <w:rPr>
          <w:sz w:val="22"/>
        </w:rPr>
        <w:t>74% of boys and 67% of girls demonstrated advanced skills in the vertical jump</w:t>
      </w:r>
    </w:p>
    <w:p w14:paraId="1DA787C2" w14:textId="4933D363" w:rsidR="000B746D" w:rsidRDefault="000B746D" w:rsidP="000B746D">
      <w:pPr>
        <w:pStyle w:val="FeatureBox"/>
        <w:rPr>
          <w:sz w:val="22"/>
        </w:rPr>
      </w:pPr>
      <w:r w:rsidRPr="009B6028">
        <w:rPr>
          <w:sz w:val="22"/>
        </w:rPr>
        <w:t>34% of boys and 54% of girls demonstrated advanced skills in the leap</w:t>
      </w:r>
    </w:p>
    <w:p w14:paraId="6441632A" w14:textId="23088FAF" w:rsidR="000B746D" w:rsidRDefault="000B746D" w:rsidP="000B746D">
      <w:pPr>
        <w:pStyle w:val="FeatureBox"/>
      </w:pPr>
      <w:r w:rsidRPr="009B6028">
        <w:rPr>
          <w:sz w:val="22"/>
        </w:rPr>
        <w:t>70% of boys and 55% of girls demonstrated advanced skills in the sprint run</w:t>
      </w:r>
    </w:p>
    <w:p w14:paraId="68009865" w14:textId="11D2A633" w:rsidR="001D15EB" w:rsidRDefault="001D15EB" w:rsidP="001D15EB">
      <w:pPr>
        <w:rPr>
          <w:rFonts w:cs="Arial"/>
          <w:lang w:eastAsia="zh-CN"/>
        </w:rPr>
      </w:pPr>
      <w:r>
        <w:rPr>
          <w:rFonts w:cs="Arial"/>
          <w:lang w:eastAsia="zh-CN"/>
        </w:rPr>
        <w:t xml:space="preserve">Source: </w:t>
      </w:r>
      <w:r w:rsidRPr="00A630A3">
        <w:rPr>
          <w:rFonts w:eastAsia="Calibri" w:cs="Arial"/>
        </w:rPr>
        <w:t xml:space="preserve">Hardy LL, Mihrshahi S, Drayton BA, Bauman, A. </w:t>
      </w:r>
      <w:hyperlink r:id="rId9" w:history="1">
        <w:r w:rsidRPr="00A630A3">
          <w:rPr>
            <w:rFonts w:eastAsia="Calibri" w:cs="Arial"/>
            <w:color w:val="0000FF"/>
            <w:u w:val="single"/>
          </w:rPr>
          <w:t>NSW Schools Physical Activity and Nutrition Survey (SPANS) 2015: Full Report. 2016</w:t>
        </w:r>
      </w:hyperlink>
      <w:r w:rsidRPr="00A630A3">
        <w:rPr>
          <w:rFonts w:eastAsia="Calibri" w:cs="Arial"/>
        </w:rPr>
        <w:t xml:space="preserve"> Sydney: NSW Department of Health.</w:t>
      </w:r>
    </w:p>
    <w:p w14:paraId="79E338B9" w14:textId="05223513" w:rsidR="001D15EB" w:rsidRDefault="003836FD" w:rsidP="001D15EB">
      <w:pPr>
        <w:pStyle w:val="Heading2"/>
      </w:pPr>
      <w:r>
        <w:t>Snapshot 3 –</w:t>
      </w:r>
      <w:r w:rsidR="001D15EB">
        <w:t xml:space="preserve"> Nutrition</w:t>
      </w:r>
    </w:p>
    <w:p w14:paraId="1D040FD7" w14:textId="77777777" w:rsidR="001D15EB" w:rsidRDefault="001D15EB" w:rsidP="001D15EB">
      <w:pPr>
        <w:rPr>
          <w:lang w:eastAsia="zh-CN"/>
        </w:rPr>
      </w:pPr>
      <w:r>
        <w:rPr>
          <w:lang w:eastAsia="zh-CN"/>
        </w:rPr>
        <w:t>In 2015, around 4 in 5 children and adolescents (79%) met the recommended daily intake of fruit (2 serves a day) but less than 1 in 10 (7%) met the recommended daily intake of vegetables (5 serves a day).</w:t>
      </w:r>
    </w:p>
    <w:p w14:paraId="3FE05DAF" w14:textId="698C0341" w:rsidR="001D15EB" w:rsidRDefault="001D15EB" w:rsidP="001D15EB">
      <w:pPr>
        <w:rPr>
          <w:lang w:eastAsia="zh-CN"/>
        </w:rPr>
      </w:pPr>
      <w:r>
        <w:rPr>
          <w:lang w:eastAsia="zh-CN"/>
        </w:rPr>
        <w:t>Children and adolescents less likely to meet the vegetable recommendation included those from urban areas, low SES backgrounds, and the thin BMI category.</w:t>
      </w:r>
    </w:p>
    <w:p w14:paraId="3B65C9BA" w14:textId="5FFDED49" w:rsidR="000B746D" w:rsidRPr="000B746D" w:rsidRDefault="000B746D" w:rsidP="000B746D">
      <w:pPr>
        <w:pStyle w:val="FeatureBox"/>
        <w:rPr>
          <w:rStyle w:val="Strong"/>
        </w:rPr>
      </w:pPr>
      <w:r w:rsidRPr="000B746D">
        <w:rPr>
          <w:rStyle w:val="Strong"/>
        </w:rPr>
        <w:t>Children and adolescents frequently consumed a range of energy-dense and nutrient poor foods and drinks</w:t>
      </w:r>
    </w:p>
    <w:p w14:paraId="2B84E1C9" w14:textId="3CB8126A" w:rsidR="000B746D" w:rsidRDefault="000B746D" w:rsidP="000B746D">
      <w:pPr>
        <w:pStyle w:val="FeatureBox"/>
      </w:pPr>
      <w:r w:rsidRPr="009B6028">
        <w:t>48% of children and adolescents ate processed snack food products (sweet and savoury biscuits, cakes, donuts or muesli bars) 3 or more times a week.</w:t>
      </w:r>
    </w:p>
    <w:p w14:paraId="7CA73C9A" w14:textId="265CAC71" w:rsidR="000B746D" w:rsidRDefault="000B746D" w:rsidP="000B746D">
      <w:pPr>
        <w:pStyle w:val="FeatureBox"/>
      </w:pPr>
      <w:r w:rsidRPr="009B6028">
        <w:t>32% of children and adolescents ate potato chips 3 or more times a week</w:t>
      </w:r>
    </w:p>
    <w:p w14:paraId="4C50395A" w14:textId="1618028F" w:rsidR="000B746D" w:rsidRDefault="000B746D" w:rsidP="000B746D">
      <w:pPr>
        <w:pStyle w:val="FeatureBox"/>
      </w:pPr>
      <w:r w:rsidRPr="009B6028">
        <w:t>27% of children and adolescents ate confectionary 3 or more times a week</w:t>
      </w:r>
    </w:p>
    <w:p w14:paraId="3226DA01" w14:textId="65ACD0FE" w:rsidR="000B746D" w:rsidRDefault="000B746D" w:rsidP="000B746D">
      <w:pPr>
        <w:pStyle w:val="FeatureBox"/>
      </w:pPr>
      <w:r w:rsidRPr="009B6028">
        <w:t>10% of children and adolescents ate fried potato products 3 or more times a week</w:t>
      </w:r>
    </w:p>
    <w:p w14:paraId="31DA819B" w14:textId="460EBFB0" w:rsidR="000B746D" w:rsidRDefault="000B746D" w:rsidP="000B746D">
      <w:pPr>
        <w:pStyle w:val="FeatureBox"/>
      </w:pPr>
      <w:r w:rsidRPr="009B6028">
        <w:t>35% of children and 44% of adolescents ate processed meats 3 or more times a week</w:t>
      </w:r>
    </w:p>
    <w:p w14:paraId="3EDCA5C5" w14:textId="0575FCBD" w:rsidR="000B746D" w:rsidRDefault="000B746D" w:rsidP="000B746D">
      <w:pPr>
        <w:pStyle w:val="FeatureBox"/>
      </w:pPr>
      <w:r w:rsidRPr="009B6028">
        <w:lastRenderedPageBreak/>
        <w:t>9% of children and adolescents drank one or more cups of soft drink daily.</w:t>
      </w:r>
    </w:p>
    <w:p w14:paraId="4C9268E8" w14:textId="77777777" w:rsidR="001D15EB" w:rsidRDefault="001D15EB" w:rsidP="001D15EB">
      <w:pPr>
        <w:rPr>
          <w:rFonts w:cs="Arial"/>
          <w:lang w:eastAsia="zh-CN"/>
        </w:rPr>
      </w:pPr>
      <w:r>
        <w:rPr>
          <w:rFonts w:cs="Arial"/>
          <w:lang w:eastAsia="zh-CN"/>
        </w:rPr>
        <w:t xml:space="preserve">Source: </w:t>
      </w:r>
      <w:r w:rsidRPr="00A630A3">
        <w:rPr>
          <w:rFonts w:eastAsia="Calibri" w:cs="Arial"/>
        </w:rPr>
        <w:t xml:space="preserve">Hardy LL, Mihrshahi S, Drayton BA, Bauman, A. </w:t>
      </w:r>
      <w:hyperlink r:id="rId10" w:history="1">
        <w:r w:rsidRPr="00A630A3">
          <w:rPr>
            <w:rFonts w:eastAsia="Calibri" w:cs="Arial"/>
            <w:color w:val="0000FF"/>
            <w:u w:val="single"/>
          </w:rPr>
          <w:t>NSW Schools Physical Activity and Nutrition Survey (SPANS) 2015: Full Report. 2016</w:t>
        </w:r>
      </w:hyperlink>
      <w:r w:rsidRPr="00A630A3">
        <w:rPr>
          <w:rFonts w:eastAsia="Calibri" w:cs="Arial"/>
        </w:rPr>
        <w:t xml:space="preserve"> Sydney: NSW Department of Health.</w:t>
      </w:r>
    </w:p>
    <w:p w14:paraId="27CF5D21" w14:textId="1971C5B5" w:rsidR="001D15EB" w:rsidRDefault="003836FD" w:rsidP="001D15EB">
      <w:pPr>
        <w:pStyle w:val="Heading2"/>
      </w:pPr>
      <w:r>
        <w:t>Snapshot 4 –</w:t>
      </w:r>
      <w:r w:rsidR="001D15EB">
        <w:t xml:space="preserve"> Sedentary behaviour</w:t>
      </w:r>
    </w:p>
    <w:p w14:paraId="59349474" w14:textId="77777777" w:rsidR="001D15EB" w:rsidRDefault="001D15EB" w:rsidP="001D15EB">
      <w:pPr>
        <w:rPr>
          <w:lang w:eastAsia="zh-CN"/>
        </w:rPr>
      </w:pPr>
      <w:r>
        <w:rPr>
          <w:lang w:eastAsia="zh-CN"/>
        </w:rPr>
        <w:t>Overall, the median sitting time outside of school hours was 3 hours 43 minutes on a weekday, and 6 hours 40 minutes on a weekend day.</w:t>
      </w:r>
    </w:p>
    <w:p w14:paraId="512FFB55" w14:textId="77777777" w:rsidR="001D15EB" w:rsidRDefault="001D15EB" w:rsidP="001D15EB">
      <w:pPr>
        <w:rPr>
          <w:lang w:eastAsia="zh-CN"/>
        </w:rPr>
      </w:pPr>
      <w:r>
        <w:rPr>
          <w:lang w:eastAsia="zh-CN"/>
        </w:rPr>
        <w:t>Just over half of children (53%) met screen time recommendations of less than 2 hours a day, on weekdays. On weekends 80% of children exceeded 2 hours of screen time.</w:t>
      </w:r>
    </w:p>
    <w:p w14:paraId="38C9D9E0" w14:textId="28F43896" w:rsidR="001D15EB" w:rsidRDefault="001D15EB" w:rsidP="001D15EB">
      <w:pPr>
        <w:rPr>
          <w:lang w:eastAsia="zh-CN"/>
        </w:rPr>
      </w:pPr>
      <w:r>
        <w:rPr>
          <w:lang w:eastAsia="zh-CN"/>
        </w:rPr>
        <w:t xml:space="preserve">Groups who were less likely than peers to meet screen time recommendations, </w:t>
      </w:r>
      <w:r w:rsidR="003836FD">
        <w:rPr>
          <w:lang w:eastAsia="zh-CN"/>
        </w:rPr>
        <w:t>on both weekdays and weekends i</w:t>
      </w:r>
      <w:r>
        <w:rPr>
          <w:lang w:eastAsia="zh-CN"/>
        </w:rPr>
        <w:t>ncluded:</w:t>
      </w:r>
    </w:p>
    <w:p w14:paraId="32B832BA" w14:textId="557A3037" w:rsidR="001D15EB" w:rsidRPr="008C6C68" w:rsidRDefault="003836FD" w:rsidP="001D15EB">
      <w:pPr>
        <w:pStyle w:val="ListBullet"/>
        <w:numPr>
          <w:ilvl w:val="0"/>
          <w:numId w:val="1"/>
        </w:numPr>
      </w:pPr>
      <w:r>
        <w:t>b</w:t>
      </w:r>
      <w:r w:rsidR="001D15EB" w:rsidRPr="008C6C68">
        <w:t>oys</w:t>
      </w:r>
    </w:p>
    <w:p w14:paraId="5F7EE6EE" w14:textId="2F94026B" w:rsidR="001D15EB" w:rsidRPr="008C6C68" w:rsidRDefault="003836FD" w:rsidP="001D15EB">
      <w:pPr>
        <w:pStyle w:val="ListBullet"/>
        <w:numPr>
          <w:ilvl w:val="0"/>
          <w:numId w:val="1"/>
        </w:numPr>
      </w:pPr>
      <w:r>
        <w:t>c</w:t>
      </w:r>
      <w:r w:rsidR="001D15EB" w:rsidRPr="008C6C68">
        <w:t>hildren and adolescents from low SES backgrounds</w:t>
      </w:r>
    </w:p>
    <w:p w14:paraId="226E1EBD" w14:textId="46CDEB3B" w:rsidR="001D15EB" w:rsidRPr="008C6C68" w:rsidRDefault="003836FD" w:rsidP="001D15EB">
      <w:pPr>
        <w:pStyle w:val="ListBullet"/>
        <w:numPr>
          <w:ilvl w:val="0"/>
          <w:numId w:val="1"/>
        </w:numPr>
      </w:pPr>
      <w:r>
        <w:t>c</w:t>
      </w:r>
      <w:r w:rsidR="001D15EB" w:rsidRPr="008C6C68">
        <w:t>hildren in overweight and obese BMI categories.</w:t>
      </w:r>
    </w:p>
    <w:p w14:paraId="759E102C" w14:textId="77777777" w:rsidR="001D15EB" w:rsidRDefault="001D15EB" w:rsidP="001D15EB">
      <w:pPr>
        <w:rPr>
          <w:lang w:eastAsia="zh-CN"/>
        </w:rPr>
      </w:pPr>
      <w:r>
        <w:rPr>
          <w:lang w:eastAsia="zh-CN"/>
        </w:rPr>
        <w:t>More than half (54%) of participants did not know the recommended daily limit on screen time was less than 2 hours. 20% of parents rarely or never imposed rules on screen time.</w:t>
      </w:r>
    </w:p>
    <w:p w14:paraId="4BDF6E2E" w14:textId="77777777" w:rsidR="001D15EB" w:rsidRDefault="001D15EB" w:rsidP="001D15EB">
      <w:pPr>
        <w:rPr>
          <w:rFonts w:cs="Arial"/>
          <w:lang w:eastAsia="zh-CN"/>
        </w:rPr>
      </w:pPr>
      <w:r>
        <w:rPr>
          <w:rFonts w:cs="Arial"/>
          <w:lang w:eastAsia="zh-CN"/>
        </w:rPr>
        <w:t xml:space="preserve">Source: </w:t>
      </w:r>
      <w:r w:rsidRPr="00A630A3">
        <w:rPr>
          <w:rFonts w:eastAsia="Calibri" w:cs="Arial"/>
        </w:rPr>
        <w:t xml:space="preserve">Hardy LL, Mihrshahi S, Drayton BA, Bauman, A. </w:t>
      </w:r>
      <w:hyperlink r:id="rId11" w:history="1">
        <w:r w:rsidRPr="00A630A3">
          <w:rPr>
            <w:rFonts w:eastAsia="Calibri" w:cs="Arial"/>
            <w:color w:val="0000FF"/>
            <w:u w:val="single"/>
          </w:rPr>
          <w:t>NSW Schools Physical Activity and Nutrition Survey (SPANS) 2015: Full Report. 2016</w:t>
        </w:r>
      </w:hyperlink>
      <w:r w:rsidRPr="00A630A3">
        <w:rPr>
          <w:rFonts w:eastAsia="Calibri" w:cs="Arial"/>
        </w:rPr>
        <w:t xml:space="preserve"> Sydney: NSW Department of Health.</w:t>
      </w:r>
    </w:p>
    <w:p w14:paraId="5592C0D6" w14:textId="73066EB5" w:rsidR="001D15EB" w:rsidRDefault="001D15EB" w:rsidP="001D15EB">
      <w:pPr>
        <w:pStyle w:val="Heading2"/>
      </w:pPr>
      <w:r>
        <w:t>Snapshot 5</w:t>
      </w:r>
      <w:r w:rsidR="003836FD">
        <w:t xml:space="preserve"> –</w:t>
      </w:r>
      <w:r>
        <w:t xml:space="preserve"> Social media use</w:t>
      </w:r>
    </w:p>
    <w:p w14:paraId="64B4E61E" w14:textId="4EBE2C8D" w:rsidR="003836FD" w:rsidRDefault="003836FD" w:rsidP="003836FD">
      <w:pPr>
        <w:pStyle w:val="Caption"/>
      </w:pPr>
      <w:r>
        <w:t xml:space="preserve">Table </w:t>
      </w:r>
      <w:r>
        <w:fldChar w:fldCharType="begin"/>
      </w:r>
      <w:r>
        <w:instrText xml:space="preserve"> SEQ Table \* ARABIC </w:instrText>
      </w:r>
      <w:r>
        <w:fldChar w:fldCharType="separate"/>
      </w:r>
      <w:r w:rsidR="0008432F">
        <w:rPr>
          <w:noProof/>
        </w:rPr>
        <w:t>1</w:t>
      </w:r>
      <w:r>
        <w:fldChar w:fldCharType="end"/>
      </w:r>
      <w:r>
        <w:t xml:space="preserve">: </w:t>
      </w:r>
      <w:r w:rsidRPr="00981FAE">
        <w:t>Main social media account</w:t>
      </w:r>
    </w:p>
    <w:tbl>
      <w:tblPr>
        <w:tblStyle w:val="Tableheader1"/>
        <w:tblW w:w="9572" w:type="dxa"/>
        <w:tblInd w:w="-30" w:type="dxa"/>
        <w:tblLook w:val="0420" w:firstRow="1" w:lastRow="0" w:firstColumn="0" w:lastColumn="0" w:noHBand="0" w:noVBand="1"/>
        <w:tblDescription w:val="Facebook is the most popular social media account for kids and teens"/>
      </w:tblPr>
      <w:tblGrid>
        <w:gridCol w:w="3190"/>
        <w:gridCol w:w="3191"/>
        <w:gridCol w:w="3191"/>
      </w:tblGrid>
      <w:tr w:rsidR="009B6028" w:rsidRPr="007B6B2F" w14:paraId="0DBD56AB" w14:textId="5B7AE963" w:rsidTr="0008432F">
        <w:trPr>
          <w:cnfStyle w:val="100000000000" w:firstRow="1" w:lastRow="0" w:firstColumn="0" w:lastColumn="0" w:oddVBand="0" w:evenVBand="0" w:oddHBand="0" w:evenHBand="0" w:firstRowFirstColumn="0" w:firstRowLastColumn="0" w:lastRowFirstColumn="0" w:lastRowLastColumn="0"/>
          <w:cantSplit w:val="0"/>
          <w:trHeight w:val="338"/>
        </w:trPr>
        <w:tc>
          <w:tcPr>
            <w:tcW w:w="3190" w:type="dxa"/>
          </w:tcPr>
          <w:p w14:paraId="115BE719" w14:textId="3F228D7B" w:rsidR="009B6028" w:rsidRPr="007B6B2F" w:rsidRDefault="009B6028" w:rsidP="006A1A37">
            <w:pPr>
              <w:keepNext w:val="0"/>
              <w:keepLines w:val="0"/>
              <w:widowControl/>
              <w:spacing w:after="0" w:line="276" w:lineRule="auto"/>
              <w:ind w:left="291"/>
              <w:textboxTightWrap w:val="none"/>
              <w:rPr>
                <w:lang w:eastAsia="zh-CN"/>
              </w:rPr>
            </w:pPr>
            <w:r>
              <w:rPr>
                <w:lang w:eastAsia="zh-CN"/>
              </w:rPr>
              <w:t>Account type</w:t>
            </w:r>
          </w:p>
        </w:tc>
        <w:tc>
          <w:tcPr>
            <w:tcW w:w="3191" w:type="dxa"/>
          </w:tcPr>
          <w:p w14:paraId="2FCB04FB" w14:textId="319627D8" w:rsidR="009B6028" w:rsidRPr="007B6B2F" w:rsidRDefault="009B6028" w:rsidP="006A1A37">
            <w:pPr>
              <w:ind w:left="291"/>
              <w:rPr>
                <w:lang w:eastAsia="zh-CN"/>
              </w:rPr>
            </w:pPr>
            <w:r>
              <w:rPr>
                <w:lang w:eastAsia="zh-CN"/>
              </w:rPr>
              <w:t>Kids</w:t>
            </w:r>
          </w:p>
        </w:tc>
        <w:tc>
          <w:tcPr>
            <w:tcW w:w="3191" w:type="dxa"/>
          </w:tcPr>
          <w:p w14:paraId="1558746D" w14:textId="20181AFE" w:rsidR="009B6028" w:rsidRPr="007B6B2F" w:rsidRDefault="009B6028" w:rsidP="006A1A37">
            <w:pPr>
              <w:ind w:left="291"/>
              <w:rPr>
                <w:lang w:eastAsia="zh-CN"/>
              </w:rPr>
            </w:pPr>
            <w:r>
              <w:rPr>
                <w:lang w:eastAsia="zh-CN"/>
              </w:rPr>
              <w:t>Teens</w:t>
            </w:r>
          </w:p>
        </w:tc>
      </w:tr>
      <w:tr w:rsidR="009B6028" w:rsidRPr="00B86722" w14:paraId="64F88735" w14:textId="40BE0944" w:rsidTr="0008432F">
        <w:trPr>
          <w:cnfStyle w:val="000000100000" w:firstRow="0" w:lastRow="0" w:firstColumn="0" w:lastColumn="0" w:oddVBand="0" w:evenVBand="0" w:oddHBand="1" w:evenHBand="0" w:firstRowFirstColumn="0" w:firstRowLastColumn="0" w:lastRowFirstColumn="0" w:lastRowLastColumn="0"/>
          <w:trHeight w:val="283"/>
        </w:trPr>
        <w:tc>
          <w:tcPr>
            <w:tcW w:w="3190" w:type="dxa"/>
          </w:tcPr>
          <w:p w14:paraId="33B29485" w14:textId="20672298" w:rsidR="009B6028" w:rsidRPr="009B6028" w:rsidRDefault="009B6028" w:rsidP="009B6028">
            <w:pPr>
              <w:rPr>
                <w:sz w:val="22"/>
              </w:rPr>
            </w:pPr>
            <w:r w:rsidRPr="009B6028">
              <w:rPr>
                <w:sz w:val="22"/>
                <w:lang w:eastAsia="zh-CN"/>
              </w:rPr>
              <w:t>Facebook</w:t>
            </w:r>
          </w:p>
        </w:tc>
        <w:tc>
          <w:tcPr>
            <w:tcW w:w="3191" w:type="dxa"/>
          </w:tcPr>
          <w:p w14:paraId="2975DC62" w14:textId="2FA6D778" w:rsidR="009B6028" w:rsidRPr="009B6028" w:rsidRDefault="009B6028" w:rsidP="009B6028">
            <w:pPr>
              <w:rPr>
                <w:sz w:val="22"/>
              </w:rPr>
            </w:pPr>
            <w:r w:rsidRPr="009B6028">
              <w:rPr>
                <w:sz w:val="22"/>
                <w:lang w:eastAsia="zh-CN"/>
              </w:rPr>
              <w:t>38%</w:t>
            </w:r>
          </w:p>
        </w:tc>
        <w:tc>
          <w:tcPr>
            <w:tcW w:w="3191" w:type="dxa"/>
          </w:tcPr>
          <w:p w14:paraId="55765277" w14:textId="2EA4DD8D" w:rsidR="009B6028" w:rsidRPr="009B6028" w:rsidRDefault="009B6028" w:rsidP="009B6028">
            <w:pPr>
              <w:rPr>
                <w:sz w:val="22"/>
              </w:rPr>
            </w:pPr>
            <w:r w:rsidRPr="009B6028">
              <w:rPr>
                <w:sz w:val="22"/>
                <w:lang w:eastAsia="zh-CN"/>
              </w:rPr>
              <w:t>56%</w:t>
            </w:r>
          </w:p>
        </w:tc>
      </w:tr>
      <w:tr w:rsidR="009B6028" w:rsidRPr="00B86722" w14:paraId="0824D380" w14:textId="03D2993A" w:rsidTr="0008432F">
        <w:trPr>
          <w:cnfStyle w:val="000000010000" w:firstRow="0" w:lastRow="0" w:firstColumn="0" w:lastColumn="0" w:oddVBand="0" w:evenVBand="0" w:oddHBand="0" w:evenHBand="1" w:firstRowFirstColumn="0" w:firstRowLastColumn="0" w:lastRowFirstColumn="0" w:lastRowLastColumn="0"/>
          <w:trHeight w:val="283"/>
        </w:trPr>
        <w:tc>
          <w:tcPr>
            <w:tcW w:w="3190" w:type="dxa"/>
          </w:tcPr>
          <w:p w14:paraId="2D67F4BD" w14:textId="05D44497" w:rsidR="009B6028" w:rsidRPr="009B6028" w:rsidRDefault="009B6028" w:rsidP="009B6028">
            <w:pPr>
              <w:rPr>
                <w:sz w:val="22"/>
              </w:rPr>
            </w:pPr>
            <w:r w:rsidRPr="009B6028">
              <w:rPr>
                <w:sz w:val="22"/>
                <w:lang w:eastAsia="zh-CN"/>
              </w:rPr>
              <w:t>Instagram</w:t>
            </w:r>
          </w:p>
        </w:tc>
        <w:tc>
          <w:tcPr>
            <w:tcW w:w="3191" w:type="dxa"/>
          </w:tcPr>
          <w:p w14:paraId="37A127D7" w14:textId="3B580A94" w:rsidR="009B6028" w:rsidRPr="009B6028" w:rsidRDefault="009B6028" w:rsidP="009B6028">
            <w:pPr>
              <w:rPr>
                <w:sz w:val="22"/>
              </w:rPr>
            </w:pPr>
            <w:r w:rsidRPr="009B6028">
              <w:rPr>
                <w:sz w:val="22"/>
                <w:lang w:eastAsia="zh-CN"/>
              </w:rPr>
              <w:t>27%</w:t>
            </w:r>
          </w:p>
        </w:tc>
        <w:tc>
          <w:tcPr>
            <w:tcW w:w="3191" w:type="dxa"/>
          </w:tcPr>
          <w:p w14:paraId="414CFB92" w14:textId="3B9AB2AC" w:rsidR="009B6028" w:rsidRPr="009B6028" w:rsidRDefault="009B6028" w:rsidP="009B6028">
            <w:pPr>
              <w:rPr>
                <w:sz w:val="22"/>
              </w:rPr>
            </w:pPr>
            <w:r w:rsidRPr="009B6028">
              <w:rPr>
                <w:sz w:val="22"/>
                <w:lang w:eastAsia="zh-CN"/>
              </w:rPr>
              <w:t>11%</w:t>
            </w:r>
          </w:p>
        </w:tc>
      </w:tr>
      <w:tr w:rsidR="009B6028" w:rsidRPr="00B86722" w14:paraId="332B4D00" w14:textId="5713F0CF" w:rsidTr="0008432F">
        <w:trPr>
          <w:cnfStyle w:val="000000100000" w:firstRow="0" w:lastRow="0" w:firstColumn="0" w:lastColumn="0" w:oddVBand="0" w:evenVBand="0" w:oddHBand="1" w:evenHBand="0" w:firstRowFirstColumn="0" w:firstRowLastColumn="0" w:lastRowFirstColumn="0" w:lastRowLastColumn="0"/>
          <w:trHeight w:val="283"/>
        </w:trPr>
        <w:tc>
          <w:tcPr>
            <w:tcW w:w="3190" w:type="dxa"/>
          </w:tcPr>
          <w:p w14:paraId="07D28B01" w14:textId="38C54155" w:rsidR="009B6028" w:rsidRPr="009B6028" w:rsidRDefault="009B6028" w:rsidP="009B6028">
            <w:pPr>
              <w:rPr>
                <w:sz w:val="22"/>
              </w:rPr>
            </w:pPr>
            <w:r w:rsidRPr="009B6028">
              <w:rPr>
                <w:sz w:val="22"/>
                <w:lang w:eastAsia="zh-CN"/>
              </w:rPr>
              <w:t>Youtube</w:t>
            </w:r>
          </w:p>
        </w:tc>
        <w:tc>
          <w:tcPr>
            <w:tcW w:w="3191" w:type="dxa"/>
          </w:tcPr>
          <w:p w14:paraId="456D4397" w14:textId="02683359" w:rsidR="009B6028" w:rsidRPr="009B6028" w:rsidRDefault="009B6028" w:rsidP="009B6028">
            <w:pPr>
              <w:rPr>
                <w:sz w:val="22"/>
              </w:rPr>
            </w:pPr>
            <w:r w:rsidRPr="009B6028">
              <w:rPr>
                <w:sz w:val="22"/>
                <w:lang w:eastAsia="zh-CN"/>
              </w:rPr>
              <w:t>16%</w:t>
            </w:r>
          </w:p>
        </w:tc>
        <w:tc>
          <w:tcPr>
            <w:tcW w:w="3191" w:type="dxa"/>
          </w:tcPr>
          <w:p w14:paraId="330A1509" w14:textId="72868C29" w:rsidR="009B6028" w:rsidRPr="009B6028" w:rsidRDefault="009B6028" w:rsidP="009B6028">
            <w:pPr>
              <w:rPr>
                <w:sz w:val="22"/>
              </w:rPr>
            </w:pPr>
            <w:r w:rsidRPr="009B6028">
              <w:rPr>
                <w:sz w:val="22"/>
                <w:lang w:eastAsia="zh-CN"/>
              </w:rPr>
              <w:t>9%</w:t>
            </w:r>
          </w:p>
        </w:tc>
      </w:tr>
      <w:tr w:rsidR="009B6028" w:rsidRPr="00B86722" w14:paraId="6F67ADF4" w14:textId="16366705" w:rsidTr="0008432F">
        <w:trPr>
          <w:cnfStyle w:val="000000010000" w:firstRow="0" w:lastRow="0" w:firstColumn="0" w:lastColumn="0" w:oddVBand="0" w:evenVBand="0" w:oddHBand="0" w:evenHBand="1" w:firstRowFirstColumn="0" w:firstRowLastColumn="0" w:lastRowFirstColumn="0" w:lastRowLastColumn="0"/>
          <w:trHeight w:val="283"/>
        </w:trPr>
        <w:tc>
          <w:tcPr>
            <w:tcW w:w="3190" w:type="dxa"/>
          </w:tcPr>
          <w:p w14:paraId="1F35D637" w14:textId="2EBBEEE5" w:rsidR="009B6028" w:rsidRPr="009B6028" w:rsidRDefault="009B6028" w:rsidP="009B6028">
            <w:pPr>
              <w:rPr>
                <w:sz w:val="22"/>
              </w:rPr>
            </w:pPr>
            <w:r w:rsidRPr="009B6028">
              <w:rPr>
                <w:sz w:val="22"/>
                <w:lang w:eastAsia="zh-CN"/>
              </w:rPr>
              <w:t>Snapchat</w:t>
            </w:r>
          </w:p>
        </w:tc>
        <w:tc>
          <w:tcPr>
            <w:tcW w:w="3191" w:type="dxa"/>
          </w:tcPr>
          <w:p w14:paraId="76F572A3" w14:textId="7AC88441" w:rsidR="009B6028" w:rsidRPr="009B6028" w:rsidRDefault="009B6028" w:rsidP="009B6028">
            <w:pPr>
              <w:rPr>
                <w:sz w:val="22"/>
              </w:rPr>
            </w:pPr>
            <w:r w:rsidRPr="009B6028">
              <w:rPr>
                <w:sz w:val="22"/>
                <w:lang w:eastAsia="zh-CN"/>
              </w:rPr>
              <w:t>8%</w:t>
            </w:r>
          </w:p>
        </w:tc>
        <w:tc>
          <w:tcPr>
            <w:tcW w:w="3191" w:type="dxa"/>
          </w:tcPr>
          <w:p w14:paraId="401AE962" w14:textId="7986B33C" w:rsidR="009B6028" w:rsidRPr="009B6028" w:rsidRDefault="009B6028" w:rsidP="009B6028">
            <w:pPr>
              <w:rPr>
                <w:sz w:val="22"/>
              </w:rPr>
            </w:pPr>
            <w:r w:rsidRPr="009B6028">
              <w:rPr>
                <w:sz w:val="22"/>
                <w:lang w:eastAsia="zh-CN"/>
              </w:rPr>
              <w:t>17%</w:t>
            </w:r>
          </w:p>
        </w:tc>
      </w:tr>
      <w:tr w:rsidR="009B6028" w:rsidRPr="00B86722" w14:paraId="6E916B12" w14:textId="384D8913" w:rsidTr="0008432F">
        <w:trPr>
          <w:cnfStyle w:val="000000100000" w:firstRow="0" w:lastRow="0" w:firstColumn="0" w:lastColumn="0" w:oddVBand="0" w:evenVBand="0" w:oddHBand="1" w:evenHBand="0" w:firstRowFirstColumn="0" w:firstRowLastColumn="0" w:lastRowFirstColumn="0" w:lastRowLastColumn="0"/>
          <w:trHeight w:val="283"/>
        </w:trPr>
        <w:tc>
          <w:tcPr>
            <w:tcW w:w="3190" w:type="dxa"/>
          </w:tcPr>
          <w:p w14:paraId="77896FC2" w14:textId="3F970E4A" w:rsidR="009B6028" w:rsidRPr="009B6028" w:rsidRDefault="009B6028" w:rsidP="009B6028">
            <w:pPr>
              <w:rPr>
                <w:sz w:val="22"/>
              </w:rPr>
            </w:pPr>
            <w:r w:rsidRPr="009B6028">
              <w:rPr>
                <w:sz w:val="22"/>
                <w:lang w:eastAsia="zh-CN"/>
              </w:rPr>
              <w:t>Skype</w:t>
            </w:r>
          </w:p>
        </w:tc>
        <w:tc>
          <w:tcPr>
            <w:tcW w:w="3191" w:type="dxa"/>
          </w:tcPr>
          <w:p w14:paraId="3DF7A183" w14:textId="210C12B6" w:rsidR="009B6028" w:rsidRPr="009B6028" w:rsidRDefault="009B6028" w:rsidP="009B6028">
            <w:pPr>
              <w:rPr>
                <w:sz w:val="22"/>
              </w:rPr>
            </w:pPr>
            <w:r w:rsidRPr="009B6028">
              <w:rPr>
                <w:sz w:val="22"/>
                <w:lang w:eastAsia="zh-CN"/>
              </w:rPr>
              <w:t>3%</w:t>
            </w:r>
          </w:p>
        </w:tc>
        <w:tc>
          <w:tcPr>
            <w:tcW w:w="3191" w:type="dxa"/>
          </w:tcPr>
          <w:p w14:paraId="1190798B" w14:textId="6736A42F" w:rsidR="009B6028" w:rsidRPr="009B6028" w:rsidRDefault="009B6028" w:rsidP="009B6028">
            <w:pPr>
              <w:rPr>
                <w:sz w:val="22"/>
              </w:rPr>
            </w:pPr>
            <w:r w:rsidRPr="009B6028">
              <w:rPr>
                <w:sz w:val="22"/>
                <w:lang w:eastAsia="zh-CN"/>
              </w:rPr>
              <w:t>2%</w:t>
            </w:r>
          </w:p>
        </w:tc>
      </w:tr>
      <w:tr w:rsidR="009B6028" w:rsidRPr="00B86722" w14:paraId="44B18090" w14:textId="744D8740" w:rsidTr="0008432F">
        <w:trPr>
          <w:cnfStyle w:val="000000010000" w:firstRow="0" w:lastRow="0" w:firstColumn="0" w:lastColumn="0" w:oddVBand="0" w:evenVBand="0" w:oddHBand="0" w:evenHBand="1" w:firstRowFirstColumn="0" w:firstRowLastColumn="0" w:lastRowFirstColumn="0" w:lastRowLastColumn="0"/>
          <w:trHeight w:val="283"/>
        </w:trPr>
        <w:tc>
          <w:tcPr>
            <w:tcW w:w="3190" w:type="dxa"/>
          </w:tcPr>
          <w:p w14:paraId="5BC58CA5" w14:textId="364597A2" w:rsidR="009B6028" w:rsidRPr="009B6028" w:rsidRDefault="009B6028" w:rsidP="009B6028">
            <w:pPr>
              <w:rPr>
                <w:sz w:val="22"/>
              </w:rPr>
            </w:pPr>
            <w:r w:rsidRPr="009B6028">
              <w:rPr>
                <w:sz w:val="22"/>
                <w:lang w:eastAsia="zh-CN"/>
              </w:rPr>
              <w:t>Other</w:t>
            </w:r>
          </w:p>
        </w:tc>
        <w:tc>
          <w:tcPr>
            <w:tcW w:w="3191" w:type="dxa"/>
          </w:tcPr>
          <w:p w14:paraId="0A1626F3" w14:textId="26D705A8" w:rsidR="009B6028" w:rsidRPr="009B6028" w:rsidRDefault="009B6028" w:rsidP="009B6028">
            <w:pPr>
              <w:rPr>
                <w:sz w:val="22"/>
              </w:rPr>
            </w:pPr>
            <w:r w:rsidRPr="009B6028">
              <w:rPr>
                <w:sz w:val="22"/>
                <w:lang w:eastAsia="zh-CN"/>
              </w:rPr>
              <w:t>9%</w:t>
            </w:r>
          </w:p>
        </w:tc>
        <w:tc>
          <w:tcPr>
            <w:tcW w:w="3191" w:type="dxa"/>
          </w:tcPr>
          <w:p w14:paraId="5D4A938A" w14:textId="2200D5C6" w:rsidR="009B6028" w:rsidRPr="009B6028" w:rsidRDefault="009B6028" w:rsidP="009B6028">
            <w:pPr>
              <w:rPr>
                <w:sz w:val="22"/>
              </w:rPr>
            </w:pPr>
            <w:r w:rsidRPr="009B6028">
              <w:rPr>
                <w:sz w:val="22"/>
                <w:lang w:eastAsia="zh-CN"/>
              </w:rPr>
              <w:t>6%</w:t>
            </w:r>
          </w:p>
        </w:tc>
      </w:tr>
    </w:tbl>
    <w:p w14:paraId="28B98BD7" w14:textId="0554203E" w:rsidR="003836FD" w:rsidRDefault="003836FD" w:rsidP="003836FD">
      <w:pPr>
        <w:pStyle w:val="Caption"/>
      </w:pPr>
      <w:r>
        <w:lastRenderedPageBreak/>
        <w:t xml:space="preserve">Table </w:t>
      </w:r>
      <w:r>
        <w:fldChar w:fldCharType="begin"/>
      </w:r>
      <w:r>
        <w:instrText xml:space="preserve"> SEQ Table \* ARABIC </w:instrText>
      </w:r>
      <w:r>
        <w:fldChar w:fldCharType="separate"/>
      </w:r>
      <w:r w:rsidR="0008432F">
        <w:rPr>
          <w:noProof/>
        </w:rPr>
        <w:t>2</w:t>
      </w:r>
      <w:r>
        <w:fldChar w:fldCharType="end"/>
      </w:r>
      <w:r>
        <w:t xml:space="preserve">: </w:t>
      </w:r>
      <w:r w:rsidRPr="005C4F47">
        <w:t>Privacy settings on their main social media account</w:t>
      </w:r>
    </w:p>
    <w:tbl>
      <w:tblPr>
        <w:tblStyle w:val="Tableheader1"/>
        <w:tblW w:w="9602" w:type="dxa"/>
        <w:tblInd w:w="-30" w:type="dxa"/>
        <w:tblLook w:val="0420" w:firstRow="1" w:lastRow="0" w:firstColumn="0" w:lastColumn="0" w:noHBand="0" w:noVBand="1"/>
        <w:tblDescription w:val="Over half have private settings on their social media accounts"/>
      </w:tblPr>
      <w:tblGrid>
        <w:gridCol w:w="2487"/>
        <w:gridCol w:w="2532"/>
        <w:gridCol w:w="2462"/>
        <w:gridCol w:w="2121"/>
      </w:tblGrid>
      <w:tr w:rsidR="009B6028" w:rsidRPr="007B6B2F" w14:paraId="7ABA5B80" w14:textId="6959BA08" w:rsidTr="0008432F">
        <w:trPr>
          <w:cnfStyle w:val="100000000000" w:firstRow="1" w:lastRow="0" w:firstColumn="0" w:lastColumn="0" w:oddVBand="0" w:evenVBand="0" w:oddHBand="0" w:evenHBand="0" w:firstRowFirstColumn="0" w:firstRowLastColumn="0" w:lastRowFirstColumn="0" w:lastRowLastColumn="0"/>
          <w:cantSplit w:val="0"/>
          <w:trHeight w:val="338"/>
        </w:trPr>
        <w:tc>
          <w:tcPr>
            <w:tcW w:w="2487" w:type="dxa"/>
          </w:tcPr>
          <w:p w14:paraId="48849339" w14:textId="0B154887" w:rsidR="009B6028" w:rsidRPr="007B6B2F" w:rsidRDefault="009B6028" w:rsidP="006A1A37">
            <w:pPr>
              <w:keepNext w:val="0"/>
              <w:keepLines w:val="0"/>
              <w:widowControl/>
              <w:spacing w:after="0" w:line="276" w:lineRule="auto"/>
              <w:ind w:left="291"/>
              <w:textboxTightWrap w:val="none"/>
              <w:rPr>
                <w:lang w:eastAsia="zh-CN"/>
              </w:rPr>
            </w:pPr>
            <w:r>
              <w:rPr>
                <w:lang w:eastAsia="zh-CN"/>
              </w:rPr>
              <w:t>Private</w:t>
            </w:r>
          </w:p>
        </w:tc>
        <w:tc>
          <w:tcPr>
            <w:tcW w:w="2532" w:type="dxa"/>
          </w:tcPr>
          <w:p w14:paraId="2110D6B6" w14:textId="0212FA5B" w:rsidR="009B6028" w:rsidRPr="007B6B2F" w:rsidRDefault="009B6028" w:rsidP="006A1A37">
            <w:pPr>
              <w:ind w:left="291"/>
              <w:rPr>
                <w:lang w:eastAsia="zh-CN"/>
              </w:rPr>
            </w:pPr>
            <w:r>
              <w:rPr>
                <w:lang w:eastAsia="zh-CN"/>
              </w:rPr>
              <w:t>Partially private</w:t>
            </w:r>
          </w:p>
        </w:tc>
        <w:tc>
          <w:tcPr>
            <w:tcW w:w="2462" w:type="dxa"/>
          </w:tcPr>
          <w:p w14:paraId="1E09D844" w14:textId="50DD7882" w:rsidR="009B6028" w:rsidRPr="007B6B2F" w:rsidRDefault="009B6028" w:rsidP="006A1A37">
            <w:pPr>
              <w:ind w:left="291"/>
              <w:rPr>
                <w:lang w:eastAsia="zh-CN"/>
              </w:rPr>
            </w:pPr>
            <w:r>
              <w:rPr>
                <w:lang w:eastAsia="zh-CN"/>
              </w:rPr>
              <w:t>Public</w:t>
            </w:r>
          </w:p>
        </w:tc>
        <w:tc>
          <w:tcPr>
            <w:tcW w:w="2121" w:type="dxa"/>
          </w:tcPr>
          <w:p w14:paraId="3242C5EF" w14:textId="284F0BB6" w:rsidR="009B6028" w:rsidRDefault="009B6028" w:rsidP="006A1A37">
            <w:pPr>
              <w:ind w:left="291"/>
              <w:rPr>
                <w:lang w:eastAsia="zh-CN"/>
              </w:rPr>
            </w:pPr>
            <w:r>
              <w:rPr>
                <w:lang w:eastAsia="zh-CN"/>
              </w:rPr>
              <w:t>Not sure</w:t>
            </w:r>
          </w:p>
        </w:tc>
      </w:tr>
      <w:tr w:rsidR="009B6028" w:rsidRPr="00B86722" w14:paraId="6CEEE9D2" w14:textId="65D46760" w:rsidTr="0008432F">
        <w:trPr>
          <w:cnfStyle w:val="000000100000" w:firstRow="0" w:lastRow="0" w:firstColumn="0" w:lastColumn="0" w:oddVBand="0" w:evenVBand="0" w:oddHBand="1" w:evenHBand="0" w:firstRowFirstColumn="0" w:firstRowLastColumn="0" w:lastRowFirstColumn="0" w:lastRowLastColumn="0"/>
          <w:trHeight w:val="283"/>
        </w:trPr>
        <w:tc>
          <w:tcPr>
            <w:tcW w:w="2487" w:type="dxa"/>
          </w:tcPr>
          <w:p w14:paraId="5A55438C" w14:textId="43A073EC" w:rsidR="009B6028" w:rsidRPr="009B6028" w:rsidRDefault="009B6028" w:rsidP="009B6028">
            <w:pPr>
              <w:rPr>
                <w:sz w:val="22"/>
              </w:rPr>
            </w:pPr>
            <w:r>
              <w:rPr>
                <w:lang w:eastAsia="zh-CN"/>
              </w:rPr>
              <w:t>61%</w:t>
            </w:r>
          </w:p>
        </w:tc>
        <w:tc>
          <w:tcPr>
            <w:tcW w:w="2532" w:type="dxa"/>
          </w:tcPr>
          <w:p w14:paraId="140D2A0E" w14:textId="7D8BF222" w:rsidR="009B6028" w:rsidRPr="009B6028" w:rsidRDefault="009B6028" w:rsidP="009B6028">
            <w:pPr>
              <w:rPr>
                <w:sz w:val="22"/>
              </w:rPr>
            </w:pPr>
            <w:r>
              <w:rPr>
                <w:lang w:eastAsia="zh-CN"/>
              </w:rPr>
              <w:t>21%</w:t>
            </w:r>
          </w:p>
        </w:tc>
        <w:tc>
          <w:tcPr>
            <w:tcW w:w="2462" w:type="dxa"/>
          </w:tcPr>
          <w:p w14:paraId="5813068B" w14:textId="7CD4F48A" w:rsidR="009B6028" w:rsidRPr="009B6028" w:rsidRDefault="009B6028" w:rsidP="009B6028">
            <w:pPr>
              <w:rPr>
                <w:sz w:val="22"/>
              </w:rPr>
            </w:pPr>
            <w:r>
              <w:rPr>
                <w:lang w:eastAsia="zh-CN"/>
              </w:rPr>
              <w:t>9%</w:t>
            </w:r>
          </w:p>
        </w:tc>
        <w:tc>
          <w:tcPr>
            <w:tcW w:w="2121" w:type="dxa"/>
          </w:tcPr>
          <w:p w14:paraId="208EBFB1" w14:textId="10B64B72" w:rsidR="009B6028" w:rsidRPr="009B6028" w:rsidRDefault="009B6028" w:rsidP="009B6028">
            <w:pPr>
              <w:rPr>
                <w:sz w:val="22"/>
              </w:rPr>
            </w:pPr>
            <w:r>
              <w:rPr>
                <w:lang w:eastAsia="zh-CN"/>
              </w:rPr>
              <w:t>10%</w:t>
            </w:r>
          </w:p>
        </w:tc>
      </w:tr>
    </w:tbl>
    <w:p w14:paraId="7553EB79" w14:textId="186E18F1" w:rsidR="003836FD" w:rsidRDefault="003836FD" w:rsidP="003836FD">
      <w:pPr>
        <w:pStyle w:val="Caption"/>
      </w:pPr>
      <w:r>
        <w:t xml:space="preserve">Table </w:t>
      </w:r>
      <w:r>
        <w:fldChar w:fldCharType="begin"/>
      </w:r>
      <w:r>
        <w:instrText xml:space="preserve"> SEQ Table \* ARABIC </w:instrText>
      </w:r>
      <w:r>
        <w:fldChar w:fldCharType="separate"/>
      </w:r>
      <w:r w:rsidR="0008432F">
        <w:rPr>
          <w:noProof/>
        </w:rPr>
        <w:t>3</w:t>
      </w:r>
      <w:r>
        <w:fldChar w:fldCharType="end"/>
      </w:r>
      <w:r>
        <w:t xml:space="preserve">: </w:t>
      </w:r>
      <w:r w:rsidRPr="00FE7B8B">
        <w:t>More teens than kids share personal information on their main social media account</w:t>
      </w:r>
    </w:p>
    <w:tbl>
      <w:tblPr>
        <w:tblStyle w:val="Tableheader1"/>
        <w:tblW w:w="9669" w:type="dxa"/>
        <w:tblInd w:w="-30" w:type="dxa"/>
        <w:tblLook w:val="0420" w:firstRow="1" w:lastRow="0" w:firstColumn="0" w:lastColumn="0" w:noHBand="0" w:noVBand="1"/>
        <w:tblDescription w:val="Teens are more likely to share personal information on social media"/>
      </w:tblPr>
      <w:tblGrid>
        <w:gridCol w:w="3223"/>
        <w:gridCol w:w="3223"/>
        <w:gridCol w:w="3223"/>
      </w:tblGrid>
      <w:tr w:rsidR="009B6028" w:rsidRPr="007B6B2F" w14:paraId="515B3E53" w14:textId="77777777" w:rsidTr="0008432F">
        <w:trPr>
          <w:cnfStyle w:val="100000000000" w:firstRow="1" w:lastRow="0" w:firstColumn="0" w:lastColumn="0" w:oddVBand="0" w:evenVBand="0" w:oddHBand="0" w:evenHBand="0" w:firstRowFirstColumn="0" w:firstRowLastColumn="0" w:lastRowFirstColumn="0" w:lastRowLastColumn="0"/>
          <w:cantSplit w:val="0"/>
          <w:trHeight w:val="338"/>
        </w:trPr>
        <w:tc>
          <w:tcPr>
            <w:tcW w:w="3223" w:type="dxa"/>
          </w:tcPr>
          <w:p w14:paraId="69DE437E" w14:textId="56A843DA" w:rsidR="009B6028" w:rsidRPr="007B6B2F" w:rsidRDefault="009B6028" w:rsidP="009B6028">
            <w:pPr>
              <w:keepNext w:val="0"/>
              <w:keepLines w:val="0"/>
              <w:widowControl/>
              <w:spacing w:after="0" w:line="276" w:lineRule="auto"/>
              <w:ind w:left="291"/>
              <w:textboxTightWrap w:val="none"/>
              <w:rPr>
                <w:lang w:eastAsia="zh-CN"/>
              </w:rPr>
            </w:pPr>
            <w:r>
              <w:rPr>
                <w:lang w:eastAsia="zh-CN"/>
              </w:rPr>
              <w:t>Account type</w:t>
            </w:r>
          </w:p>
        </w:tc>
        <w:tc>
          <w:tcPr>
            <w:tcW w:w="3223" w:type="dxa"/>
          </w:tcPr>
          <w:p w14:paraId="0ED02F50" w14:textId="7E16E95C" w:rsidR="009B6028" w:rsidRPr="007B6B2F" w:rsidRDefault="009B6028" w:rsidP="009B6028">
            <w:pPr>
              <w:ind w:left="291"/>
              <w:rPr>
                <w:lang w:eastAsia="zh-CN"/>
              </w:rPr>
            </w:pPr>
            <w:r>
              <w:rPr>
                <w:lang w:eastAsia="zh-CN"/>
              </w:rPr>
              <w:t>Kids</w:t>
            </w:r>
          </w:p>
        </w:tc>
        <w:tc>
          <w:tcPr>
            <w:tcW w:w="3223" w:type="dxa"/>
          </w:tcPr>
          <w:p w14:paraId="63B3D12C" w14:textId="2D0B7538" w:rsidR="009B6028" w:rsidRPr="007B6B2F" w:rsidRDefault="009B6028" w:rsidP="009B6028">
            <w:pPr>
              <w:ind w:left="291"/>
              <w:rPr>
                <w:lang w:eastAsia="zh-CN"/>
              </w:rPr>
            </w:pPr>
            <w:r>
              <w:rPr>
                <w:lang w:eastAsia="zh-CN"/>
              </w:rPr>
              <w:t>Teens</w:t>
            </w:r>
          </w:p>
        </w:tc>
      </w:tr>
      <w:tr w:rsidR="009B6028" w:rsidRPr="00B86722" w14:paraId="3D2BBDBB" w14:textId="77777777" w:rsidTr="0008432F">
        <w:trPr>
          <w:cnfStyle w:val="000000100000" w:firstRow="0" w:lastRow="0" w:firstColumn="0" w:lastColumn="0" w:oddVBand="0" w:evenVBand="0" w:oddHBand="1" w:evenHBand="0" w:firstRowFirstColumn="0" w:firstRowLastColumn="0" w:lastRowFirstColumn="0" w:lastRowLastColumn="0"/>
          <w:trHeight w:val="283"/>
        </w:trPr>
        <w:tc>
          <w:tcPr>
            <w:tcW w:w="3223" w:type="dxa"/>
          </w:tcPr>
          <w:p w14:paraId="3472E233" w14:textId="03776B79" w:rsidR="009B6028" w:rsidRPr="009B6028" w:rsidRDefault="009B6028" w:rsidP="009B6028">
            <w:pPr>
              <w:rPr>
                <w:sz w:val="22"/>
              </w:rPr>
            </w:pPr>
            <w:r w:rsidRPr="009B6028">
              <w:rPr>
                <w:sz w:val="22"/>
                <w:lang w:eastAsia="zh-CN"/>
              </w:rPr>
              <w:t>Photo of face</w:t>
            </w:r>
          </w:p>
        </w:tc>
        <w:tc>
          <w:tcPr>
            <w:tcW w:w="3223" w:type="dxa"/>
          </w:tcPr>
          <w:p w14:paraId="365C9585" w14:textId="1762A586" w:rsidR="009B6028" w:rsidRPr="009B6028" w:rsidRDefault="009B6028" w:rsidP="009B6028">
            <w:pPr>
              <w:rPr>
                <w:sz w:val="22"/>
              </w:rPr>
            </w:pPr>
            <w:r w:rsidRPr="009B6028">
              <w:rPr>
                <w:sz w:val="22"/>
                <w:lang w:eastAsia="zh-CN"/>
              </w:rPr>
              <w:t>47%</w:t>
            </w:r>
          </w:p>
        </w:tc>
        <w:tc>
          <w:tcPr>
            <w:tcW w:w="3223" w:type="dxa"/>
          </w:tcPr>
          <w:p w14:paraId="18E0E4BD" w14:textId="3E74D1BB" w:rsidR="009B6028" w:rsidRPr="009B6028" w:rsidRDefault="009B6028" w:rsidP="009B6028">
            <w:pPr>
              <w:rPr>
                <w:sz w:val="22"/>
              </w:rPr>
            </w:pPr>
            <w:r w:rsidRPr="009B6028">
              <w:rPr>
                <w:sz w:val="22"/>
                <w:lang w:eastAsia="zh-CN"/>
              </w:rPr>
              <w:t>58%</w:t>
            </w:r>
          </w:p>
        </w:tc>
      </w:tr>
      <w:tr w:rsidR="009B6028" w:rsidRPr="00B86722" w14:paraId="1FCB8483" w14:textId="77777777" w:rsidTr="0008432F">
        <w:trPr>
          <w:cnfStyle w:val="000000010000" w:firstRow="0" w:lastRow="0" w:firstColumn="0" w:lastColumn="0" w:oddVBand="0" w:evenVBand="0" w:oddHBand="0" w:evenHBand="1" w:firstRowFirstColumn="0" w:firstRowLastColumn="0" w:lastRowFirstColumn="0" w:lastRowLastColumn="0"/>
          <w:trHeight w:val="283"/>
        </w:trPr>
        <w:tc>
          <w:tcPr>
            <w:tcW w:w="3223" w:type="dxa"/>
          </w:tcPr>
          <w:p w14:paraId="6CCC2FAC" w14:textId="229EDAC9" w:rsidR="009B6028" w:rsidRPr="009B6028" w:rsidRDefault="009B6028" w:rsidP="009B6028">
            <w:pPr>
              <w:rPr>
                <w:sz w:val="22"/>
              </w:rPr>
            </w:pPr>
            <w:r w:rsidRPr="009B6028">
              <w:rPr>
                <w:sz w:val="22"/>
                <w:lang w:eastAsia="zh-CN"/>
              </w:rPr>
              <w:t>Last name</w:t>
            </w:r>
          </w:p>
        </w:tc>
        <w:tc>
          <w:tcPr>
            <w:tcW w:w="3223" w:type="dxa"/>
          </w:tcPr>
          <w:p w14:paraId="704DDC15" w14:textId="433C216B" w:rsidR="009B6028" w:rsidRPr="009B6028" w:rsidRDefault="009B6028" w:rsidP="009B6028">
            <w:pPr>
              <w:rPr>
                <w:sz w:val="22"/>
              </w:rPr>
            </w:pPr>
            <w:r w:rsidRPr="009B6028">
              <w:rPr>
                <w:sz w:val="22"/>
                <w:lang w:eastAsia="zh-CN"/>
              </w:rPr>
              <w:t>27%</w:t>
            </w:r>
          </w:p>
        </w:tc>
        <w:tc>
          <w:tcPr>
            <w:tcW w:w="3223" w:type="dxa"/>
          </w:tcPr>
          <w:p w14:paraId="7601028B" w14:textId="74DADBE3" w:rsidR="009B6028" w:rsidRPr="009B6028" w:rsidRDefault="009B6028" w:rsidP="009B6028">
            <w:pPr>
              <w:rPr>
                <w:sz w:val="22"/>
              </w:rPr>
            </w:pPr>
            <w:r w:rsidRPr="009B6028">
              <w:rPr>
                <w:sz w:val="22"/>
                <w:lang w:eastAsia="zh-CN"/>
              </w:rPr>
              <w:t>45%</w:t>
            </w:r>
          </w:p>
        </w:tc>
      </w:tr>
      <w:tr w:rsidR="009B6028" w:rsidRPr="00B86722" w14:paraId="132C7C37" w14:textId="77777777" w:rsidTr="0008432F">
        <w:trPr>
          <w:cnfStyle w:val="000000100000" w:firstRow="0" w:lastRow="0" w:firstColumn="0" w:lastColumn="0" w:oddVBand="0" w:evenVBand="0" w:oddHBand="1" w:evenHBand="0" w:firstRowFirstColumn="0" w:firstRowLastColumn="0" w:lastRowFirstColumn="0" w:lastRowLastColumn="0"/>
          <w:trHeight w:val="283"/>
        </w:trPr>
        <w:tc>
          <w:tcPr>
            <w:tcW w:w="3223" w:type="dxa"/>
          </w:tcPr>
          <w:p w14:paraId="142E66B7" w14:textId="0B328163" w:rsidR="009B6028" w:rsidRPr="009B6028" w:rsidRDefault="009B6028" w:rsidP="009B6028">
            <w:pPr>
              <w:rPr>
                <w:sz w:val="22"/>
              </w:rPr>
            </w:pPr>
            <w:r w:rsidRPr="009B6028">
              <w:rPr>
                <w:sz w:val="22"/>
                <w:lang w:eastAsia="zh-CN"/>
              </w:rPr>
              <w:t>Real age</w:t>
            </w:r>
          </w:p>
        </w:tc>
        <w:tc>
          <w:tcPr>
            <w:tcW w:w="3223" w:type="dxa"/>
          </w:tcPr>
          <w:p w14:paraId="53273AFE" w14:textId="2B9A786D" w:rsidR="009B6028" w:rsidRPr="009B6028" w:rsidRDefault="009B6028" w:rsidP="009B6028">
            <w:pPr>
              <w:rPr>
                <w:sz w:val="22"/>
              </w:rPr>
            </w:pPr>
            <w:r w:rsidRPr="009B6028">
              <w:rPr>
                <w:sz w:val="22"/>
                <w:lang w:eastAsia="zh-CN"/>
              </w:rPr>
              <w:t>21%</w:t>
            </w:r>
          </w:p>
        </w:tc>
        <w:tc>
          <w:tcPr>
            <w:tcW w:w="3223" w:type="dxa"/>
          </w:tcPr>
          <w:p w14:paraId="230F0B2D" w14:textId="600AAFAF" w:rsidR="009B6028" w:rsidRPr="009B6028" w:rsidRDefault="009B6028" w:rsidP="009B6028">
            <w:pPr>
              <w:rPr>
                <w:sz w:val="22"/>
              </w:rPr>
            </w:pPr>
            <w:r w:rsidRPr="009B6028">
              <w:rPr>
                <w:sz w:val="22"/>
                <w:lang w:eastAsia="zh-CN"/>
              </w:rPr>
              <w:t>38%</w:t>
            </w:r>
          </w:p>
        </w:tc>
      </w:tr>
      <w:tr w:rsidR="009B6028" w:rsidRPr="00B86722" w14:paraId="21965F01" w14:textId="77777777" w:rsidTr="0008432F">
        <w:trPr>
          <w:cnfStyle w:val="000000010000" w:firstRow="0" w:lastRow="0" w:firstColumn="0" w:lastColumn="0" w:oddVBand="0" w:evenVBand="0" w:oddHBand="0" w:evenHBand="1" w:firstRowFirstColumn="0" w:firstRowLastColumn="0" w:lastRowFirstColumn="0" w:lastRowLastColumn="0"/>
          <w:trHeight w:val="283"/>
        </w:trPr>
        <w:tc>
          <w:tcPr>
            <w:tcW w:w="3223" w:type="dxa"/>
          </w:tcPr>
          <w:p w14:paraId="5707FAC9" w14:textId="1502AE5C" w:rsidR="009B6028" w:rsidRPr="009B6028" w:rsidRDefault="009B6028" w:rsidP="009B6028">
            <w:pPr>
              <w:rPr>
                <w:sz w:val="22"/>
              </w:rPr>
            </w:pPr>
            <w:r w:rsidRPr="009B6028">
              <w:rPr>
                <w:sz w:val="22"/>
                <w:lang w:eastAsia="zh-CN"/>
              </w:rPr>
              <w:t>School/photo of uniform</w:t>
            </w:r>
          </w:p>
        </w:tc>
        <w:tc>
          <w:tcPr>
            <w:tcW w:w="3223" w:type="dxa"/>
          </w:tcPr>
          <w:p w14:paraId="682CD220" w14:textId="22E7B479" w:rsidR="009B6028" w:rsidRPr="009B6028" w:rsidRDefault="009B6028" w:rsidP="009B6028">
            <w:pPr>
              <w:rPr>
                <w:sz w:val="22"/>
              </w:rPr>
            </w:pPr>
            <w:r w:rsidRPr="009B6028">
              <w:rPr>
                <w:sz w:val="22"/>
                <w:lang w:eastAsia="zh-CN"/>
              </w:rPr>
              <w:t>19%</w:t>
            </w:r>
          </w:p>
        </w:tc>
        <w:tc>
          <w:tcPr>
            <w:tcW w:w="3223" w:type="dxa"/>
          </w:tcPr>
          <w:p w14:paraId="1A85FF0D" w14:textId="2E035083" w:rsidR="009B6028" w:rsidRPr="009B6028" w:rsidRDefault="009B6028" w:rsidP="009B6028">
            <w:pPr>
              <w:rPr>
                <w:sz w:val="22"/>
              </w:rPr>
            </w:pPr>
            <w:r w:rsidRPr="009B6028">
              <w:rPr>
                <w:sz w:val="22"/>
                <w:lang w:eastAsia="zh-CN"/>
              </w:rPr>
              <w:t>27%</w:t>
            </w:r>
          </w:p>
        </w:tc>
      </w:tr>
      <w:tr w:rsidR="009B6028" w:rsidRPr="00B86722" w14:paraId="69353819" w14:textId="77777777" w:rsidTr="0008432F">
        <w:trPr>
          <w:cnfStyle w:val="000000100000" w:firstRow="0" w:lastRow="0" w:firstColumn="0" w:lastColumn="0" w:oddVBand="0" w:evenVBand="0" w:oddHBand="1" w:evenHBand="0" w:firstRowFirstColumn="0" w:firstRowLastColumn="0" w:lastRowFirstColumn="0" w:lastRowLastColumn="0"/>
          <w:trHeight w:val="283"/>
        </w:trPr>
        <w:tc>
          <w:tcPr>
            <w:tcW w:w="3223" w:type="dxa"/>
          </w:tcPr>
          <w:p w14:paraId="6461300C" w14:textId="5034812A" w:rsidR="009B6028" w:rsidRPr="009B6028" w:rsidRDefault="009B6028" w:rsidP="009B6028">
            <w:pPr>
              <w:rPr>
                <w:sz w:val="22"/>
              </w:rPr>
            </w:pPr>
            <w:r w:rsidRPr="009B6028">
              <w:rPr>
                <w:sz w:val="22"/>
                <w:lang w:eastAsia="zh-CN"/>
              </w:rPr>
              <w:t>Phone number/address</w:t>
            </w:r>
          </w:p>
        </w:tc>
        <w:tc>
          <w:tcPr>
            <w:tcW w:w="3223" w:type="dxa"/>
          </w:tcPr>
          <w:p w14:paraId="7F7D161F" w14:textId="094BFE5B" w:rsidR="009B6028" w:rsidRPr="009B6028" w:rsidRDefault="009B6028" w:rsidP="009B6028">
            <w:pPr>
              <w:rPr>
                <w:sz w:val="22"/>
              </w:rPr>
            </w:pPr>
            <w:r w:rsidRPr="009B6028">
              <w:rPr>
                <w:sz w:val="22"/>
                <w:lang w:eastAsia="zh-CN"/>
              </w:rPr>
              <w:t>6%</w:t>
            </w:r>
          </w:p>
        </w:tc>
        <w:tc>
          <w:tcPr>
            <w:tcW w:w="3223" w:type="dxa"/>
          </w:tcPr>
          <w:p w14:paraId="7CC69453" w14:textId="43699138" w:rsidR="009B6028" w:rsidRPr="009B6028" w:rsidRDefault="009B6028" w:rsidP="009B6028">
            <w:pPr>
              <w:rPr>
                <w:sz w:val="22"/>
              </w:rPr>
            </w:pPr>
            <w:r w:rsidRPr="009B6028">
              <w:rPr>
                <w:sz w:val="22"/>
                <w:lang w:eastAsia="zh-CN"/>
              </w:rPr>
              <w:t>9%</w:t>
            </w:r>
          </w:p>
        </w:tc>
      </w:tr>
    </w:tbl>
    <w:p w14:paraId="46A7D77D" w14:textId="77777777" w:rsidR="001D15EB" w:rsidRDefault="001D15EB" w:rsidP="001D15EB">
      <w:pPr>
        <w:rPr>
          <w:b/>
          <w:sz w:val="28"/>
        </w:rPr>
      </w:pPr>
      <w:r w:rsidRPr="00A42915">
        <w:rPr>
          <w:b/>
          <w:sz w:val="20"/>
        </w:rPr>
        <w:t xml:space="preserve">Source: </w:t>
      </w:r>
      <w:r w:rsidRPr="00A42915">
        <w:rPr>
          <w:sz w:val="20"/>
        </w:rPr>
        <w:t xml:space="preserve">Office of the eSafety Commission, 2018, </w:t>
      </w:r>
      <w:hyperlink r:id="rId12" w:history="1">
        <w:r w:rsidRPr="00A42915">
          <w:rPr>
            <w:rStyle w:val="Hyperlink"/>
            <w:sz w:val="20"/>
          </w:rPr>
          <w:t>Research infographics</w:t>
        </w:r>
      </w:hyperlink>
      <w:r w:rsidRPr="00A42915">
        <w:rPr>
          <w:b/>
          <w:sz w:val="20"/>
        </w:rPr>
        <w:t xml:space="preserve">. </w:t>
      </w:r>
    </w:p>
    <w:p w14:paraId="3002AD41" w14:textId="519C49EF" w:rsidR="001D15EB" w:rsidRDefault="003836FD" w:rsidP="001D15EB">
      <w:pPr>
        <w:pStyle w:val="Heading2"/>
      </w:pPr>
      <w:r>
        <w:t>Snapshot 6 –</w:t>
      </w:r>
      <w:r w:rsidR="001D15EB">
        <w:t xml:space="preserve"> Trust and confidence online</w:t>
      </w:r>
    </w:p>
    <w:p w14:paraId="71BD5E18" w14:textId="77777777" w:rsidR="001D15EB" w:rsidRDefault="001D15EB" w:rsidP="001D15EB">
      <w:pPr>
        <w:rPr>
          <w:lang w:eastAsia="zh-CN"/>
        </w:rPr>
      </w:pPr>
      <w:r>
        <w:rPr>
          <w:lang w:eastAsia="zh-CN"/>
        </w:rPr>
        <w:t>Young people’s trust and confidence in online information sources. Youth aged 12 to 17 are spending big chunks of their time online but are still cautious when it comes to relieving what they read or see.</w:t>
      </w:r>
    </w:p>
    <w:p w14:paraId="08CFA380" w14:textId="77777777" w:rsidR="001D15EB" w:rsidRDefault="001D15EB" w:rsidP="001D15EB">
      <w:pPr>
        <w:pStyle w:val="Heading3"/>
      </w:pPr>
      <w:r>
        <w:t>Time online</w:t>
      </w:r>
    </w:p>
    <w:p w14:paraId="20C024D1" w14:textId="7712C293" w:rsidR="001D15EB" w:rsidRDefault="001D15EB" w:rsidP="001D15EB">
      <w:pPr>
        <w:rPr>
          <w:lang w:eastAsia="zh-CN"/>
        </w:rPr>
      </w:pPr>
      <w:r>
        <w:rPr>
          <w:lang w:eastAsia="zh-CN"/>
        </w:rPr>
        <w:t>Young people spend considerable time online outside of school</w:t>
      </w:r>
    </w:p>
    <w:p w14:paraId="07C58115" w14:textId="32E92E7D" w:rsidR="0008432F" w:rsidRDefault="0008432F" w:rsidP="0008432F">
      <w:pPr>
        <w:pStyle w:val="Caption"/>
      </w:pPr>
      <w:r>
        <w:t xml:space="preserve">Table </w:t>
      </w:r>
      <w:r>
        <w:fldChar w:fldCharType="begin"/>
      </w:r>
      <w:r>
        <w:instrText xml:space="preserve"> SEQ Table \* ARABIC </w:instrText>
      </w:r>
      <w:r>
        <w:fldChar w:fldCharType="separate"/>
      </w:r>
      <w:r>
        <w:rPr>
          <w:noProof/>
        </w:rPr>
        <w:t>4</w:t>
      </w:r>
      <w:r>
        <w:fldChar w:fldCharType="end"/>
      </w:r>
      <w:r>
        <w:t>: W</w:t>
      </w:r>
      <w:r w:rsidRPr="00221B8E">
        <w:t>eekly averages</w:t>
      </w:r>
    </w:p>
    <w:tbl>
      <w:tblPr>
        <w:tblStyle w:val="Tableheader1"/>
        <w:tblW w:w="0" w:type="auto"/>
        <w:tblLook w:val="0420" w:firstRow="1" w:lastRow="0" w:firstColumn="0" w:lastColumn="0" w:noHBand="0" w:noVBand="1"/>
        <w:tblDescription w:val="80% of students spend 18 hours or less a week online outside of school."/>
      </w:tblPr>
      <w:tblGrid>
        <w:gridCol w:w="4784"/>
        <w:gridCol w:w="4788"/>
      </w:tblGrid>
      <w:tr w:rsidR="003836FD" w14:paraId="3A84FD63" w14:textId="77777777" w:rsidTr="003048C0">
        <w:trPr>
          <w:cnfStyle w:val="100000000000" w:firstRow="1" w:lastRow="0" w:firstColumn="0" w:lastColumn="0" w:oddVBand="0" w:evenVBand="0" w:oddHBand="0" w:evenHBand="0" w:firstRowFirstColumn="0" w:firstRowLastColumn="0" w:lastRowFirstColumn="0" w:lastRowLastColumn="0"/>
        </w:trPr>
        <w:tc>
          <w:tcPr>
            <w:tcW w:w="4784" w:type="dxa"/>
          </w:tcPr>
          <w:p w14:paraId="62A4F25D" w14:textId="2E9F4038" w:rsidR="003836FD" w:rsidRDefault="003836FD" w:rsidP="006A1A37">
            <w:pPr>
              <w:rPr>
                <w:lang w:eastAsia="zh-CN"/>
              </w:rPr>
            </w:pPr>
            <w:r>
              <w:rPr>
                <w:lang w:eastAsia="zh-CN"/>
              </w:rPr>
              <w:t>Number of hours online ou</w:t>
            </w:r>
            <w:bookmarkStart w:id="0" w:name="_GoBack"/>
            <w:bookmarkEnd w:id="0"/>
            <w:r>
              <w:rPr>
                <w:lang w:eastAsia="zh-CN"/>
              </w:rPr>
              <w:t>tside of school</w:t>
            </w:r>
          </w:p>
        </w:tc>
        <w:tc>
          <w:tcPr>
            <w:tcW w:w="4788" w:type="dxa"/>
          </w:tcPr>
          <w:p w14:paraId="6CF2D291" w14:textId="485B5937" w:rsidR="003836FD" w:rsidRDefault="003836FD" w:rsidP="006A1A37">
            <w:pPr>
              <w:rPr>
                <w:lang w:eastAsia="zh-CN"/>
              </w:rPr>
            </w:pPr>
            <w:r>
              <w:rPr>
                <w:lang w:eastAsia="zh-CN"/>
              </w:rPr>
              <w:t>Percentage</w:t>
            </w:r>
            <w:r w:rsidR="0008432F">
              <w:rPr>
                <w:lang w:eastAsia="zh-CN"/>
              </w:rPr>
              <w:t xml:space="preserve"> </w:t>
            </w:r>
            <w:r>
              <w:rPr>
                <w:lang w:eastAsia="zh-CN"/>
              </w:rPr>
              <w:t>of students</w:t>
            </w:r>
          </w:p>
        </w:tc>
      </w:tr>
      <w:tr w:rsidR="001D15EB" w14:paraId="64988885" w14:textId="77777777" w:rsidTr="003048C0">
        <w:trPr>
          <w:cnfStyle w:val="000000100000" w:firstRow="0" w:lastRow="0" w:firstColumn="0" w:lastColumn="0" w:oddVBand="0" w:evenVBand="0" w:oddHBand="1" w:evenHBand="0" w:firstRowFirstColumn="0" w:firstRowLastColumn="0" w:lastRowFirstColumn="0" w:lastRowLastColumn="0"/>
        </w:trPr>
        <w:tc>
          <w:tcPr>
            <w:tcW w:w="4784" w:type="dxa"/>
          </w:tcPr>
          <w:p w14:paraId="06512C10" w14:textId="77777777" w:rsidR="001D15EB" w:rsidRDefault="001D15EB" w:rsidP="006A1A37">
            <w:pPr>
              <w:rPr>
                <w:lang w:eastAsia="zh-CN"/>
              </w:rPr>
            </w:pPr>
            <w:r>
              <w:rPr>
                <w:lang w:eastAsia="zh-CN"/>
              </w:rPr>
              <w:t>Less than 6 hours</w:t>
            </w:r>
          </w:p>
        </w:tc>
        <w:tc>
          <w:tcPr>
            <w:tcW w:w="4788" w:type="dxa"/>
          </w:tcPr>
          <w:p w14:paraId="731415E3" w14:textId="77777777" w:rsidR="001D15EB" w:rsidRDefault="001D15EB" w:rsidP="006A1A37">
            <w:pPr>
              <w:rPr>
                <w:lang w:eastAsia="zh-CN"/>
              </w:rPr>
            </w:pPr>
            <w:r>
              <w:rPr>
                <w:lang w:eastAsia="zh-CN"/>
              </w:rPr>
              <w:t>33%</w:t>
            </w:r>
          </w:p>
        </w:tc>
      </w:tr>
      <w:tr w:rsidR="001D15EB" w14:paraId="781E04D8" w14:textId="77777777" w:rsidTr="003048C0">
        <w:trPr>
          <w:cnfStyle w:val="000000010000" w:firstRow="0" w:lastRow="0" w:firstColumn="0" w:lastColumn="0" w:oddVBand="0" w:evenVBand="0" w:oddHBand="0" w:evenHBand="1" w:firstRowFirstColumn="0" w:firstRowLastColumn="0" w:lastRowFirstColumn="0" w:lastRowLastColumn="0"/>
        </w:trPr>
        <w:tc>
          <w:tcPr>
            <w:tcW w:w="4784" w:type="dxa"/>
          </w:tcPr>
          <w:p w14:paraId="4ABA3540" w14:textId="77777777" w:rsidR="001D15EB" w:rsidRDefault="001D15EB" w:rsidP="006A1A37">
            <w:pPr>
              <w:rPr>
                <w:lang w:eastAsia="zh-CN"/>
              </w:rPr>
            </w:pPr>
            <w:r>
              <w:rPr>
                <w:lang w:eastAsia="zh-CN"/>
              </w:rPr>
              <w:t>7-12 hours</w:t>
            </w:r>
          </w:p>
        </w:tc>
        <w:tc>
          <w:tcPr>
            <w:tcW w:w="4788" w:type="dxa"/>
          </w:tcPr>
          <w:p w14:paraId="6499B768" w14:textId="77777777" w:rsidR="001D15EB" w:rsidRDefault="001D15EB" w:rsidP="006A1A37">
            <w:pPr>
              <w:rPr>
                <w:lang w:eastAsia="zh-CN"/>
              </w:rPr>
            </w:pPr>
            <w:r>
              <w:rPr>
                <w:lang w:eastAsia="zh-CN"/>
              </w:rPr>
              <w:t>29%</w:t>
            </w:r>
          </w:p>
        </w:tc>
      </w:tr>
      <w:tr w:rsidR="001D15EB" w14:paraId="6571AFAC" w14:textId="77777777" w:rsidTr="003048C0">
        <w:trPr>
          <w:cnfStyle w:val="000000100000" w:firstRow="0" w:lastRow="0" w:firstColumn="0" w:lastColumn="0" w:oddVBand="0" w:evenVBand="0" w:oddHBand="1" w:evenHBand="0" w:firstRowFirstColumn="0" w:firstRowLastColumn="0" w:lastRowFirstColumn="0" w:lastRowLastColumn="0"/>
        </w:trPr>
        <w:tc>
          <w:tcPr>
            <w:tcW w:w="4784" w:type="dxa"/>
          </w:tcPr>
          <w:p w14:paraId="32ACBA2C" w14:textId="77777777" w:rsidR="001D15EB" w:rsidRDefault="001D15EB" w:rsidP="006A1A37">
            <w:pPr>
              <w:rPr>
                <w:lang w:eastAsia="zh-CN"/>
              </w:rPr>
            </w:pPr>
            <w:r>
              <w:rPr>
                <w:lang w:eastAsia="zh-CN"/>
              </w:rPr>
              <w:t>13-18 hours</w:t>
            </w:r>
          </w:p>
        </w:tc>
        <w:tc>
          <w:tcPr>
            <w:tcW w:w="4788" w:type="dxa"/>
          </w:tcPr>
          <w:p w14:paraId="276EEC73" w14:textId="77777777" w:rsidR="001D15EB" w:rsidRDefault="001D15EB" w:rsidP="006A1A37">
            <w:pPr>
              <w:rPr>
                <w:lang w:eastAsia="zh-CN"/>
              </w:rPr>
            </w:pPr>
            <w:r>
              <w:rPr>
                <w:lang w:eastAsia="zh-CN"/>
              </w:rPr>
              <w:t>18%</w:t>
            </w:r>
          </w:p>
        </w:tc>
      </w:tr>
      <w:tr w:rsidR="001D15EB" w14:paraId="1459D7D6" w14:textId="77777777" w:rsidTr="003048C0">
        <w:trPr>
          <w:cnfStyle w:val="000000010000" w:firstRow="0" w:lastRow="0" w:firstColumn="0" w:lastColumn="0" w:oddVBand="0" w:evenVBand="0" w:oddHBand="0" w:evenHBand="1" w:firstRowFirstColumn="0" w:firstRowLastColumn="0" w:lastRowFirstColumn="0" w:lastRowLastColumn="0"/>
        </w:trPr>
        <w:tc>
          <w:tcPr>
            <w:tcW w:w="4784" w:type="dxa"/>
          </w:tcPr>
          <w:p w14:paraId="556D46A7" w14:textId="77777777" w:rsidR="001D15EB" w:rsidRDefault="001D15EB" w:rsidP="006A1A37">
            <w:pPr>
              <w:rPr>
                <w:lang w:eastAsia="zh-CN"/>
              </w:rPr>
            </w:pPr>
            <w:r>
              <w:rPr>
                <w:lang w:eastAsia="zh-CN"/>
              </w:rPr>
              <w:t>19-24 hours</w:t>
            </w:r>
          </w:p>
        </w:tc>
        <w:tc>
          <w:tcPr>
            <w:tcW w:w="4788" w:type="dxa"/>
          </w:tcPr>
          <w:p w14:paraId="5C3C6775" w14:textId="77777777" w:rsidR="001D15EB" w:rsidRDefault="001D15EB" w:rsidP="006A1A37">
            <w:pPr>
              <w:rPr>
                <w:lang w:eastAsia="zh-CN"/>
              </w:rPr>
            </w:pPr>
            <w:r>
              <w:rPr>
                <w:lang w:eastAsia="zh-CN"/>
              </w:rPr>
              <w:t>9%</w:t>
            </w:r>
          </w:p>
        </w:tc>
      </w:tr>
      <w:tr w:rsidR="001D15EB" w14:paraId="119EDAB6" w14:textId="77777777" w:rsidTr="003048C0">
        <w:trPr>
          <w:cnfStyle w:val="000000100000" w:firstRow="0" w:lastRow="0" w:firstColumn="0" w:lastColumn="0" w:oddVBand="0" w:evenVBand="0" w:oddHBand="1" w:evenHBand="0" w:firstRowFirstColumn="0" w:firstRowLastColumn="0" w:lastRowFirstColumn="0" w:lastRowLastColumn="0"/>
        </w:trPr>
        <w:tc>
          <w:tcPr>
            <w:tcW w:w="4784" w:type="dxa"/>
          </w:tcPr>
          <w:p w14:paraId="55B9E889" w14:textId="77777777" w:rsidR="001D15EB" w:rsidRDefault="001D15EB" w:rsidP="006A1A37">
            <w:pPr>
              <w:rPr>
                <w:lang w:eastAsia="zh-CN"/>
              </w:rPr>
            </w:pPr>
            <w:r>
              <w:rPr>
                <w:lang w:eastAsia="zh-CN"/>
              </w:rPr>
              <w:t>More than 24 hours</w:t>
            </w:r>
          </w:p>
        </w:tc>
        <w:tc>
          <w:tcPr>
            <w:tcW w:w="4788" w:type="dxa"/>
          </w:tcPr>
          <w:p w14:paraId="581AA7A9" w14:textId="77777777" w:rsidR="001D15EB" w:rsidRDefault="001D15EB" w:rsidP="006A1A37">
            <w:pPr>
              <w:rPr>
                <w:lang w:eastAsia="zh-CN"/>
              </w:rPr>
            </w:pPr>
            <w:r>
              <w:rPr>
                <w:lang w:eastAsia="zh-CN"/>
              </w:rPr>
              <w:t>10%</w:t>
            </w:r>
          </w:p>
        </w:tc>
      </w:tr>
    </w:tbl>
    <w:p w14:paraId="16392334" w14:textId="77777777" w:rsidR="001D15EB" w:rsidRDefault="001D15EB" w:rsidP="001D15EB">
      <w:pPr>
        <w:rPr>
          <w:lang w:eastAsia="zh-CN"/>
        </w:rPr>
      </w:pPr>
      <w:r>
        <w:rPr>
          <w:lang w:eastAsia="zh-CN"/>
        </w:rPr>
        <w:t>17 year olds spent twice as much time online as 12 year olds</w:t>
      </w:r>
    </w:p>
    <w:p w14:paraId="29084660" w14:textId="77777777" w:rsidR="001D15EB" w:rsidRDefault="001D15EB" w:rsidP="001D15EB">
      <w:pPr>
        <w:rPr>
          <w:lang w:eastAsia="zh-CN"/>
        </w:rPr>
      </w:pPr>
      <w:r>
        <w:rPr>
          <w:lang w:eastAsia="zh-CN"/>
        </w:rPr>
        <w:t>Boys and girls spent similar amounts of time online, as did young people born in Australia and those born overseas.</w:t>
      </w:r>
    </w:p>
    <w:p w14:paraId="3D80AB77" w14:textId="77777777" w:rsidR="001D15EB" w:rsidRDefault="001D15EB" w:rsidP="001D15EB">
      <w:pPr>
        <w:pStyle w:val="Heading3"/>
      </w:pPr>
      <w:r>
        <w:lastRenderedPageBreak/>
        <w:t>Online trust</w:t>
      </w:r>
    </w:p>
    <w:p w14:paraId="0C3EBEDD" w14:textId="4B6CD477" w:rsidR="001D15EB" w:rsidRDefault="001D15EB" w:rsidP="001D15EB">
      <w:pPr>
        <w:rPr>
          <w:lang w:eastAsia="zh-CN"/>
        </w:rPr>
      </w:pPr>
      <w:r>
        <w:rPr>
          <w:lang w:eastAsia="zh-CN"/>
        </w:rPr>
        <w:t>When comparing trusted information sources, TV is more trusted than online sources. There is no significant variation according to gender.</w:t>
      </w:r>
    </w:p>
    <w:p w14:paraId="52296D95" w14:textId="7DECC8E6" w:rsidR="0008432F" w:rsidRDefault="0008432F" w:rsidP="0008432F">
      <w:pPr>
        <w:pStyle w:val="Caption"/>
      </w:pPr>
      <w:r>
        <w:t xml:space="preserve">Table </w:t>
      </w:r>
      <w:r>
        <w:fldChar w:fldCharType="begin"/>
      </w:r>
      <w:r>
        <w:instrText xml:space="preserve"> SEQ Table \* ARABIC </w:instrText>
      </w:r>
      <w:r>
        <w:fldChar w:fldCharType="separate"/>
      </w:r>
      <w:r>
        <w:rPr>
          <w:noProof/>
        </w:rPr>
        <w:t>5</w:t>
      </w:r>
      <w:r>
        <w:fldChar w:fldCharType="end"/>
      </w:r>
      <w:r>
        <w:t>: T</w:t>
      </w:r>
      <w:r w:rsidRPr="00865A76">
        <w:t>rusted information sources</w:t>
      </w:r>
    </w:p>
    <w:tbl>
      <w:tblPr>
        <w:tblStyle w:val="Tableheader"/>
        <w:tblW w:w="9668" w:type="dxa"/>
        <w:tblInd w:w="-30" w:type="dxa"/>
        <w:tblLook w:val="0420" w:firstRow="1" w:lastRow="0" w:firstColumn="0" w:lastColumn="0" w:noHBand="0" w:noVBand="1"/>
        <w:tblDescription w:val="Social media posts are less trusted than television news and internet searches."/>
      </w:tblPr>
      <w:tblGrid>
        <w:gridCol w:w="4834"/>
        <w:gridCol w:w="4834"/>
      </w:tblGrid>
      <w:tr w:rsidR="00EA6F5E" w:rsidRPr="007B6B2F" w14:paraId="0D8F9FAB" w14:textId="77777777" w:rsidTr="003048C0">
        <w:trPr>
          <w:cnfStyle w:val="100000000000" w:firstRow="1" w:lastRow="0" w:firstColumn="0" w:lastColumn="0" w:oddVBand="0" w:evenVBand="0" w:oddHBand="0" w:evenHBand="0" w:firstRowFirstColumn="0" w:firstRowLastColumn="0" w:lastRowFirstColumn="0" w:lastRowLastColumn="0"/>
          <w:cantSplit w:val="0"/>
        </w:trPr>
        <w:tc>
          <w:tcPr>
            <w:tcW w:w="4834" w:type="dxa"/>
            <w:vAlign w:val="top"/>
          </w:tcPr>
          <w:p w14:paraId="281C60EF" w14:textId="717E8382" w:rsidR="00EA6F5E" w:rsidRPr="007B6B2F" w:rsidRDefault="00EA6F5E" w:rsidP="00EA6F5E">
            <w:pPr>
              <w:ind w:left="652" w:hanging="368"/>
              <w:rPr>
                <w:lang w:eastAsia="zh-CN"/>
              </w:rPr>
            </w:pPr>
            <w:r>
              <w:rPr>
                <w:lang w:eastAsia="zh-CN"/>
              </w:rPr>
              <w:t>News source</w:t>
            </w:r>
          </w:p>
        </w:tc>
        <w:tc>
          <w:tcPr>
            <w:tcW w:w="4834" w:type="dxa"/>
            <w:vAlign w:val="top"/>
          </w:tcPr>
          <w:p w14:paraId="63BF874A" w14:textId="1D87F848" w:rsidR="00EA6F5E" w:rsidRPr="007B6B2F" w:rsidRDefault="00EA6F5E" w:rsidP="00EA6F5E">
            <w:pPr>
              <w:ind w:left="652" w:hanging="368"/>
              <w:rPr>
                <w:lang w:eastAsia="zh-CN"/>
              </w:rPr>
            </w:pPr>
            <w:r>
              <w:rPr>
                <w:lang w:eastAsia="zh-CN"/>
              </w:rPr>
              <w:t>Percentage of people who trust this source</w:t>
            </w:r>
          </w:p>
        </w:tc>
      </w:tr>
      <w:tr w:rsidR="00EA6F5E" w:rsidRPr="00CF7295" w14:paraId="670EFBE1" w14:textId="77777777" w:rsidTr="003048C0">
        <w:trPr>
          <w:cnfStyle w:val="000000100000" w:firstRow="0" w:lastRow="0" w:firstColumn="0" w:lastColumn="0" w:oddVBand="0" w:evenVBand="0" w:oddHBand="1" w:evenHBand="0" w:firstRowFirstColumn="0" w:firstRowLastColumn="0" w:lastRowFirstColumn="0" w:lastRowLastColumn="0"/>
        </w:trPr>
        <w:tc>
          <w:tcPr>
            <w:tcW w:w="4834" w:type="dxa"/>
            <w:vAlign w:val="top"/>
          </w:tcPr>
          <w:p w14:paraId="10790DF6" w14:textId="044CA4EC" w:rsidR="00EA6F5E" w:rsidRPr="00CF7295" w:rsidRDefault="00EA6F5E" w:rsidP="00EA6F5E">
            <w:r>
              <w:rPr>
                <w:lang w:eastAsia="zh-CN"/>
              </w:rPr>
              <w:t>TV news</w:t>
            </w:r>
          </w:p>
        </w:tc>
        <w:tc>
          <w:tcPr>
            <w:tcW w:w="4834" w:type="dxa"/>
            <w:vAlign w:val="top"/>
          </w:tcPr>
          <w:p w14:paraId="0F194979" w14:textId="0B5F9F25" w:rsidR="00EA6F5E" w:rsidRPr="00CF7295" w:rsidRDefault="00EA6F5E" w:rsidP="00EA6F5E">
            <w:r>
              <w:rPr>
                <w:lang w:eastAsia="zh-CN"/>
              </w:rPr>
              <w:t>61%</w:t>
            </w:r>
          </w:p>
        </w:tc>
      </w:tr>
      <w:tr w:rsidR="00EA6F5E" w:rsidRPr="00CF7295" w14:paraId="42720C46" w14:textId="77777777" w:rsidTr="003048C0">
        <w:trPr>
          <w:cnfStyle w:val="000000010000" w:firstRow="0" w:lastRow="0" w:firstColumn="0" w:lastColumn="0" w:oddVBand="0" w:evenVBand="0" w:oddHBand="0" w:evenHBand="1" w:firstRowFirstColumn="0" w:firstRowLastColumn="0" w:lastRowFirstColumn="0" w:lastRowLastColumn="0"/>
        </w:trPr>
        <w:tc>
          <w:tcPr>
            <w:tcW w:w="4834" w:type="dxa"/>
            <w:vAlign w:val="top"/>
          </w:tcPr>
          <w:p w14:paraId="3A9464BA" w14:textId="2C4DAC4D" w:rsidR="00EA6F5E" w:rsidRDefault="00EA6F5E" w:rsidP="00EA6F5E">
            <w:pPr>
              <w:rPr>
                <w:lang w:eastAsia="zh-CN"/>
              </w:rPr>
            </w:pPr>
            <w:r>
              <w:rPr>
                <w:lang w:eastAsia="zh-CN"/>
              </w:rPr>
              <w:t>Internet searches</w:t>
            </w:r>
          </w:p>
        </w:tc>
        <w:tc>
          <w:tcPr>
            <w:tcW w:w="4834" w:type="dxa"/>
            <w:vAlign w:val="top"/>
          </w:tcPr>
          <w:p w14:paraId="69E8FDBF" w14:textId="3AD7DBC4" w:rsidR="00EA6F5E" w:rsidRDefault="00EA6F5E" w:rsidP="00EA6F5E">
            <w:pPr>
              <w:rPr>
                <w:lang w:eastAsia="zh-CN"/>
              </w:rPr>
            </w:pPr>
            <w:r>
              <w:rPr>
                <w:lang w:eastAsia="zh-CN"/>
              </w:rPr>
              <w:t>51%</w:t>
            </w:r>
          </w:p>
        </w:tc>
      </w:tr>
      <w:tr w:rsidR="00EA6F5E" w:rsidRPr="00CF7295" w14:paraId="00A416D1" w14:textId="77777777" w:rsidTr="003048C0">
        <w:trPr>
          <w:cnfStyle w:val="000000100000" w:firstRow="0" w:lastRow="0" w:firstColumn="0" w:lastColumn="0" w:oddVBand="0" w:evenVBand="0" w:oddHBand="1" w:evenHBand="0" w:firstRowFirstColumn="0" w:firstRowLastColumn="0" w:lastRowFirstColumn="0" w:lastRowLastColumn="0"/>
        </w:trPr>
        <w:tc>
          <w:tcPr>
            <w:tcW w:w="4834" w:type="dxa"/>
            <w:vAlign w:val="top"/>
          </w:tcPr>
          <w:p w14:paraId="0960CB9F" w14:textId="320BFD69" w:rsidR="00EA6F5E" w:rsidRDefault="00EA6F5E" w:rsidP="00EA6F5E">
            <w:pPr>
              <w:rPr>
                <w:lang w:eastAsia="zh-CN"/>
              </w:rPr>
            </w:pPr>
            <w:r>
              <w:rPr>
                <w:lang w:eastAsia="zh-CN"/>
              </w:rPr>
              <w:t>Social media posts by friends</w:t>
            </w:r>
          </w:p>
        </w:tc>
        <w:tc>
          <w:tcPr>
            <w:tcW w:w="4834" w:type="dxa"/>
            <w:vAlign w:val="top"/>
          </w:tcPr>
          <w:p w14:paraId="61705B38" w14:textId="11056271" w:rsidR="00EA6F5E" w:rsidRDefault="00EA6F5E" w:rsidP="00EA6F5E">
            <w:pPr>
              <w:rPr>
                <w:lang w:eastAsia="zh-CN"/>
              </w:rPr>
            </w:pPr>
            <w:r>
              <w:rPr>
                <w:lang w:eastAsia="zh-CN"/>
              </w:rPr>
              <w:t>32%</w:t>
            </w:r>
          </w:p>
        </w:tc>
      </w:tr>
      <w:tr w:rsidR="00EA6F5E" w:rsidRPr="00CF7295" w14:paraId="70CE9002" w14:textId="77777777" w:rsidTr="003048C0">
        <w:trPr>
          <w:cnfStyle w:val="000000010000" w:firstRow="0" w:lastRow="0" w:firstColumn="0" w:lastColumn="0" w:oddVBand="0" w:evenVBand="0" w:oddHBand="0" w:evenHBand="1" w:firstRowFirstColumn="0" w:firstRowLastColumn="0" w:lastRowFirstColumn="0" w:lastRowLastColumn="0"/>
        </w:trPr>
        <w:tc>
          <w:tcPr>
            <w:tcW w:w="4834" w:type="dxa"/>
            <w:vAlign w:val="top"/>
          </w:tcPr>
          <w:p w14:paraId="2D3C9406" w14:textId="3F7797FC" w:rsidR="00EA6F5E" w:rsidRDefault="00EA6F5E" w:rsidP="00EA6F5E">
            <w:pPr>
              <w:rPr>
                <w:lang w:eastAsia="zh-CN"/>
              </w:rPr>
            </w:pPr>
            <w:r>
              <w:rPr>
                <w:lang w:eastAsia="zh-CN"/>
              </w:rPr>
              <w:t>Social media posts by others</w:t>
            </w:r>
          </w:p>
        </w:tc>
        <w:tc>
          <w:tcPr>
            <w:tcW w:w="4834" w:type="dxa"/>
            <w:vAlign w:val="top"/>
          </w:tcPr>
          <w:p w14:paraId="08078718" w14:textId="6A0E70BE" w:rsidR="00EA6F5E" w:rsidRDefault="00EA6F5E" w:rsidP="00EA6F5E">
            <w:pPr>
              <w:rPr>
                <w:lang w:eastAsia="zh-CN"/>
              </w:rPr>
            </w:pPr>
            <w:r>
              <w:rPr>
                <w:lang w:eastAsia="zh-CN"/>
              </w:rPr>
              <w:t>20%</w:t>
            </w:r>
          </w:p>
        </w:tc>
      </w:tr>
    </w:tbl>
    <w:p w14:paraId="4ABF1258" w14:textId="77777777" w:rsidR="001D15EB" w:rsidRDefault="001D15EB" w:rsidP="001D15EB">
      <w:pPr>
        <w:rPr>
          <w:lang w:eastAsia="zh-CN"/>
        </w:rPr>
      </w:pPr>
      <w:r>
        <w:rPr>
          <w:lang w:eastAsia="zh-CN"/>
        </w:rPr>
        <w:t>Those born overseas trust online information slightly more (54%) than those born in Australia (51%). Despite trusting these sources, young people still checked the information from:</w:t>
      </w:r>
    </w:p>
    <w:p w14:paraId="1F2F83DA" w14:textId="2F0B0A67" w:rsidR="001D15EB" w:rsidRDefault="003836FD" w:rsidP="001D15EB">
      <w:pPr>
        <w:pStyle w:val="ListBullet"/>
        <w:numPr>
          <w:ilvl w:val="0"/>
          <w:numId w:val="1"/>
        </w:numPr>
        <w:rPr>
          <w:lang w:eastAsia="zh-CN"/>
        </w:rPr>
      </w:pPr>
      <w:r>
        <w:rPr>
          <w:lang w:eastAsia="zh-CN"/>
        </w:rPr>
        <w:t>l</w:t>
      </w:r>
      <w:r w:rsidR="001D15EB">
        <w:rPr>
          <w:lang w:eastAsia="zh-CN"/>
        </w:rPr>
        <w:t>ive streamed TV (31%)</w:t>
      </w:r>
    </w:p>
    <w:p w14:paraId="7CE1F96A" w14:textId="6832E382" w:rsidR="001D15EB" w:rsidRDefault="003836FD" w:rsidP="001D15EB">
      <w:pPr>
        <w:pStyle w:val="ListBullet"/>
        <w:numPr>
          <w:ilvl w:val="0"/>
          <w:numId w:val="1"/>
        </w:numPr>
        <w:rPr>
          <w:lang w:eastAsia="zh-CN"/>
        </w:rPr>
      </w:pPr>
      <w:r>
        <w:rPr>
          <w:lang w:eastAsia="zh-CN"/>
        </w:rPr>
        <w:t>i</w:t>
      </w:r>
      <w:r w:rsidR="001D15EB">
        <w:rPr>
          <w:lang w:eastAsia="zh-CN"/>
        </w:rPr>
        <w:t>nternet searches (24%)</w:t>
      </w:r>
    </w:p>
    <w:p w14:paraId="042A52B2" w14:textId="3E4833CE" w:rsidR="001D15EB" w:rsidRDefault="003836FD" w:rsidP="001D15EB">
      <w:pPr>
        <w:pStyle w:val="ListBullet"/>
        <w:numPr>
          <w:ilvl w:val="0"/>
          <w:numId w:val="1"/>
        </w:numPr>
        <w:rPr>
          <w:lang w:eastAsia="zh-CN"/>
        </w:rPr>
      </w:pPr>
      <w:r>
        <w:rPr>
          <w:lang w:eastAsia="zh-CN"/>
        </w:rPr>
        <w:t>s</w:t>
      </w:r>
      <w:r w:rsidR="001D15EB">
        <w:rPr>
          <w:lang w:eastAsia="zh-CN"/>
        </w:rPr>
        <w:t>ocial media posts by friends (20%)</w:t>
      </w:r>
    </w:p>
    <w:p w14:paraId="0031121A" w14:textId="467594FD" w:rsidR="001D15EB" w:rsidRPr="003836FD" w:rsidRDefault="003836FD" w:rsidP="003836FD">
      <w:pPr>
        <w:pStyle w:val="ListBullet"/>
        <w:numPr>
          <w:ilvl w:val="0"/>
          <w:numId w:val="1"/>
        </w:numPr>
        <w:rPr>
          <w:lang w:eastAsia="zh-CN"/>
        </w:rPr>
      </w:pPr>
      <w:r>
        <w:rPr>
          <w:lang w:eastAsia="zh-CN"/>
        </w:rPr>
        <w:t>s</w:t>
      </w:r>
      <w:r w:rsidR="001D15EB">
        <w:rPr>
          <w:lang w:eastAsia="zh-CN"/>
        </w:rPr>
        <w:t>ocial media posts by others (12%)</w:t>
      </w:r>
    </w:p>
    <w:p w14:paraId="35D7C690" w14:textId="51033574" w:rsidR="001D15EB" w:rsidRDefault="001D15EB" w:rsidP="001D15EB">
      <w:pPr>
        <w:pStyle w:val="Heading3"/>
      </w:pPr>
      <w:r w:rsidRPr="00454F35">
        <w:t>For information on overseas conflicts</w:t>
      </w:r>
    </w:p>
    <w:p w14:paraId="4E56497F" w14:textId="0D06E9A6" w:rsidR="0008432F" w:rsidRDefault="0008432F" w:rsidP="0008432F">
      <w:pPr>
        <w:pStyle w:val="Caption"/>
      </w:pPr>
      <w:r>
        <w:t xml:space="preserve">Table </w:t>
      </w:r>
      <w:r>
        <w:fldChar w:fldCharType="begin"/>
      </w:r>
      <w:r>
        <w:instrText xml:space="preserve"> SEQ Table \* ARABIC </w:instrText>
      </w:r>
      <w:r>
        <w:fldChar w:fldCharType="separate"/>
      </w:r>
      <w:r>
        <w:rPr>
          <w:noProof/>
        </w:rPr>
        <w:t>6</w:t>
      </w:r>
      <w:r>
        <w:fldChar w:fldCharType="end"/>
      </w:r>
      <w:r>
        <w:t xml:space="preserve">: </w:t>
      </w:r>
      <w:r w:rsidRPr="004D2087">
        <w:t>Where young people source their information on overseas conflicts</w:t>
      </w:r>
    </w:p>
    <w:tbl>
      <w:tblPr>
        <w:tblStyle w:val="Tableheader"/>
        <w:tblW w:w="9668" w:type="dxa"/>
        <w:tblInd w:w="-60" w:type="dxa"/>
        <w:tblLook w:val="0420" w:firstRow="1" w:lastRow="0" w:firstColumn="0" w:lastColumn="0" w:noHBand="0" w:noVBand="1"/>
        <w:tblDescription w:val="More students source information on overseas conflicts from TV news and online than from people they know."/>
      </w:tblPr>
      <w:tblGrid>
        <w:gridCol w:w="4834"/>
        <w:gridCol w:w="4834"/>
      </w:tblGrid>
      <w:tr w:rsidR="00EA6F5E" w:rsidRPr="007B6B2F" w14:paraId="682C5BED" w14:textId="77777777" w:rsidTr="003048C0">
        <w:trPr>
          <w:cnfStyle w:val="100000000000" w:firstRow="1" w:lastRow="0" w:firstColumn="0" w:lastColumn="0" w:oddVBand="0" w:evenVBand="0" w:oddHBand="0" w:evenHBand="0" w:firstRowFirstColumn="0" w:firstRowLastColumn="0" w:lastRowFirstColumn="0" w:lastRowLastColumn="0"/>
          <w:cantSplit w:val="0"/>
        </w:trPr>
        <w:tc>
          <w:tcPr>
            <w:tcW w:w="4834" w:type="dxa"/>
            <w:vAlign w:val="top"/>
          </w:tcPr>
          <w:p w14:paraId="4C14E33F" w14:textId="2EE60825" w:rsidR="00EA6F5E" w:rsidRPr="007B6B2F" w:rsidRDefault="00EA6F5E" w:rsidP="00EA6F5E">
            <w:pPr>
              <w:ind w:left="652" w:hanging="368"/>
              <w:rPr>
                <w:lang w:eastAsia="zh-CN"/>
              </w:rPr>
            </w:pPr>
            <w:r>
              <w:rPr>
                <w:lang w:eastAsia="zh-CN"/>
              </w:rPr>
              <w:t>Information source</w:t>
            </w:r>
          </w:p>
        </w:tc>
        <w:tc>
          <w:tcPr>
            <w:tcW w:w="4834" w:type="dxa"/>
            <w:vAlign w:val="top"/>
          </w:tcPr>
          <w:p w14:paraId="585ED50E" w14:textId="49D334DB" w:rsidR="00EA6F5E" w:rsidRPr="007B6B2F" w:rsidRDefault="00EA6F5E" w:rsidP="00EA6F5E">
            <w:pPr>
              <w:ind w:left="652" w:hanging="368"/>
              <w:rPr>
                <w:lang w:eastAsia="zh-CN"/>
              </w:rPr>
            </w:pPr>
            <w:r>
              <w:rPr>
                <w:lang w:eastAsia="zh-CN"/>
              </w:rPr>
              <w:t>Percentage of people who use this source</w:t>
            </w:r>
          </w:p>
        </w:tc>
      </w:tr>
      <w:tr w:rsidR="00EA6F5E" w:rsidRPr="00CF7295" w14:paraId="68020D54" w14:textId="77777777" w:rsidTr="003048C0">
        <w:trPr>
          <w:cnfStyle w:val="000000100000" w:firstRow="0" w:lastRow="0" w:firstColumn="0" w:lastColumn="0" w:oddVBand="0" w:evenVBand="0" w:oddHBand="1" w:evenHBand="0" w:firstRowFirstColumn="0" w:firstRowLastColumn="0" w:lastRowFirstColumn="0" w:lastRowLastColumn="0"/>
        </w:trPr>
        <w:tc>
          <w:tcPr>
            <w:tcW w:w="4834" w:type="dxa"/>
            <w:vAlign w:val="top"/>
          </w:tcPr>
          <w:p w14:paraId="17FB5AE7" w14:textId="469F7EFD" w:rsidR="00EA6F5E" w:rsidRPr="00CF7295" w:rsidRDefault="00EA6F5E" w:rsidP="00EA6F5E">
            <w:r>
              <w:rPr>
                <w:lang w:eastAsia="zh-CN"/>
              </w:rPr>
              <w:t>TV (news)</w:t>
            </w:r>
          </w:p>
        </w:tc>
        <w:tc>
          <w:tcPr>
            <w:tcW w:w="4834" w:type="dxa"/>
            <w:vAlign w:val="top"/>
          </w:tcPr>
          <w:p w14:paraId="20DB13CE" w14:textId="6FD78A0C" w:rsidR="00EA6F5E" w:rsidRPr="00CF7295" w:rsidRDefault="00EA6F5E" w:rsidP="00EA6F5E">
            <w:r>
              <w:rPr>
                <w:lang w:eastAsia="zh-CN"/>
              </w:rPr>
              <w:t>80%</w:t>
            </w:r>
          </w:p>
        </w:tc>
      </w:tr>
      <w:tr w:rsidR="00EA6F5E" w:rsidRPr="00CF7295" w14:paraId="6B95FA8A" w14:textId="77777777" w:rsidTr="003048C0">
        <w:trPr>
          <w:cnfStyle w:val="000000010000" w:firstRow="0" w:lastRow="0" w:firstColumn="0" w:lastColumn="0" w:oddVBand="0" w:evenVBand="0" w:oddHBand="0" w:evenHBand="1" w:firstRowFirstColumn="0" w:firstRowLastColumn="0" w:lastRowFirstColumn="0" w:lastRowLastColumn="0"/>
        </w:trPr>
        <w:tc>
          <w:tcPr>
            <w:tcW w:w="4834" w:type="dxa"/>
            <w:vAlign w:val="top"/>
          </w:tcPr>
          <w:p w14:paraId="39C127DD" w14:textId="73B97D1C" w:rsidR="00EA6F5E" w:rsidRDefault="00EA6F5E" w:rsidP="00EA6F5E">
            <w:pPr>
              <w:rPr>
                <w:lang w:eastAsia="zh-CN"/>
              </w:rPr>
            </w:pPr>
            <w:r>
              <w:rPr>
                <w:lang w:eastAsia="zh-CN"/>
              </w:rPr>
              <w:t>Online (including social media)</w:t>
            </w:r>
          </w:p>
        </w:tc>
        <w:tc>
          <w:tcPr>
            <w:tcW w:w="4834" w:type="dxa"/>
            <w:vAlign w:val="top"/>
          </w:tcPr>
          <w:p w14:paraId="42230B39" w14:textId="2E019A7A" w:rsidR="00EA6F5E" w:rsidRDefault="00EA6F5E" w:rsidP="00EA6F5E">
            <w:pPr>
              <w:rPr>
                <w:lang w:eastAsia="zh-CN"/>
              </w:rPr>
            </w:pPr>
            <w:r>
              <w:rPr>
                <w:lang w:eastAsia="zh-CN"/>
              </w:rPr>
              <w:t>65%</w:t>
            </w:r>
          </w:p>
        </w:tc>
      </w:tr>
      <w:tr w:rsidR="00EA6F5E" w:rsidRPr="00CF7295" w14:paraId="185782A5" w14:textId="77777777" w:rsidTr="003048C0">
        <w:trPr>
          <w:cnfStyle w:val="000000100000" w:firstRow="0" w:lastRow="0" w:firstColumn="0" w:lastColumn="0" w:oddVBand="0" w:evenVBand="0" w:oddHBand="1" w:evenHBand="0" w:firstRowFirstColumn="0" w:firstRowLastColumn="0" w:lastRowFirstColumn="0" w:lastRowLastColumn="0"/>
        </w:trPr>
        <w:tc>
          <w:tcPr>
            <w:tcW w:w="4834" w:type="dxa"/>
            <w:vAlign w:val="top"/>
          </w:tcPr>
          <w:p w14:paraId="4009015F" w14:textId="703BC59D" w:rsidR="00EA6F5E" w:rsidRDefault="00EA6F5E" w:rsidP="00EA6F5E">
            <w:pPr>
              <w:rPr>
                <w:lang w:eastAsia="zh-CN"/>
              </w:rPr>
            </w:pPr>
            <w:r>
              <w:rPr>
                <w:lang w:eastAsia="zh-CN"/>
              </w:rPr>
              <w:t>Family</w:t>
            </w:r>
          </w:p>
        </w:tc>
        <w:tc>
          <w:tcPr>
            <w:tcW w:w="4834" w:type="dxa"/>
            <w:vAlign w:val="top"/>
          </w:tcPr>
          <w:p w14:paraId="348675AD" w14:textId="4019086E" w:rsidR="00EA6F5E" w:rsidRDefault="00EA6F5E" w:rsidP="00EA6F5E">
            <w:pPr>
              <w:rPr>
                <w:lang w:eastAsia="zh-CN"/>
              </w:rPr>
            </w:pPr>
            <w:r>
              <w:rPr>
                <w:lang w:eastAsia="zh-CN"/>
              </w:rPr>
              <w:t>53%</w:t>
            </w:r>
          </w:p>
        </w:tc>
      </w:tr>
      <w:tr w:rsidR="00EA6F5E" w:rsidRPr="00CF7295" w14:paraId="118B943F" w14:textId="77777777" w:rsidTr="003048C0">
        <w:trPr>
          <w:cnfStyle w:val="000000010000" w:firstRow="0" w:lastRow="0" w:firstColumn="0" w:lastColumn="0" w:oddVBand="0" w:evenVBand="0" w:oddHBand="0" w:evenHBand="1" w:firstRowFirstColumn="0" w:firstRowLastColumn="0" w:lastRowFirstColumn="0" w:lastRowLastColumn="0"/>
        </w:trPr>
        <w:tc>
          <w:tcPr>
            <w:tcW w:w="4834" w:type="dxa"/>
            <w:vAlign w:val="top"/>
          </w:tcPr>
          <w:p w14:paraId="6C910C37" w14:textId="32C2EE22" w:rsidR="00EA6F5E" w:rsidRDefault="00EA6F5E" w:rsidP="00EA6F5E">
            <w:pPr>
              <w:rPr>
                <w:lang w:eastAsia="zh-CN"/>
              </w:rPr>
            </w:pPr>
            <w:r>
              <w:rPr>
                <w:lang w:eastAsia="zh-CN"/>
              </w:rPr>
              <w:t>School</w:t>
            </w:r>
          </w:p>
        </w:tc>
        <w:tc>
          <w:tcPr>
            <w:tcW w:w="4834" w:type="dxa"/>
            <w:vAlign w:val="top"/>
          </w:tcPr>
          <w:p w14:paraId="138E95B1" w14:textId="7B365F7F" w:rsidR="00EA6F5E" w:rsidRDefault="00EA6F5E" w:rsidP="00EA6F5E">
            <w:pPr>
              <w:rPr>
                <w:lang w:eastAsia="zh-CN"/>
              </w:rPr>
            </w:pPr>
            <w:r>
              <w:rPr>
                <w:lang w:eastAsia="zh-CN"/>
              </w:rPr>
              <w:t>49%</w:t>
            </w:r>
          </w:p>
        </w:tc>
      </w:tr>
      <w:tr w:rsidR="00EA6F5E" w:rsidRPr="00CF7295" w14:paraId="4E09D9BB" w14:textId="77777777" w:rsidTr="003048C0">
        <w:trPr>
          <w:cnfStyle w:val="000000100000" w:firstRow="0" w:lastRow="0" w:firstColumn="0" w:lastColumn="0" w:oddVBand="0" w:evenVBand="0" w:oddHBand="1" w:evenHBand="0" w:firstRowFirstColumn="0" w:firstRowLastColumn="0" w:lastRowFirstColumn="0" w:lastRowLastColumn="0"/>
        </w:trPr>
        <w:tc>
          <w:tcPr>
            <w:tcW w:w="4834" w:type="dxa"/>
            <w:vAlign w:val="top"/>
          </w:tcPr>
          <w:p w14:paraId="4C17FF76" w14:textId="6AF2B0CD" w:rsidR="00EA6F5E" w:rsidRDefault="00EA6F5E" w:rsidP="00EA6F5E">
            <w:pPr>
              <w:rPr>
                <w:lang w:eastAsia="zh-CN"/>
              </w:rPr>
            </w:pPr>
            <w:r>
              <w:rPr>
                <w:lang w:eastAsia="zh-CN"/>
              </w:rPr>
              <w:t>Friends</w:t>
            </w:r>
          </w:p>
        </w:tc>
        <w:tc>
          <w:tcPr>
            <w:tcW w:w="4834" w:type="dxa"/>
            <w:vAlign w:val="top"/>
          </w:tcPr>
          <w:p w14:paraId="4FB03BD1" w14:textId="7B758874" w:rsidR="00EA6F5E" w:rsidRDefault="00EA6F5E" w:rsidP="00EA6F5E">
            <w:pPr>
              <w:rPr>
                <w:lang w:eastAsia="zh-CN"/>
              </w:rPr>
            </w:pPr>
            <w:r>
              <w:rPr>
                <w:lang w:eastAsia="zh-CN"/>
              </w:rPr>
              <w:t>33%</w:t>
            </w:r>
          </w:p>
        </w:tc>
      </w:tr>
    </w:tbl>
    <w:p w14:paraId="27479881" w14:textId="600453D9" w:rsidR="001D15EB" w:rsidRDefault="003836FD" w:rsidP="001D15EB">
      <w:r>
        <w:t>Older youth – 17 year olds</w:t>
      </w:r>
      <w:r w:rsidR="001D15EB">
        <w:t xml:space="preserve"> are more likely to seek information about overseas conflicts online (81%) compared to 12 year olds (44%).</w:t>
      </w:r>
    </w:p>
    <w:p w14:paraId="60002F56" w14:textId="42E7C03F" w:rsidR="0008432F" w:rsidRDefault="0008432F" w:rsidP="0008432F">
      <w:pPr>
        <w:pStyle w:val="Caption"/>
      </w:pPr>
      <w:r>
        <w:lastRenderedPageBreak/>
        <w:t xml:space="preserve">Table </w:t>
      </w:r>
      <w:r>
        <w:fldChar w:fldCharType="begin"/>
      </w:r>
      <w:r>
        <w:instrText xml:space="preserve"> SEQ Table \* ARABIC </w:instrText>
      </w:r>
      <w:r>
        <w:fldChar w:fldCharType="separate"/>
      </w:r>
      <w:r>
        <w:rPr>
          <w:noProof/>
        </w:rPr>
        <w:t>7</w:t>
      </w:r>
      <w:r>
        <w:fldChar w:fldCharType="end"/>
      </w:r>
      <w:r>
        <w:t xml:space="preserve">: </w:t>
      </w:r>
      <w:r w:rsidRPr="004B270A">
        <w:t>Most trusted sources of information in relation to overseas conflicts</w:t>
      </w:r>
    </w:p>
    <w:tbl>
      <w:tblPr>
        <w:tblStyle w:val="Tableheader"/>
        <w:tblW w:w="9668" w:type="dxa"/>
        <w:tblInd w:w="-60" w:type="dxa"/>
        <w:tblLook w:val="0420" w:firstRow="1" w:lastRow="0" w:firstColumn="0" w:lastColumn="0" w:noHBand="0" w:noVBand="1"/>
        <w:tblDescription w:val="TV news is the most trusted source of information about overseas conflicts."/>
      </w:tblPr>
      <w:tblGrid>
        <w:gridCol w:w="4834"/>
        <w:gridCol w:w="4834"/>
      </w:tblGrid>
      <w:tr w:rsidR="00EA6F5E" w:rsidRPr="007B6B2F" w14:paraId="2DFDF946" w14:textId="77777777" w:rsidTr="003048C0">
        <w:trPr>
          <w:cnfStyle w:val="100000000000" w:firstRow="1" w:lastRow="0" w:firstColumn="0" w:lastColumn="0" w:oddVBand="0" w:evenVBand="0" w:oddHBand="0" w:evenHBand="0" w:firstRowFirstColumn="0" w:firstRowLastColumn="0" w:lastRowFirstColumn="0" w:lastRowLastColumn="0"/>
          <w:cantSplit w:val="0"/>
        </w:trPr>
        <w:tc>
          <w:tcPr>
            <w:tcW w:w="4834" w:type="dxa"/>
            <w:vAlign w:val="top"/>
          </w:tcPr>
          <w:p w14:paraId="4E1E5321" w14:textId="126AFBF6" w:rsidR="00EA6F5E" w:rsidRPr="007B6B2F" w:rsidRDefault="00EA6F5E" w:rsidP="00EA6F5E">
            <w:pPr>
              <w:ind w:left="652" w:hanging="368"/>
              <w:rPr>
                <w:lang w:eastAsia="zh-CN"/>
              </w:rPr>
            </w:pPr>
            <w:r>
              <w:rPr>
                <w:lang w:eastAsia="zh-CN"/>
              </w:rPr>
              <w:t>Information source</w:t>
            </w:r>
          </w:p>
        </w:tc>
        <w:tc>
          <w:tcPr>
            <w:tcW w:w="4834" w:type="dxa"/>
            <w:vAlign w:val="top"/>
          </w:tcPr>
          <w:p w14:paraId="7C680867" w14:textId="2D50C670" w:rsidR="00EA6F5E" w:rsidRPr="007B6B2F" w:rsidRDefault="00EA6F5E" w:rsidP="00EA6F5E">
            <w:pPr>
              <w:ind w:left="652" w:hanging="368"/>
              <w:rPr>
                <w:lang w:eastAsia="zh-CN"/>
              </w:rPr>
            </w:pPr>
            <w:r>
              <w:rPr>
                <w:lang w:eastAsia="zh-CN"/>
              </w:rPr>
              <w:t>Percentage of people who use this source</w:t>
            </w:r>
          </w:p>
        </w:tc>
      </w:tr>
      <w:tr w:rsidR="00EA6F5E" w:rsidRPr="00CF7295" w14:paraId="341BB3D6" w14:textId="77777777" w:rsidTr="003048C0">
        <w:trPr>
          <w:cnfStyle w:val="000000100000" w:firstRow="0" w:lastRow="0" w:firstColumn="0" w:lastColumn="0" w:oddVBand="0" w:evenVBand="0" w:oddHBand="1" w:evenHBand="0" w:firstRowFirstColumn="0" w:firstRowLastColumn="0" w:lastRowFirstColumn="0" w:lastRowLastColumn="0"/>
        </w:trPr>
        <w:tc>
          <w:tcPr>
            <w:tcW w:w="4834" w:type="dxa"/>
            <w:vAlign w:val="top"/>
          </w:tcPr>
          <w:p w14:paraId="79E3F7D3" w14:textId="0ED987C3" w:rsidR="00EA6F5E" w:rsidRPr="00CF7295" w:rsidRDefault="00EA6F5E" w:rsidP="00EA6F5E">
            <w:r>
              <w:rPr>
                <w:lang w:eastAsia="zh-CN"/>
              </w:rPr>
              <w:t>TV (news)</w:t>
            </w:r>
          </w:p>
        </w:tc>
        <w:tc>
          <w:tcPr>
            <w:tcW w:w="4834" w:type="dxa"/>
            <w:vAlign w:val="top"/>
          </w:tcPr>
          <w:p w14:paraId="39A758BB" w14:textId="4A3A0BD8" w:rsidR="00EA6F5E" w:rsidRPr="00CF7295" w:rsidRDefault="00EA6F5E" w:rsidP="00EA6F5E">
            <w:r>
              <w:rPr>
                <w:lang w:eastAsia="zh-CN"/>
              </w:rPr>
              <w:t>44%</w:t>
            </w:r>
          </w:p>
        </w:tc>
      </w:tr>
      <w:tr w:rsidR="00EA6F5E" w:rsidRPr="00CF7295" w14:paraId="5EC0097D" w14:textId="77777777" w:rsidTr="003048C0">
        <w:trPr>
          <w:cnfStyle w:val="000000010000" w:firstRow="0" w:lastRow="0" w:firstColumn="0" w:lastColumn="0" w:oddVBand="0" w:evenVBand="0" w:oddHBand="0" w:evenHBand="1" w:firstRowFirstColumn="0" w:firstRowLastColumn="0" w:lastRowFirstColumn="0" w:lastRowLastColumn="0"/>
        </w:trPr>
        <w:tc>
          <w:tcPr>
            <w:tcW w:w="4834" w:type="dxa"/>
            <w:vAlign w:val="top"/>
          </w:tcPr>
          <w:p w14:paraId="4E27035B" w14:textId="0838E1BF" w:rsidR="00EA6F5E" w:rsidRDefault="00EA6F5E" w:rsidP="00EA6F5E">
            <w:pPr>
              <w:rPr>
                <w:lang w:eastAsia="zh-CN"/>
              </w:rPr>
            </w:pPr>
            <w:r>
              <w:rPr>
                <w:lang w:eastAsia="zh-CN"/>
              </w:rPr>
              <w:t>Online (including social media)</w:t>
            </w:r>
          </w:p>
        </w:tc>
        <w:tc>
          <w:tcPr>
            <w:tcW w:w="4834" w:type="dxa"/>
            <w:vAlign w:val="top"/>
          </w:tcPr>
          <w:p w14:paraId="49B8A97A" w14:textId="09390DFE" w:rsidR="00EA6F5E" w:rsidRDefault="00EA6F5E" w:rsidP="00EA6F5E">
            <w:pPr>
              <w:rPr>
                <w:lang w:eastAsia="zh-CN"/>
              </w:rPr>
            </w:pPr>
            <w:r>
              <w:rPr>
                <w:lang w:eastAsia="zh-CN"/>
              </w:rPr>
              <w:t>15%</w:t>
            </w:r>
          </w:p>
        </w:tc>
      </w:tr>
      <w:tr w:rsidR="00EA6F5E" w:rsidRPr="00CF7295" w14:paraId="592E53B3" w14:textId="77777777" w:rsidTr="003048C0">
        <w:trPr>
          <w:cnfStyle w:val="000000100000" w:firstRow="0" w:lastRow="0" w:firstColumn="0" w:lastColumn="0" w:oddVBand="0" w:evenVBand="0" w:oddHBand="1" w:evenHBand="0" w:firstRowFirstColumn="0" w:firstRowLastColumn="0" w:lastRowFirstColumn="0" w:lastRowLastColumn="0"/>
        </w:trPr>
        <w:tc>
          <w:tcPr>
            <w:tcW w:w="4834" w:type="dxa"/>
            <w:vAlign w:val="top"/>
          </w:tcPr>
          <w:p w14:paraId="220F67F2" w14:textId="614DE253" w:rsidR="00EA6F5E" w:rsidRDefault="00EA6F5E" w:rsidP="00EA6F5E">
            <w:pPr>
              <w:rPr>
                <w:lang w:eastAsia="zh-CN"/>
              </w:rPr>
            </w:pPr>
            <w:r>
              <w:rPr>
                <w:lang w:eastAsia="zh-CN"/>
              </w:rPr>
              <w:t>Family</w:t>
            </w:r>
          </w:p>
        </w:tc>
        <w:tc>
          <w:tcPr>
            <w:tcW w:w="4834" w:type="dxa"/>
            <w:vAlign w:val="top"/>
          </w:tcPr>
          <w:p w14:paraId="441360F7" w14:textId="03F0845D" w:rsidR="00EA6F5E" w:rsidRDefault="00EA6F5E" w:rsidP="00EA6F5E">
            <w:pPr>
              <w:rPr>
                <w:lang w:eastAsia="zh-CN"/>
              </w:rPr>
            </w:pPr>
            <w:r>
              <w:rPr>
                <w:lang w:eastAsia="zh-CN"/>
              </w:rPr>
              <w:t>20%</w:t>
            </w:r>
          </w:p>
        </w:tc>
      </w:tr>
      <w:tr w:rsidR="00EA6F5E" w:rsidRPr="00CF7295" w14:paraId="31310514" w14:textId="77777777" w:rsidTr="003048C0">
        <w:trPr>
          <w:cnfStyle w:val="000000010000" w:firstRow="0" w:lastRow="0" w:firstColumn="0" w:lastColumn="0" w:oddVBand="0" w:evenVBand="0" w:oddHBand="0" w:evenHBand="1" w:firstRowFirstColumn="0" w:firstRowLastColumn="0" w:lastRowFirstColumn="0" w:lastRowLastColumn="0"/>
        </w:trPr>
        <w:tc>
          <w:tcPr>
            <w:tcW w:w="4834" w:type="dxa"/>
            <w:vAlign w:val="top"/>
          </w:tcPr>
          <w:p w14:paraId="2D8BF6BD" w14:textId="409C9AAB" w:rsidR="00EA6F5E" w:rsidRDefault="00EA6F5E" w:rsidP="00EA6F5E">
            <w:pPr>
              <w:rPr>
                <w:lang w:eastAsia="zh-CN"/>
              </w:rPr>
            </w:pPr>
            <w:r>
              <w:rPr>
                <w:lang w:eastAsia="zh-CN"/>
              </w:rPr>
              <w:t>Other</w:t>
            </w:r>
          </w:p>
        </w:tc>
        <w:tc>
          <w:tcPr>
            <w:tcW w:w="4834" w:type="dxa"/>
            <w:vAlign w:val="top"/>
          </w:tcPr>
          <w:p w14:paraId="6D856EC6" w14:textId="52E67A1F" w:rsidR="00EA6F5E" w:rsidRDefault="00EA6F5E" w:rsidP="00EA6F5E">
            <w:pPr>
              <w:rPr>
                <w:lang w:eastAsia="zh-CN"/>
              </w:rPr>
            </w:pPr>
            <w:r>
              <w:rPr>
                <w:lang w:eastAsia="zh-CN"/>
              </w:rPr>
              <w:t>21%</w:t>
            </w:r>
          </w:p>
        </w:tc>
      </w:tr>
    </w:tbl>
    <w:p w14:paraId="2BD174E6" w14:textId="3373FF16" w:rsidR="006B3160" w:rsidRPr="006B3160" w:rsidRDefault="001D15EB" w:rsidP="006B3160">
      <w:r w:rsidRPr="00A42915">
        <w:rPr>
          <w:b/>
          <w:sz w:val="20"/>
        </w:rPr>
        <w:t xml:space="preserve">Source: </w:t>
      </w:r>
      <w:r w:rsidRPr="00A42915">
        <w:rPr>
          <w:sz w:val="20"/>
        </w:rPr>
        <w:t xml:space="preserve">Office of the eSafety Commission, 2018, </w:t>
      </w:r>
      <w:hyperlink r:id="rId13" w:history="1">
        <w:r w:rsidRPr="00A42915">
          <w:rPr>
            <w:rStyle w:val="Hyperlink"/>
            <w:sz w:val="20"/>
          </w:rPr>
          <w:t>Research infographics</w:t>
        </w:r>
      </w:hyperlink>
      <w:r w:rsidRPr="00A42915">
        <w:rPr>
          <w:b/>
          <w:sz w:val="20"/>
        </w:rPr>
        <w:t>.</w:t>
      </w:r>
    </w:p>
    <w:sectPr w:rsidR="006B3160" w:rsidRPr="006B3160" w:rsidSect="001A7A7B">
      <w:headerReference w:type="even" r:id="rId14"/>
      <w:headerReference w:type="default" r:id="rId15"/>
      <w:footerReference w:type="even" r:id="rId16"/>
      <w:footerReference w:type="default" r:id="rId17"/>
      <w:headerReference w:type="first" r:id="rId18"/>
      <w:footerReference w:type="first" r:id="rId19"/>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1A7A7B" w:rsidRDefault="001A7A7B">
      <w:r>
        <w:separator/>
      </w:r>
    </w:p>
    <w:p w14:paraId="55D8D579" w14:textId="77777777" w:rsidR="001A7A7B" w:rsidRDefault="001A7A7B"/>
  </w:endnote>
  <w:endnote w:type="continuationSeparator" w:id="0">
    <w:p w14:paraId="788D5FF4" w14:textId="77777777" w:rsidR="001A7A7B" w:rsidRDefault="001A7A7B">
      <w:r>
        <w:continuationSeparator/>
      </w:r>
    </w:p>
    <w:p w14:paraId="62A71856" w14:textId="77777777" w:rsidR="001A7A7B" w:rsidRDefault="001A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705883A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614335">
      <w:rPr>
        <w:noProof/>
      </w:rPr>
      <w:t>6</w:t>
    </w:r>
    <w:r w:rsidRPr="002810D3">
      <w:fldChar w:fldCharType="end"/>
    </w:r>
    <w:r w:rsidRPr="002810D3">
      <w:tab/>
    </w:r>
    <w:r w:rsidR="00EA6F5E">
      <w:t xml:space="preserve">PDHPE- </w:t>
    </w:r>
    <w:r w:rsidR="00EA6F5E" w:rsidRPr="00EA6F5E">
      <w:t>Research snapshot activity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0569A939"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4296D">
      <w:rPr>
        <w:noProof/>
      </w:rPr>
      <w:t>Oct-20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614335">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1A7A7B" w:rsidRDefault="001A7A7B">
      <w:r>
        <w:separator/>
      </w:r>
    </w:p>
    <w:p w14:paraId="59DBF77C" w14:textId="77777777" w:rsidR="001A7A7B" w:rsidRDefault="001A7A7B"/>
  </w:footnote>
  <w:footnote w:type="continuationSeparator" w:id="0">
    <w:p w14:paraId="5E1D02B1" w14:textId="77777777" w:rsidR="001A7A7B" w:rsidRDefault="001A7A7B">
      <w:r>
        <w:continuationSeparator/>
      </w:r>
    </w:p>
    <w:p w14:paraId="19FD3471" w14:textId="77777777" w:rsidR="001A7A7B" w:rsidRDefault="001A7A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8BBC7" w14:textId="77777777" w:rsidR="00614335" w:rsidRDefault="00614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BD9BA" w14:textId="77777777" w:rsidR="00614335" w:rsidRDefault="00614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27C"/>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32F"/>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46D"/>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15EB"/>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48C0"/>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6FD"/>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4335"/>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160"/>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28"/>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6D"/>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0D6E"/>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6F5E"/>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E65CA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customStyle="1" w:styleId="Tableheader1">
    <w:name w:val="ŠTable header1"/>
    <w:basedOn w:val="TableNormal"/>
    <w:uiPriority w:val="99"/>
    <w:rsid w:val="001D15EB"/>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10365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nsw.gov.au/heal/Pages/spans-2015-full-report.aspx" TargetMode="External"/><Relationship Id="rId13" Type="http://schemas.openxmlformats.org/officeDocument/2006/relationships/hyperlink" Target="https://www.esafety.gov.au/about-the-office/research-librar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safety.gov.au/about-the-office/research-librar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nsw.gov.au/heal/Pages/spans-2015-full-report.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ealth.nsw.gov.au/heal/Pages/spans-2015-full-report.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health.nsw.gov.au/heal/Pages/spans-2015-full-report.aspx"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Com18</b:Tag>
    <b:SourceType>InternetSite</b:SourceType>
    <b:Guid>{962EB69C-0547-4A9F-8CEB-EBFC18DEDEAC}</b:Guid>
    <b:Author>
      <b:Author>
        <b:NameList>
          <b:Person>
            <b:Last>Commission</b:Last>
            <b:First>Office</b:First>
            <b:Middle>of the eSafety</b:Middle>
          </b:Person>
        </b:NameList>
      </b:Author>
    </b:Author>
    <b:Title>Research infographics</b:Title>
    <b:Year>2018</b:Year>
    <b:RefOrder>1</b:RefOrder>
  </b:Source>
</b:Sources>
</file>

<file path=customXml/itemProps1.xml><?xml version="1.0" encoding="utf-8"?>
<ds:datastoreItem xmlns:ds="http://schemas.openxmlformats.org/officeDocument/2006/customXml" ds:itemID="{256A89C2-6F25-45DB-A557-BE392274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2020-10-20T00:03:00Z</dcterms:created>
  <dcterms:modified xsi:type="dcterms:W3CDTF">2020-10-20T00:04:00Z</dcterms:modified>
  <cp:category/>
</cp:coreProperties>
</file>