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01" w:rsidRDefault="00F5497B" w:rsidP="00393D01">
      <w:pPr>
        <w:pStyle w:val="DoEheading12018"/>
      </w:pPr>
      <w:r>
        <w:rPr>
          <w:noProof/>
          <w:lang w:eastAsia="en-AU"/>
        </w:rPr>
        <w:drawing>
          <wp:inline distT="0" distB="0" distL="0" distR="0" wp14:anchorId="15DD5762" wp14:editId="676E0EC9">
            <wp:extent cx="1755652" cy="548641"/>
            <wp:effectExtent l="0" t="0" r="0" b="3810"/>
            <wp:docPr id="1" name="Picture 1" descr="NSW Government logo – Education Public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_Public-Schools_Logo_K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5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F4A">
        <w:t xml:space="preserve"> </w:t>
      </w:r>
      <w:r w:rsidR="00B73F4A" w:rsidRPr="00B73F4A">
        <w:t>Establish the meaning of k</w:t>
      </w:r>
    </w:p>
    <w:p w:rsidR="00B73F4A" w:rsidRDefault="00B73F4A" w:rsidP="00B73F4A">
      <w:pPr>
        <w:pStyle w:val="DoEbodytext2018"/>
        <w:rPr>
          <w:lang w:eastAsia="en-US"/>
        </w:rPr>
      </w:pPr>
      <w:r w:rsidRPr="00B73F4A">
        <w:rPr>
          <w:lang w:eastAsia="en-US"/>
        </w:rPr>
        <w:t>How does the exponential growth constant, k&gt;0, relate to a standard annualised percentage increase (compound growth) per time period?</w:t>
      </w:r>
    </w:p>
    <w:p w:rsidR="00B73F4A" w:rsidRDefault="00B73F4A" w:rsidP="00B73F4A">
      <w:pPr>
        <w:pStyle w:val="DoElist1bullet2018"/>
        <w:rPr>
          <w:lang w:eastAsia="en-US"/>
        </w:rPr>
      </w:pPr>
      <w:r w:rsidRPr="00B73F4A">
        <w:rPr>
          <w:lang w:eastAsia="en-US"/>
        </w:rPr>
        <w:t>Exponential model:</w:t>
      </w:r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N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t</m:t>
            </m:r>
          </m:e>
        </m:d>
        <m: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Ae</m:t>
            </m:r>
          </m:e>
          <m:sup>
            <m:r>
              <w:rPr>
                <w:rFonts w:ascii="Cambria Math" w:hAnsi="Cambria Math"/>
                <w:lang w:eastAsia="en-US"/>
              </w:rPr>
              <m:t>kt</m:t>
            </m:r>
          </m:sup>
        </m:sSup>
        <m:r>
          <w:rPr>
            <w:rFonts w:ascii="Cambria Math" w:hAnsi="Cambria Math"/>
            <w:lang w:eastAsia="en-US"/>
          </w:rPr>
          <m:t>=A(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)</m:t>
            </m:r>
          </m:e>
          <m:sup>
            <m:r>
              <w:rPr>
                <w:rFonts w:ascii="Cambria Math" w:hAnsi="Cambria Math"/>
                <w:lang w:eastAsia="en-US"/>
              </w:rPr>
              <m:t>t</m:t>
            </m:r>
          </m:sup>
        </m:sSup>
      </m:oMath>
    </w:p>
    <w:p w:rsidR="00B73F4A" w:rsidRDefault="00B73F4A" w:rsidP="00B73F4A">
      <w:pPr>
        <w:pStyle w:val="DoElist1bullet2018"/>
        <w:rPr>
          <w:lang w:eastAsia="en-US"/>
        </w:rPr>
      </w:pPr>
      <w:r w:rsidRPr="00B73F4A">
        <w:rPr>
          <w:lang w:eastAsia="en-US"/>
        </w:rPr>
        <w:t>Compound Interest Model:</w:t>
      </w:r>
      <m:oMath>
        <m:r>
          <w:rPr>
            <w:rFonts w:ascii="Cambria Math" w:hAnsi="Cambria Math"/>
            <w:lang w:eastAsia="en-US"/>
          </w:rPr>
          <m:t>N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t</m:t>
            </m:r>
          </m:e>
        </m:d>
        <m:r>
          <w:rPr>
            <w:rFonts w:ascii="Cambria Math" w:hAnsi="Cambria Math"/>
            <w:lang w:eastAsia="en-US"/>
          </w:rPr>
          <m:t>=A(1+r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)</m:t>
            </m:r>
          </m:e>
          <m:sup>
            <m:r>
              <w:rPr>
                <w:rFonts w:ascii="Cambria Math" w:hAnsi="Cambria Math"/>
                <w:lang w:eastAsia="en-US"/>
              </w:rPr>
              <m:t>t</m:t>
            </m:r>
          </m:sup>
        </m:sSup>
      </m:oMath>
    </w:p>
    <w:p w:rsidR="008410AB" w:rsidRDefault="008410AB" w:rsidP="008410AB">
      <w:pPr>
        <w:pStyle w:val="DoEbodytext2018"/>
        <w:rPr>
          <w:lang w:eastAsia="en-US"/>
        </w:rPr>
      </w:pPr>
      <w:r w:rsidRPr="008410AB">
        <w:rPr>
          <w:lang w:eastAsia="en-US"/>
        </w:rPr>
        <w:t>For the models to be equivalent</w:t>
      </w:r>
      <w:r>
        <w:rPr>
          <w:lang w:eastAsia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</m:t>
            </m:r>
          </m:sup>
        </m:sSup>
        <m:r>
          <w:rPr>
            <w:rFonts w:ascii="Cambria Math" w:hAnsi="Cambria Math"/>
            <w:lang w:eastAsia="en-US"/>
          </w:rPr>
          <m:t>=(1+r)</m:t>
        </m:r>
      </m:oMath>
    </w:p>
    <w:p w:rsidR="008410AB" w:rsidRPr="008410AB" w:rsidRDefault="008410AB" w:rsidP="008410AB">
      <w:pPr>
        <w:pStyle w:val="DoEbodytext2018"/>
      </w:pPr>
      <w:r w:rsidRPr="008410AB">
        <w:rPr>
          <w:lang w:eastAsia="en-US"/>
        </w:rPr>
        <w:t>Taking the natural log of both sides</w:t>
      </w:r>
      <w:r>
        <w:rPr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k=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ctrlPr>
              <w:rPr>
                <w:rFonts w:ascii="Cambria Math" w:hAnsi="Cambria Math"/>
                <w:i/>
                <w:lang w:eastAsia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1+r</m:t>
                </m:r>
              </m:e>
            </m:d>
          </m:e>
        </m:func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5"/>
      </w:tblGrid>
      <w:tr w:rsidR="008410AB" w:rsidTr="000B4FED">
        <w:trPr>
          <w:cantSplit/>
          <w:tblHeader/>
        </w:trPr>
        <w:tc>
          <w:tcPr>
            <w:tcW w:w="5324" w:type="dxa"/>
          </w:tcPr>
          <w:p w:rsidR="008410AB" w:rsidRDefault="008410AB" w:rsidP="008410A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Rate of compound growth</w:t>
            </w:r>
          </w:p>
        </w:tc>
        <w:tc>
          <w:tcPr>
            <w:tcW w:w="5325" w:type="dxa"/>
          </w:tcPr>
          <w:p w:rsidR="008410AB" w:rsidRDefault="008410AB" w:rsidP="008410A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Equivalent k value (3 d.p.)</w:t>
            </w:r>
          </w:p>
        </w:tc>
      </w:tr>
      <w:tr w:rsidR="008410AB" w:rsidTr="008410AB">
        <w:tc>
          <w:tcPr>
            <w:tcW w:w="5324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5325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1+0.1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=</m:t>
              </m:r>
            </m:oMath>
            <w:r w:rsidRPr="008410AB">
              <w:rPr>
                <w:lang w:eastAsia="en-US"/>
              </w:rPr>
              <w:t xml:space="preserve"> 0.095</w:t>
            </w:r>
          </w:p>
        </w:tc>
      </w:tr>
      <w:tr w:rsidR="008410AB" w:rsidTr="008410AB">
        <w:tc>
          <w:tcPr>
            <w:tcW w:w="5324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5325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1+0.2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0.182</w:t>
            </w:r>
          </w:p>
        </w:tc>
      </w:tr>
      <w:tr w:rsidR="008410AB" w:rsidTr="008410AB">
        <w:tc>
          <w:tcPr>
            <w:tcW w:w="5324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5325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1+0.3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=</m:t>
              </m:r>
            </m:oMath>
            <w:r w:rsidRPr="008410AB">
              <w:rPr>
                <w:lang w:eastAsia="en-US"/>
              </w:rPr>
              <w:t xml:space="preserve"> 0.262</w:t>
            </w:r>
          </w:p>
        </w:tc>
      </w:tr>
    </w:tbl>
    <w:p w:rsidR="008410AB" w:rsidRDefault="008410AB" w:rsidP="008410AB">
      <w:pPr>
        <w:pStyle w:val="DoEbodytext2018"/>
        <w:rPr>
          <w:lang w:eastAsia="en-US"/>
        </w:rPr>
      </w:pPr>
      <w:r w:rsidRPr="008410AB">
        <w:rPr>
          <w:lang w:eastAsia="en-US"/>
        </w:rPr>
        <w:t>Given a k value, what is the equivalent rate of compound growth per time period?</w:t>
      </w:r>
    </w:p>
    <w:p w:rsidR="008410AB" w:rsidRPr="008410AB" w:rsidRDefault="005E0632" w:rsidP="008410AB">
      <w:pPr>
        <w:pStyle w:val="DoEbodytext2018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k</m:t>
              </m:r>
            </m:sup>
          </m:sSup>
          <m:r>
            <w:rPr>
              <w:rFonts w:ascii="Cambria Math" w:hAnsi="Cambria Math"/>
              <w:lang w:eastAsia="en-US"/>
            </w:rPr>
            <m:t>=(1+r)</m:t>
          </m:r>
        </m:oMath>
      </m:oMathPara>
    </w:p>
    <w:p w:rsidR="008410AB" w:rsidRPr="008410AB" w:rsidRDefault="005E0632" w:rsidP="008410AB">
      <w:pPr>
        <w:pStyle w:val="DoEbodytext2018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k</m:t>
              </m:r>
            </m:sup>
          </m:sSup>
          <m:r>
            <w:rPr>
              <w:rFonts w:ascii="Cambria Math" w:hAnsi="Cambria Math"/>
              <w:lang w:eastAsia="en-US"/>
            </w:rPr>
            <m:t>-1=r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5"/>
      </w:tblGrid>
      <w:tr w:rsidR="008410AB" w:rsidTr="000B4FED">
        <w:trPr>
          <w:cantSplit/>
          <w:tblHeader/>
        </w:trPr>
        <w:tc>
          <w:tcPr>
            <w:tcW w:w="5324" w:type="dxa"/>
          </w:tcPr>
          <w:p w:rsidR="008410AB" w:rsidRDefault="008410AB" w:rsidP="008410A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k value</w:t>
            </w:r>
          </w:p>
        </w:tc>
        <w:tc>
          <w:tcPr>
            <w:tcW w:w="5325" w:type="dxa"/>
          </w:tcPr>
          <w:p w:rsidR="008410AB" w:rsidRDefault="008410AB" w:rsidP="008410AB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Rate of compound growth (4d.p.)</w:t>
            </w:r>
          </w:p>
        </w:tc>
      </w:tr>
      <w:tr w:rsidR="008410AB" w:rsidTr="008410AB">
        <w:tc>
          <w:tcPr>
            <w:tcW w:w="5324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325" w:type="dxa"/>
          </w:tcPr>
          <w:p w:rsidR="008410AB" w:rsidRDefault="005E0632" w:rsidP="008410AB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1.2</m:t>
                  </m:r>
                </m:sup>
              </m:sSup>
              <m:r>
                <w:rPr>
                  <w:rFonts w:ascii="Cambria Math" w:hAnsi="Cambria Math"/>
                </w:rPr>
                <m:t xml:space="preserve">-1 </m:t>
              </m:r>
            </m:oMath>
            <w:r w:rsidR="008410AB">
              <w:rPr>
                <w:rFonts w:eastAsiaTheme="minorEastAsia"/>
              </w:rPr>
              <w:t>= 2.3201 or 232.01%</w:t>
            </w:r>
          </w:p>
        </w:tc>
      </w:tr>
      <w:tr w:rsidR="008410AB" w:rsidTr="008410AB">
        <w:tc>
          <w:tcPr>
            <w:tcW w:w="5324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0.05</w:t>
            </w:r>
          </w:p>
        </w:tc>
        <w:tc>
          <w:tcPr>
            <w:tcW w:w="5325" w:type="dxa"/>
          </w:tcPr>
          <w:p w:rsidR="008410AB" w:rsidRDefault="005E0632" w:rsidP="008410AB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0.05</m:t>
                  </m:r>
                </m:sup>
              </m:sSup>
              <m:r>
                <w:rPr>
                  <w:rFonts w:ascii="Cambria Math" w:hAnsi="Cambria Math"/>
                </w:rPr>
                <m:t xml:space="preserve">-1 </m:t>
              </m:r>
            </m:oMath>
            <w:r w:rsidR="008410AB">
              <w:rPr>
                <w:rFonts w:eastAsiaTheme="minorEastAsia"/>
              </w:rPr>
              <w:t>= 0.0513 or 5.13%</w:t>
            </w:r>
          </w:p>
        </w:tc>
      </w:tr>
      <w:tr w:rsidR="008410AB" w:rsidTr="008410AB">
        <w:tc>
          <w:tcPr>
            <w:tcW w:w="5324" w:type="dxa"/>
          </w:tcPr>
          <w:p w:rsidR="008410AB" w:rsidRDefault="008410AB" w:rsidP="008410AB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0.25</w:t>
            </w:r>
          </w:p>
        </w:tc>
        <w:tc>
          <w:tcPr>
            <w:tcW w:w="5325" w:type="dxa"/>
          </w:tcPr>
          <w:p w:rsidR="008410AB" w:rsidRDefault="005E0632" w:rsidP="008410AB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lang w:eastAsia="en-US"/>
                    </w:rPr>
                    <m:t>0.25</m:t>
                  </m:r>
                </m:sup>
              </m:sSup>
              <m:r>
                <w:rPr>
                  <w:rFonts w:ascii="Cambria Math" w:hAnsi="Cambria Math"/>
                  <w:lang w:eastAsia="en-US"/>
                </w:rPr>
                <m:t xml:space="preserve">-1 </m:t>
              </m:r>
            </m:oMath>
            <w:r w:rsidR="008410AB" w:rsidRPr="008410AB">
              <w:rPr>
                <w:lang w:eastAsia="en-US"/>
              </w:rPr>
              <w:t>= 0.2840 or 28.40%</w:t>
            </w:r>
          </w:p>
        </w:tc>
      </w:tr>
    </w:tbl>
    <w:p w:rsidR="008410AB" w:rsidRPr="000B4FED" w:rsidRDefault="000B4FED" w:rsidP="000B4FED">
      <w:pPr>
        <w:pStyle w:val="DoEbodytext2018"/>
        <w:rPr>
          <w:lang w:eastAsia="en-US"/>
        </w:rPr>
      </w:pPr>
      <w:r w:rsidRPr="000B4FED">
        <w:rPr>
          <w:lang w:eastAsia="en-US"/>
        </w:rPr>
        <w:t>How does the exponential decay constant, k&lt;0, relate to a standard annualised percentage decrease (depreciation) per time period?</w:t>
      </w:r>
    </w:p>
    <w:p w:rsidR="00B73F4A" w:rsidRDefault="000B4FED" w:rsidP="00B73F4A">
      <w:pPr>
        <w:pStyle w:val="DoElist1bullet2018"/>
        <w:rPr>
          <w:lang w:eastAsia="en-US"/>
        </w:rPr>
      </w:pPr>
      <w:r>
        <w:rPr>
          <w:lang w:eastAsia="en-US"/>
        </w:rPr>
        <w:t xml:space="preserve">Exponential model: </w:t>
      </w:r>
      <m:oMath>
        <m:r>
          <w:rPr>
            <w:rFonts w:ascii="Cambria Math" w:hAnsi="Cambria Math"/>
            <w:lang w:eastAsia="en-US"/>
          </w:rPr>
          <m:t>N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t</m:t>
            </m:r>
          </m:e>
        </m:d>
        <m:r>
          <w:rPr>
            <w:rFonts w:ascii="Cambria Math" w:hAnsi="Cambria Math"/>
            <w:lang w:eastAsia="en-US"/>
          </w:rPr>
          <m:t>=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Ae</m:t>
            </m:r>
          </m:e>
          <m:sup>
            <m:r>
              <w:rPr>
                <w:rFonts w:ascii="Cambria Math" w:hAnsi="Cambria Math"/>
                <w:lang w:eastAsia="en-US"/>
              </w:rPr>
              <m:t>kt</m:t>
            </m:r>
          </m:sup>
        </m:sSup>
        <m:r>
          <w:rPr>
            <w:rFonts w:ascii="Cambria Math" w:hAnsi="Cambria Math"/>
            <w:lang w:eastAsia="en-US"/>
          </w:rPr>
          <m:t>=A(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)</m:t>
            </m:r>
          </m:e>
          <m:sup>
            <m:r>
              <w:rPr>
                <w:rFonts w:ascii="Cambria Math" w:hAnsi="Cambria Math"/>
                <w:lang w:eastAsia="en-US"/>
              </w:rPr>
              <m:t>t</m:t>
            </m:r>
          </m:sup>
        </m:sSup>
      </m:oMath>
    </w:p>
    <w:p w:rsidR="000B4FED" w:rsidRDefault="000B4FED" w:rsidP="00B73F4A">
      <w:pPr>
        <w:pStyle w:val="DoElist1bullet2018"/>
        <w:rPr>
          <w:lang w:eastAsia="en-US"/>
        </w:rPr>
      </w:pPr>
      <w:r>
        <w:rPr>
          <w:lang w:eastAsia="en-US"/>
        </w:rPr>
        <w:t xml:space="preserve">Compound interest model: </w:t>
      </w:r>
      <m:oMath>
        <m:r>
          <w:rPr>
            <w:rFonts w:ascii="Cambria Math" w:hAnsi="Cambria Math"/>
            <w:lang w:eastAsia="en-US"/>
          </w:rPr>
          <m:t>N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t</m:t>
            </m:r>
          </m:e>
        </m:d>
        <m:r>
          <w:rPr>
            <w:rFonts w:ascii="Cambria Math" w:hAnsi="Cambria Math"/>
            <w:lang w:eastAsia="en-US"/>
          </w:rPr>
          <m:t>=A(1-r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)</m:t>
            </m:r>
          </m:e>
          <m:sup>
            <m:r>
              <w:rPr>
                <w:rFonts w:ascii="Cambria Math" w:hAnsi="Cambria Math"/>
                <w:lang w:eastAsia="en-US"/>
              </w:rPr>
              <m:t>t</m:t>
            </m:r>
          </m:sup>
        </m:sSup>
      </m:oMath>
    </w:p>
    <w:p w:rsidR="000B4FED" w:rsidRDefault="000B4FED" w:rsidP="000B4FED">
      <w:pPr>
        <w:pStyle w:val="DoEbodytext2018"/>
        <w:rPr>
          <w:lang w:eastAsia="en-US"/>
        </w:rPr>
      </w:pPr>
      <w:r>
        <w:rPr>
          <w:lang w:eastAsia="en-US"/>
        </w:rPr>
        <w:t xml:space="preserve">For the models to be equivalent </w:t>
      </w:r>
      <m:oMath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</m:t>
            </m:r>
          </m:sup>
        </m:sSup>
        <m:r>
          <w:rPr>
            <w:rFonts w:ascii="Cambria Math" w:hAnsi="Cambria Math"/>
            <w:lang w:eastAsia="en-US"/>
          </w:rPr>
          <m:t>=1-r</m:t>
        </m:r>
      </m:oMath>
    </w:p>
    <w:p w:rsidR="000B4FED" w:rsidRDefault="000B4FED" w:rsidP="000B4FED">
      <w:pPr>
        <w:pStyle w:val="DoEbodytext2018"/>
      </w:pPr>
      <w:r>
        <w:rPr>
          <w:lang w:eastAsia="en-US"/>
        </w:rPr>
        <w:t xml:space="preserve">Taking the natural log of both sides </w:t>
      </w:r>
      <m:oMath>
        <m:r>
          <w:rPr>
            <w:rFonts w:ascii="Cambria Math" w:hAnsi="Cambria Math"/>
            <w:lang w:eastAsia="en-US"/>
          </w:rPr>
          <m:t>k=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(1-r)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5"/>
      </w:tblGrid>
      <w:tr w:rsidR="000B4FED" w:rsidTr="005E0632">
        <w:trPr>
          <w:cantSplit/>
          <w:tblHeader/>
        </w:trPr>
        <w:tc>
          <w:tcPr>
            <w:tcW w:w="5324" w:type="dxa"/>
          </w:tcPr>
          <w:p w:rsidR="000B4FED" w:rsidRDefault="000B4FED" w:rsidP="000B4FE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Rate of depreciation</w:t>
            </w:r>
          </w:p>
        </w:tc>
        <w:tc>
          <w:tcPr>
            <w:tcW w:w="5325" w:type="dxa"/>
          </w:tcPr>
          <w:p w:rsidR="000B4FED" w:rsidRDefault="000B4FED" w:rsidP="000B4FED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Equivalent k value (3 d.p.)</w:t>
            </w:r>
          </w:p>
        </w:tc>
      </w:tr>
      <w:tr w:rsidR="000B4FED" w:rsidTr="000B4FED">
        <w:tc>
          <w:tcPr>
            <w:tcW w:w="5324" w:type="dxa"/>
          </w:tcPr>
          <w:p w:rsidR="000B4FED" w:rsidRDefault="000B4FED" w:rsidP="000B4FE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5325" w:type="dxa"/>
          </w:tcPr>
          <w:p w:rsidR="000B4FED" w:rsidRDefault="000B4FED" w:rsidP="000B4FED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-0.105</w:t>
            </w:r>
          </w:p>
        </w:tc>
      </w:tr>
      <w:tr w:rsidR="000B4FED" w:rsidTr="000B4FED">
        <w:tc>
          <w:tcPr>
            <w:tcW w:w="5324" w:type="dxa"/>
          </w:tcPr>
          <w:p w:rsidR="000B4FED" w:rsidRDefault="000B4FED" w:rsidP="000B4FE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20%</w:t>
            </w:r>
          </w:p>
        </w:tc>
        <w:tc>
          <w:tcPr>
            <w:tcW w:w="5325" w:type="dxa"/>
          </w:tcPr>
          <w:p w:rsidR="000B4FED" w:rsidRDefault="000B4FED" w:rsidP="000B4FED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1-0.2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eastAsiaTheme="minorEastAsia"/>
              </w:rPr>
              <w:t xml:space="preserve"> -0.223</w:t>
            </w:r>
          </w:p>
        </w:tc>
      </w:tr>
      <w:tr w:rsidR="000B4FED" w:rsidTr="000B4FED">
        <w:tc>
          <w:tcPr>
            <w:tcW w:w="5324" w:type="dxa"/>
          </w:tcPr>
          <w:p w:rsidR="000B4FED" w:rsidRDefault="000B4FED" w:rsidP="000B4FED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  <w:tc>
          <w:tcPr>
            <w:tcW w:w="5325" w:type="dxa"/>
          </w:tcPr>
          <w:p w:rsidR="000B4FED" w:rsidRDefault="000B4FED" w:rsidP="000B4FED">
            <w:pPr>
              <w:pStyle w:val="DoEtabletext2018"/>
              <w:rPr>
                <w:lang w:eastAsia="en-US"/>
              </w:rPr>
            </w:pPr>
            <m:oMath>
              <m:r>
                <w:rPr>
                  <w:rFonts w:ascii="Cambria Math" w:hAnsi="Cambria Math"/>
                  <w:lang w:eastAsia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eastAsia="en-US"/>
                    </w:rPr>
                    <m:t>1-0.3</m:t>
                  </m:r>
                </m:e>
              </m:d>
              <m:r>
                <w:rPr>
                  <w:rFonts w:ascii="Cambria Math" w:hAnsi="Cambria Math"/>
                  <w:lang w:eastAsia="en-US"/>
                </w:rPr>
                <m:t>=</m:t>
              </m:r>
            </m:oMath>
            <w:r w:rsidRPr="000B4FED">
              <w:rPr>
                <w:lang w:eastAsia="en-US"/>
              </w:rPr>
              <w:t xml:space="preserve"> -0.357</w:t>
            </w:r>
          </w:p>
        </w:tc>
      </w:tr>
    </w:tbl>
    <w:p w:rsidR="000B4FED" w:rsidRDefault="000B4FED">
      <w:pPr>
        <w:spacing w:before="0" w:after="160" w:line="259" w:lineRule="auto"/>
        <w:rPr>
          <w:lang w:eastAsia="en-US"/>
        </w:rPr>
      </w:pPr>
      <w:r>
        <w:rPr>
          <w:lang w:eastAsia="en-US"/>
        </w:rPr>
        <w:br w:type="page"/>
      </w:r>
    </w:p>
    <w:p w:rsidR="000B4FED" w:rsidRDefault="000B4FED" w:rsidP="000B4FED">
      <w:pPr>
        <w:pStyle w:val="DoEbodytext2018"/>
        <w:rPr>
          <w:lang w:eastAsia="en-US"/>
        </w:rPr>
      </w:pPr>
      <w:r w:rsidRPr="000B4FED">
        <w:rPr>
          <w:lang w:eastAsia="en-US"/>
        </w:rPr>
        <w:lastRenderedPageBreak/>
        <w:t>Given a k value, what is the equivalent rate of compound growth per time period?</w:t>
      </w:r>
    </w:p>
    <w:p w:rsidR="000B4FED" w:rsidRPr="00F80905" w:rsidRDefault="005E0632" w:rsidP="000B4FE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k</m:t>
              </m:r>
            </m:sup>
          </m:sSup>
          <m:r>
            <w:rPr>
              <w:rFonts w:ascii="Cambria Math" w:hAnsi="Cambria Math"/>
              <w:lang w:eastAsia="en-US"/>
            </w:rPr>
            <m:t>=1-r</m:t>
          </m:r>
        </m:oMath>
      </m:oMathPara>
    </w:p>
    <w:p w:rsidR="00F80905" w:rsidRPr="00F80905" w:rsidRDefault="00F80905" w:rsidP="000B4FED">
      <w:pPr>
        <w:pStyle w:val="DoEbodytext2018"/>
        <w:rPr>
          <w:lang w:eastAsia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eastAsia="en-US"/>
            </w:rPr>
            <m:t>r=1-</m:t>
          </m:r>
          <m:sSup>
            <m:sSupPr>
              <m:ctrlPr>
                <w:rPr>
                  <w:rFonts w:ascii="Cambria Math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hAnsi="Cambria Math"/>
                  <w:lang w:eastAsia="en-US"/>
                </w:rPr>
                <m:t>k</m:t>
              </m:r>
            </m:sup>
          </m:sSup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4"/>
        <w:gridCol w:w="5325"/>
      </w:tblGrid>
      <w:tr w:rsidR="00F80905" w:rsidTr="005E0632">
        <w:trPr>
          <w:cantSplit/>
          <w:tblHeader/>
        </w:trPr>
        <w:tc>
          <w:tcPr>
            <w:tcW w:w="5324" w:type="dxa"/>
          </w:tcPr>
          <w:p w:rsidR="00F80905" w:rsidRDefault="00F80905" w:rsidP="00F80905">
            <w:pPr>
              <w:pStyle w:val="DoEtableheading2018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k value</w:t>
            </w:r>
          </w:p>
        </w:tc>
        <w:tc>
          <w:tcPr>
            <w:tcW w:w="5325" w:type="dxa"/>
          </w:tcPr>
          <w:p w:rsidR="00F80905" w:rsidRDefault="00F80905" w:rsidP="00F8090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Rate of Depreciation (4d.p.)</w:t>
            </w:r>
          </w:p>
        </w:tc>
      </w:tr>
      <w:bookmarkEnd w:id="0"/>
      <w:tr w:rsidR="00F80905" w:rsidTr="00F80905">
        <w:tc>
          <w:tcPr>
            <w:tcW w:w="5324" w:type="dxa"/>
          </w:tcPr>
          <w:p w:rsidR="00F80905" w:rsidRDefault="00F80905" w:rsidP="00F80905">
            <w:pPr>
              <w:pStyle w:val="DoEtabletext2018"/>
              <w:rPr>
                <w:lang w:eastAsia="en-US"/>
              </w:rPr>
            </w:pPr>
            <w:r>
              <w:t>-0.2</w:t>
            </w:r>
          </w:p>
        </w:tc>
        <w:tc>
          <w:tcPr>
            <w:tcW w:w="5325" w:type="dxa"/>
          </w:tcPr>
          <w:p w:rsidR="00F80905" w:rsidRDefault="005E0632" w:rsidP="00F80905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1-e</m:t>
                  </m:r>
                </m:e>
                <m:sup>
                  <m:r>
                    <w:rPr>
                      <w:rFonts w:ascii="Cambria Math" w:hAnsi="Cambria Math"/>
                    </w:rPr>
                    <m:t>-0.2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F80905">
              <w:rPr>
                <w:rFonts w:eastAsiaTheme="minorEastAsia"/>
              </w:rPr>
              <w:t>= 0.1813 or 18.13%</w:t>
            </w:r>
          </w:p>
        </w:tc>
      </w:tr>
      <w:tr w:rsidR="00F80905" w:rsidTr="00F80905">
        <w:tc>
          <w:tcPr>
            <w:tcW w:w="5324" w:type="dxa"/>
          </w:tcPr>
          <w:p w:rsidR="00F80905" w:rsidRDefault="00F80905" w:rsidP="00F80905">
            <w:pPr>
              <w:pStyle w:val="DoEtabletext2018"/>
              <w:rPr>
                <w:lang w:eastAsia="en-US"/>
              </w:rPr>
            </w:pPr>
            <w:r>
              <w:rPr>
                <w:rFonts w:eastAsiaTheme="minorEastAsia"/>
              </w:rPr>
              <w:t>-0.025</w:t>
            </w:r>
          </w:p>
        </w:tc>
        <w:tc>
          <w:tcPr>
            <w:tcW w:w="5325" w:type="dxa"/>
          </w:tcPr>
          <w:p w:rsidR="00F80905" w:rsidRDefault="005E0632" w:rsidP="00F80905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1-e</m:t>
                  </m:r>
                </m:e>
                <m:sup>
                  <m:r>
                    <w:rPr>
                      <w:rFonts w:ascii="Cambria Math" w:hAnsi="Cambria Math"/>
                    </w:rPr>
                    <m:t>-0.025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F80905">
              <w:rPr>
                <w:rFonts w:eastAsiaTheme="minorEastAsia"/>
              </w:rPr>
              <w:t>= 0.0247 or 2.47%</w:t>
            </w:r>
          </w:p>
        </w:tc>
      </w:tr>
      <w:tr w:rsidR="00F80905" w:rsidTr="00F80905">
        <w:tc>
          <w:tcPr>
            <w:tcW w:w="5324" w:type="dxa"/>
          </w:tcPr>
          <w:p w:rsidR="00F80905" w:rsidRDefault="00F80905" w:rsidP="00F80905">
            <w:pPr>
              <w:pStyle w:val="DoEtabletext2018"/>
              <w:rPr>
                <w:lang w:eastAsia="en-US"/>
              </w:rPr>
            </w:pPr>
            <w:r>
              <w:rPr>
                <w:rFonts w:eastAsiaTheme="minorEastAsia"/>
              </w:rPr>
              <w:t>-1.5</w:t>
            </w:r>
          </w:p>
        </w:tc>
        <w:tc>
          <w:tcPr>
            <w:tcW w:w="5325" w:type="dxa"/>
          </w:tcPr>
          <w:p w:rsidR="00F80905" w:rsidRDefault="005E0632" w:rsidP="00F80905">
            <w:pPr>
              <w:pStyle w:val="DoEtabletext2018"/>
              <w:rPr>
                <w:lang w:eastAsia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1-e</m:t>
                  </m:r>
                </m:e>
                <m:sup>
                  <m:r>
                    <w:rPr>
                      <w:rFonts w:ascii="Cambria Math" w:hAnsi="Cambria Math"/>
                    </w:rPr>
                    <m:t>-1.5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 w:rsidR="00F80905">
              <w:rPr>
                <w:rFonts w:eastAsiaTheme="minorEastAsia"/>
              </w:rPr>
              <w:t>= 0.7769 or 77.69%</w:t>
            </w:r>
          </w:p>
        </w:tc>
      </w:tr>
    </w:tbl>
    <w:p w:rsidR="00A660F0" w:rsidRDefault="00A660F0" w:rsidP="00A660F0">
      <w:pPr>
        <w:pStyle w:val="DoEreference2018"/>
      </w:pPr>
    </w:p>
    <w:sectPr w:rsidR="00A660F0" w:rsidSect="003223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32" w:rsidRDefault="005E0632" w:rsidP="00FF56B7">
      <w:pPr>
        <w:spacing w:before="0" w:line="240" w:lineRule="auto"/>
      </w:pPr>
      <w:r>
        <w:separator/>
      </w:r>
    </w:p>
  </w:endnote>
  <w:endnote w:type="continuationSeparator" w:id="0">
    <w:p w:rsidR="005E0632" w:rsidRDefault="005E0632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50" w:rsidRDefault="00657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26" w:rsidRDefault="00DB4E26" w:rsidP="00F80905">
    <w:pPr>
      <w:pStyle w:val="DoEfooter2018"/>
      <w:tabs>
        <w:tab w:val="left" w:pos="3310"/>
      </w:tabs>
    </w:pPr>
    <w:r>
      <w:t>© NSW Department of Education</w:t>
    </w:r>
    <w:r w:rsidR="00322305">
      <w:t xml:space="preserve">, </w:t>
    </w:r>
    <w:r w:rsidR="00F80905">
      <w:t>November 2018</w:t>
    </w:r>
    <w:r>
      <w:tab/>
    </w:r>
    <w:r w:rsidR="00F80905">
      <w:tab/>
    </w:r>
    <w:r>
      <w:fldChar w:fldCharType="begin"/>
    </w:r>
    <w:r>
      <w:instrText xml:space="preserve"> PAGE   \* MERGEFORMAT </w:instrText>
    </w:r>
    <w:r>
      <w:fldChar w:fldCharType="separate"/>
    </w:r>
    <w:r w:rsidR="005E063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50" w:rsidRDefault="00657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32" w:rsidRDefault="005E0632" w:rsidP="00FF56B7">
      <w:pPr>
        <w:spacing w:before="0" w:line="240" w:lineRule="auto"/>
      </w:pPr>
      <w:r>
        <w:separator/>
      </w:r>
    </w:p>
  </w:footnote>
  <w:footnote w:type="continuationSeparator" w:id="0">
    <w:p w:rsidR="005E0632" w:rsidRDefault="005E0632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50" w:rsidRDefault="00657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50" w:rsidRDefault="00657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850" w:rsidRDefault="00657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312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532"/>
    <w:multiLevelType w:val="multilevel"/>
    <w:tmpl w:val="5DEE058A"/>
    <w:lvl w:ilvl="0">
      <w:start w:val="1"/>
      <w:numFmt w:val="decimal"/>
      <w:pStyle w:val="DoElist1numbered2018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2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32"/>
    <w:rsid w:val="00066E4B"/>
    <w:rsid w:val="000B4FED"/>
    <w:rsid w:val="00122F3A"/>
    <w:rsid w:val="00145803"/>
    <w:rsid w:val="00152EEE"/>
    <w:rsid w:val="00154ACE"/>
    <w:rsid w:val="0019260F"/>
    <w:rsid w:val="001A483E"/>
    <w:rsid w:val="00250223"/>
    <w:rsid w:val="0028075D"/>
    <w:rsid w:val="002F343B"/>
    <w:rsid w:val="00322305"/>
    <w:rsid w:val="00376EBF"/>
    <w:rsid w:val="00393D01"/>
    <w:rsid w:val="00402ED3"/>
    <w:rsid w:val="005E0632"/>
    <w:rsid w:val="00613FEF"/>
    <w:rsid w:val="00657850"/>
    <w:rsid w:val="00672E9A"/>
    <w:rsid w:val="006866EE"/>
    <w:rsid w:val="0070306B"/>
    <w:rsid w:val="007967DD"/>
    <w:rsid w:val="007A72AF"/>
    <w:rsid w:val="007D51D8"/>
    <w:rsid w:val="008410AB"/>
    <w:rsid w:val="008F340C"/>
    <w:rsid w:val="00900073"/>
    <w:rsid w:val="00964EF8"/>
    <w:rsid w:val="009A77C1"/>
    <w:rsid w:val="009B028D"/>
    <w:rsid w:val="00A42F17"/>
    <w:rsid w:val="00A44D52"/>
    <w:rsid w:val="00A660F0"/>
    <w:rsid w:val="00A85257"/>
    <w:rsid w:val="00AE6D03"/>
    <w:rsid w:val="00B05969"/>
    <w:rsid w:val="00B42AD1"/>
    <w:rsid w:val="00B73B53"/>
    <w:rsid w:val="00B73F4A"/>
    <w:rsid w:val="00BD3DDD"/>
    <w:rsid w:val="00C203C5"/>
    <w:rsid w:val="00C57635"/>
    <w:rsid w:val="00C652BC"/>
    <w:rsid w:val="00C83F58"/>
    <w:rsid w:val="00DB4E26"/>
    <w:rsid w:val="00DD094B"/>
    <w:rsid w:val="00EC2D6E"/>
    <w:rsid w:val="00ED45D6"/>
    <w:rsid w:val="00F5497B"/>
    <w:rsid w:val="00F80905"/>
    <w:rsid w:val="00F9178D"/>
    <w:rsid w:val="00FC5FDD"/>
    <w:rsid w:val="00FC7F4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A48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D51D8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322305"/>
    <w:pPr>
      <w:pBdr>
        <w:top w:val="single" w:sz="4" w:space="6" w:color="auto"/>
      </w:pBdr>
      <w:tabs>
        <w:tab w:val="left" w:pos="1034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A85257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4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A85257"/>
    <w:pPr>
      <w:spacing w:before="280"/>
      <w:outlineLvl w:val="2"/>
    </w:pPr>
    <w:rPr>
      <w:sz w:val="36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A85257"/>
    <w:pPr>
      <w:spacing w:before="24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70306B"/>
    <w:pPr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  <w:ind w:left="720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19260F"/>
    <w:pPr>
      <w:numPr>
        <w:numId w:val="10"/>
      </w:numPr>
      <w:spacing w:before="80" w:line="280" w:lineRule="atLeast"/>
    </w:pPr>
    <w:rPr>
      <w:szCs w:val="24"/>
      <w:lang w:eastAsia="en-US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semiHidden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2E9A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B73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L-SE\Accessibility%20documents%20-%20content%20check\Mathematics\New%20resources%20to%20check\me-c1.2\Accessible%20for%20checking\what-does-k-mean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A600-14D6-48A5-8A03-EAE06D8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what-does-k-mean.docx.dotx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 the maning of k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 the maning of k</dc:title>
  <dc:subject/>
  <dc:creator/>
  <cp:keywords/>
  <dc:description/>
  <cp:lastModifiedBy/>
  <cp:revision>1</cp:revision>
  <dcterms:created xsi:type="dcterms:W3CDTF">2018-11-23T02:04:00Z</dcterms:created>
  <dcterms:modified xsi:type="dcterms:W3CDTF">2018-11-23T02:06:00Z</dcterms:modified>
</cp:coreProperties>
</file>