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8D0361C" w:rsidR="00DC0AA8" w:rsidRPr="00F9178D" w:rsidRDefault="00607503" w:rsidP="004777E5">
      <w:pPr>
        <w:pStyle w:val="DoEheading12018"/>
      </w:pPr>
      <w:bookmarkStart w:id="0" w:name="_GoBack"/>
      <w:bookmarkEnd w:id="0"/>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5114EA">
        <w:t>11 Mathematics Standard</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FD093B">
        <w:trPr>
          <w:cantSplit/>
          <w:tblHeader/>
        </w:trPr>
        <w:tc>
          <w:tcPr>
            <w:tcW w:w="4329" w:type="pct"/>
          </w:tcPr>
          <w:p w14:paraId="44DC6E99" w14:textId="1CE968A6" w:rsidR="00DC0AA8" w:rsidRPr="008F340C" w:rsidRDefault="00375D19" w:rsidP="005114EA">
            <w:pPr>
              <w:pStyle w:val="DoEtableheading2018"/>
            </w:pPr>
            <w:r w:rsidRPr="00375D19">
              <w:t>MS-S2 Relative Frequency and Probability</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FD093B">
        <w:tc>
          <w:tcPr>
            <w:tcW w:w="4329" w:type="pct"/>
          </w:tcPr>
          <w:p w14:paraId="5948415D" w14:textId="77777777" w:rsidR="0040612A" w:rsidRDefault="0040612A" w:rsidP="0040612A">
            <w:pPr>
              <w:pStyle w:val="DoEtabletext2018"/>
              <w:rPr>
                <w:sz w:val="24"/>
                <w:lang w:eastAsia="en-AU"/>
              </w:rPr>
            </w:pPr>
            <w:r>
              <w:t>Statistical Analysis involves the collection, exploration, display, analysis and interpretation of data to identify and communicate key information.</w:t>
            </w:r>
          </w:p>
          <w:p w14:paraId="44006AAC" w14:textId="77777777" w:rsidR="0040612A" w:rsidRDefault="0040612A" w:rsidP="0040612A">
            <w:pPr>
              <w:pStyle w:val="DoEtabletext2018"/>
            </w:pPr>
            <w:r>
              <w:t>Knowledge of statistical analysis enables the careful interpretation of situations and raises awareness of contributing factors when presented with information by third parties, including the possible misrepresentation of information.</w:t>
            </w:r>
          </w:p>
          <w:p w14:paraId="5F0912D0" w14:textId="77777777" w:rsidR="0040612A" w:rsidRDefault="0040612A" w:rsidP="0040612A">
            <w:pPr>
              <w:pStyle w:val="DoEtabletext2018"/>
            </w:pPr>
            <w:r>
              <w:t>Study of statistics is important in developing students’ understanding of the contribution that statistical thinking makes to decision-making in society and in the professional and personal lives of individuals.</w:t>
            </w:r>
          </w:p>
          <w:p w14:paraId="23193708" w14:textId="29B32968" w:rsidR="00DC0AA8" w:rsidRPr="008F340C" w:rsidRDefault="00DC0AA8" w:rsidP="004C730E">
            <w:pPr>
              <w:pStyle w:val="DoEtabletext2018"/>
            </w:pPr>
          </w:p>
        </w:tc>
        <w:tc>
          <w:tcPr>
            <w:tcW w:w="671" w:type="pct"/>
          </w:tcPr>
          <w:p w14:paraId="196101C1" w14:textId="2A4D7B1A" w:rsidR="00DC0AA8" w:rsidRPr="008F340C" w:rsidRDefault="007A086E" w:rsidP="0091566A">
            <w:pPr>
              <w:pStyle w:val="DoEtabletext2018"/>
            </w:pPr>
            <w:r>
              <w:rPr>
                <w:color w:val="000000" w:themeColor="text1"/>
              </w:rPr>
              <w:t>4</w:t>
            </w:r>
            <w:r w:rsidR="000B1561">
              <w:rPr>
                <w:color w:val="000000" w:themeColor="text1"/>
              </w:rPr>
              <w:t xml:space="preserve">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00FD093B">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0FD093B">
        <w:tc>
          <w:tcPr>
            <w:tcW w:w="2500" w:type="pct"/>
          </w:tcPr>
          <w:p w14:paraId="5F47DD91" w14:textId="77777777" w:rsidR="00375D19" w:rsidRPr="00FD093B" w:rsidRDefault="00375D19" w:rsidP="00FD093B">
            <w:pPr>
              <w:pStyle w:val="DoEtabletext2018"/>
            </w:pPr>
            <w:r w:rsidRPr="00FD093B">
              <w:t>The principal focus of this subtopic is to draw conclusions related to the chance that an event will occur.</w:t>
            </w:r>
          </w:p>
          <w:p w14:paraId="630BF198" w14:textId="77777777" w:rsidR="00375D19" w:rsidRPr="00FD093B" w:rsidRDefault="00375D19" w:rsidP="00FD093B">
            <w:pPr>
              <w:pStyle w:val="DoEtabletext2018"/>
            </w:pPr>
            <w:r w:rsidRPr="00FD093B">
              <w:t>Students develop awareness of the broad range of applications of probability concepts in everyday life and their use in decision-making.</w:t>
            </w:r>
          </w:p>
          <w:p w14:paraId="4059CD6A" w14:textId="5C403FF7" w:rsidR="00DC0AA8" w:rsidRPr="00BD65D9" w:rsidRDefault="00375D19" w:rsidP="00FD093B">
            <w:pPr>
              <w:pStyle w:val="DoEtabletext2018"/>
            </w:pPr>
            <w:r w:rsidRPr="00FD093B">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009C7CDA" w14:textId="77777777" w:rsidR="00375D19" w:rsidRDefault="00375D19" w:rsidP="00375D19">
            <w:pPr>
              <w:pStyle w:val="DoEtablelist1bullet2018"/>
            </w:pPr>
            <w:r>
              <w:t>solves probability problems involving multistage events MS11-8</w:t>
            </w:r>
          </w:p>
          <w:p w14:paraId="0E6E58D7" w14:textId="77777777" w:rsidR="00375D19" w:rsidRDefault="00375D19" w:rsidP="00375D19">
            <w:pPr>
              <w:pStyle w:val="DoEtablelist1bullet2018"/>
            </w:pPr>
            <w:r>
              <w:t>uses appropriate technology to investigate, organise and interpret information in a range of contexts MS11-9</w:t>
            </w:r>
          </w:p>
          <w:p w14:paraId="40EA5388" w14:textId="77777777" w:rsidR="00DC0AA8" w:rsidRDefault="00375D19" w:rsidP="00375D19">
            <w:pPr>
              <w:pStyle w:val="DoEtablelist1bullet2018"/>
            </w:pPr>
            <w:r>
              <w:t>justifies a response to a given problem using appropriate mathematical terminology and/or calculations MS11-10</w:t>
            </w:r>
          </w:p>
          <w:p w14:paraId="4040659A" w14:textId="0A7248A5" w:rsidR="00167B77" w:rsidRPr="008F340C" w:rsidRDefault="00167B77" w:rsidP="00167B77">
            <w:pPr>
              <w:pStyle w:val="DoEtablelist1bullet2018"/>
              <w:numPr>
                <w:ilvl w:val="0"/>
                <w:numId w:val="0"/>
              </w:numPr>
            </w:pPr>
            <w:r w:rsidRPr="00167B77">
              <w:rPr>
                <w:b/>
              </w:rPr>
              <w:t>Related Life Skills outcomes</w:t>
            </w:r>
            <w:r w:rsidRPr="00167B77">
              <w:t>: MALS6-10,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FD093B">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FD093B">
        <w:tc>
          <w:tcPr>
            <w:tcW w:w="2500" w:type="pct"/>
          </w:tcPr>
          <w:p w14:paraId="2C8D82E3" w14:textId="2C50445D" w:rsidR="00DC0AA8" w:rsidRPr="00E94371" w:rsidRDefault="00D45D0A" w:rsidP="00D45D0A">
            <w:pPr>
              <w:pStyle w:val="DoEtablelist1bullet2018"/>
              <w:numPr>
                <w:ilvl w:val="0"/>
                <w:numId w:val="0"/>
              </w:numPr>
            </w:pPr>
            <w:r w:rsidRPr="00C540C9">
              <w:t xml:space="preserve">The material in this topic builds on content from the </w:t>
            </w:r>
            <w:r>
              <w:t>Statistics</w:t>
            </w:r>
            <w:r w:rsidRPr="00C540C9">
              <w:t xml:space="preserve"> and </w:t>
            </w:r>
            <w:r>
              <w:t>Probability</w:t>
            </w:r>
            <w:r w:rsidRPr="00C540C9">
              <w:t xml:space="preserve"> Strand of the K–10 Mathematics syllabus, including the </w:t>
            </w:r>
            <w:r>
              <w:t xml:space="preserve">Stage 4 content for calculating the probability of simple and compound events and the </w:t>
            </w:r>
            <w:r w:rsidRPr="00C540C9">
              <w:t>Sta</w:t>
            </w:r>
            <w:r>
              <w:t>ge 5</w:t>
            </w:r>
            <w:r w:rsidRPr="00C540C9">
              <w:t xml:space="preserve"> </w:t>
            </w:r>
            <w:r>
              <w:t>content</w:t>
            </w:r>
            <w:r w:rsidRPr="00C540C9">
              <w:t xml:space="preserve"> </w:t>
            </w:r>
            <w:r>
              <w:t>for estimating probabilities with</w:t>
            </w:r>
            <w:r w:rsidRPr="00C540C9">
              <w:t xml:space="preserve"> </w:t>
            </w:r>
            <w:r>
              <w:t>relative frequency.</w:t>
            </w:r>
          </w:p>
        </w:tc>
        <w:tc>
          <w:tcPr>
            <w:tcW w:w="2500" w:type="pct"/>
          </w:tcPr>
          <w:p w14:paraId="6230D99E" w14:textId="5E2B27DA" w:rsidR="00045134" w:rsidRPr="008810E7" w:rsidRDefault="00045134" w:rsidP="00045134">
            <w:pPr>
              <w:pStyle w:val="DoEtabletext2018"/>
            </w:pPr>
            <w:r>
              <w:t xml:space="preserve">Summative assessment: </w:t>
            </w:r>
            <w:r w:rsidR="00A3194F">
              <w:t>Students could complete an investigative style task where they investigate the probabilities found in common games, or they could create their own game where the ‘house’ wins 60% of the time.</w:t>
            </w:r>
          </w:p>
        </w:tc>
      </w:tr>
    </w:tbl>
    <w:p w14:paraId="6D5B8200" w14:textId="77777777" w:rsidR="00D45D0A" w:rsidRDefault="00D45D0A" w:rsidP="00D45D0A">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5EC88690" w14:textId="05F56085" w:rsidR="00045134" w:rsidRDefault="00045134" w:rsidP="00045134">
      <w:pPr>
        <w:pStyle w:val="DoEheading22018"/>
      </w:pPr>
      <w:r>
        <w:lastRenderedPageBreak/>
        <w:t>Glossary of terms</w:t>
      </w:r>
    </w:p>
    <w:tbl>
      <w:tblPr>
        <w:tblStyle w:val="TableGrid"/>
        <w:tblW w:w="15581" w:type="dxa"/>
        <w:tblLook w:val="04A0" w:firstRow="1" w:lastRow="0" w:firstColumn="1" w:lastColumn="0" w:noHBand="0" w:noVBand="1"/>
        <w:tblCaption w:val="Glossary"/>
        <w:tblDescription w:val="Glossary"/>
      </w:tblPr>
      <w:tblGrid>
        <w:gridCol w:w="3681"/>
        <w:gridCol w:w="11900"/>
      </w:tblGrid>
      <w:tr w:rsidR="00045134" w14:paraId="6984AAD1" w14:textId="77777777" w:rsidTr="00350BB5">
        <w:trPr>
          <w:cantSplit/>
          <w:tblHeader/>
        </w:trPr>
        <w:tc>
          <w:tcPr>
            <w:tcW w:w="3681" w:type="dxa"/>
          </w:tcPr>
          <w:p w14:paraId="27B46127" w14:textId="7D180C97" w:rsidR="00045134" w:rsidRDefault="00045134" w:rsidP="00045134">
            <w:pPr>
              <w:pStyle w:val="DoEtableheading2018"/>
              <w:rPr>
                <w:lang w:eastAsia="en-US"/>
              </w:rPr>
            </w:pPr>
            <w:r>
              <w:rPr>
                <w:lang w:eastAsia="en-US"/>
              </w:rPr>
              <w:t>Term</w:t>
            </w:r>
          </w:p>
        </w:tc>
        <w:tc>
          <w:tcPr>
            <w:tcW w:w="11900" w:type="dxa"/>
          </w:tcPr>
          <w:p w14:paraId="4DFFCDBD" w14:textId="62BF6FBD" w:rsidR="00045134" w:rsidRDefault="00045134" w:rsidP="00045134">
            <w:pPr>
              <w:pStyle w:val="DoEtableheading2018"/>
              <w:rPr>
                <w:lang w:eastAsia="en-US"/>
              </w:rPr>
            </w:pPr>
            <w:r>
              <w:rPr>
                <w:lang w:eastAsia="en-US"/>
              </w:rPr>
              <w:t>Description</w:t>
            </w:r>
          </w:p>
        </w:tc>
      </w:tr>
      <w:tr w:rsidR="00375D19" w14:paraId="02447B70" w14:textId="77777777" w:rsidTr="00350BB5">
        <w:trPr>
          <w:cantSplit/>
          <w:tblHeader/>
        </w:trPr>
        <w:tc>
          <w:tcPr>
            <w:tcW w:w="3681" w:type="dxa"/>
          </w:tcPr>
          <w:p w14:paraId="0E4B58E7" w14:textId="1142CB67" w:rsidR="00375D19" w:rsidRDefault="00375D19" w:rsidP="00375D19">
            <w:pPr>
              <w:pStyle w:val="DoEtabletext2018"/>
              <w:rPr>
                <w:lang w:eastAsia="en-US"/>
              </w:rPr>
            </w:pPr>
            <w:r w:rsidRPr="00375D19">
              <w:rPr>
                <w:lang w:eastAsia="en-US"/>
              </w:rPr>
              <w:t>arrays</w:t>
            </w:r>
          </w:p>
        </w:tc>
        <w:tc>
          <w:tcPr>
            <w:tcW w:w="11900" w:type="dxa"/>
          </w:tcPr>
          <w:p w14:paraId="7B9E4831" w14:textId="277C4847" w:rsidR="00375D19" w:rsidRDefault="000C7A77" w:rsidP="00375D19">
            <w:pPr>
              <w:pStyle w:val="DoEtabletext2018"/>
              <w:rPr>
                <w:lang w:eastAsia="en-US"/>
              </w:rPr>
            </w:pPr>
            <w:r>
              <w:rPr>
                <w:rFonts w:ascii="Arial" w:hAnsi="Arial" w:cs="Arial"/>
                <w:color w:val="000000"/>
              </w:rPr>
              <w:t>An array is an ordered collection of objects or numbers arranged in rows and columns.</w:t>
            </w:r>
          </w:p>
        </w:tc>
      </w:tr>
      <w:tr w:rsidR="00375D19" w14:paraId="508FEEB4" w14:textId="77777777" w:rsidTr="00350BB5">
        <w:trPr>
          <w:cantSplit/>
          <w:tblHeader/>
        </w:trPr>
        <w:tc>
          <w:tcPr>
            <w:tcW w:w="3681" w:type="dxa"/>
          </w:tcPr>
          <w:p w14:paraId="53E444C1" w14:textId="425143EB" w:rsidR="00375D19" w:rsidRDefault="00375D19" w:rsidP="00375D19">
            <w:pPr>
              <w:pStyle w:val="DoEtabletext2018"/>
              <w:rPr>
                <w:lang w:eastAsia="en-US"/>
              </w:rPr>
            </w:pPr>
            <w:r w:rsidRPr="00375D19">
              <w:rPr>
                <w:lang w:eastAsia="en-US"/>
              </w:rPr>
              <w:t>complement</w:t>
            </w:r>
          </w:p>
        </w:tc>
        <w:tc>
          <w:tcPr>
            <w:tcW w:w="11900" w:type="dxa"/>
          </w:tcPr>
          <w:p w14:paraId="772E917A" w14:textId="65D65C5F" w:rsidR="00375D19" w:rsidRDefault="000C7A77" w:rsidP="000C7A77">
            <w:pPr>
              <w:pStyle w:val="DoEtabletext2018"/>
              <w:rPr>
                <w:lang w:eastAsia="en-US"/>
              </w:rPr>
            </w:pPr>
            <w:r>
              <w:rPr>
                <w:rFonts w:ascii="Arial" w:hAnsi="Arial" w:cs="Arial"/>
                <w:color w:val="000000"/>
              </w:rPr>
              <w:t xml:space="preserve">The complement of an event refers to when the event does NOT occur. For example, if </w:t>
            </w:r>
            <w:r w:rsidRPr="000C7A77">
              <w:rPr>
                <w:rStyle w:val="mi"/>
                <w:rFonts w:ascii="MathJax_Math" w:hAnsi="MathJax_Math"/>
                <w:iCs/>
                <w:sz w:val="24"/>
                <w:szCs w:val="24"/>
                <w:bdr w:val="none" w:sz="0" w:space="0" w:color="auto" w:frame="1"/>
              </w:rPr>
              <w:t>A</w:t>
            </w:r>
            <w:r>
              <w:rPr>
                <w:rFonts w:ascii="Arial" w:hAnsi="Arial" w:cs="Arial"/>
                <w:color w:val="000000"/>
              </w:rPr>
              <w:t xml:space="preserve"> is the event of throwing a 5 on a die, then the complement of </w:t>
            </w:r>
            <w:r w:rsidRPr="000C7A77">
              <w:rPr>
                <w:rStyle w:val="mi"/>
                <w:rFonts w:ascii="MathJax_Math" w:hAnsi="MathJax_Math"/>
                <w:iCs/>
                <w:sz w:val="24"/>
                <w:szCs w:val="24"/>
                <w:bdr w:val="none" w:sz="0" w:space="0" w:color="auto" w:frame="1"/>
              </w:rPr>
              <w:t>A</w:t>
            </w:r>
            <w:r>
              <w:rPr>
                <w:rFonts w:ascii="Arial" w:hAnsi="Arial" w:cs="Arial"/>
                <w:color w:val="000000"/>
              </w:rPr>
              <w:t>, denoted by</w:t>
            </w:r>
            <w:r w:rsidRPr="000C7A77">
              <w:rPr>
                <w:rFonts w:ascii="Arial" w:hAnsi="Arial" w:cs="Arial"/>
                <w:color w:val="000000"/>
                <w:sz w:val="24"/>
                <w:szCs w:val="24"/>
              </w:rPr>
              <w:t xml:space="preserve"> </w:t>
            </w:r>
            <m:oMath>
              <m:acc>
                <m:accPr>
                  <m:chr m:val="̅"/>
                  <m:ctrlPr>
                    <w:rPr>
                      <w:rFonts w:ascii="Cambria Math" w:hAnsi="Cambria Math" w:cs="Arial"/>
                      <w:i/>
                      <w:color w:val="000000"/>
                      <w:sz w:val="24"/>
                      <w:szCs w:val="24"/>
                    </w:rPr>
                  </m:ctrlPr>
                </m:accPr>
                <m:e>
                  <m:r>
                    <w:rPr>
                      <w:rFonts w:ascii="Cambria Math" w:hAnsi="Cambria Math" w:cs="Arial"/>
                      <w:color w:val="000000"/>
                      <w:sz w:val="24"/>
                      <w:szCs w:val="24"/>
                    </w:rPr>
                    <m:t>A</m:t>
                  </m:r>
                </m:e>
              </m:acc>
            </m:oMath>
            <w:r>
              <w:rPr>
                <w:rFonts w:ascii="Arial" w:hAnsi="Arial" w:cs="Arial"/>
                <w:color w:val="000000"/>
              </w:rPr>
              <w:t xml:space="preserve"> or </w:t>
            </w:r>
            <w:r w:rsidRPr="000C7A77">
              <w:rPr>
                <w:rStyle w:val="mi"/>
                <w:rFonts w:ascii="MathJax_Math" w:hAnsi="MathJax_Math"/>
                <w:iCs/>
                <w:sz w:val="24"/>
                <w:szCs w:val="24"/>
                <w:bdr w:val="none" w:sz="0" w:space="0" w:color="auto" w:frame="1"/>
              </w:rPr>
              <w:t>A</w:t>
            </w:r>
            <w:r w:rsidRPr="000C7A77">
              <w:rPr>
                <w:rStyle w:val="mi"/>
                <w:rFonts w:ascii="MathJax_Math" w:hAnsi="MathJax_Math" w:cs="Arial"/>
                <w:i/>
                <w:iCs/>
                <w:color w:val="000000"/>
                <w:sz w:val="21"/>
                <w:szCs w:val="21"/>
                <w:bdr w:val="none" w:sz="0" w:space="0" w:color="auto" w:frame="1"/>
                <w:vertAlign w:val="superscript"/>
              </w:rPr>
              <w:t>c</w:t>
            </w:r>
            <w:r>
              <w:rPr>
                <w:rFonts w:ascii="Arial" w:hAnsi="Arial" w:cs="Arial"/>
                <w:color w:val="000000"/>
              </w:rPr>
              <w:t>, is throwing a number that is NOT 5 on a die</w:t>
            </w:r>
          </w:p>
        </w:tc>
      </w:tr>
      <w:tr w:rsidR="000C7A77" w14:paraId="26D2FA60" w14:textId="77777777" w:rsidTr="00350BB5">
        <w:trPr>
          <w:cantSplit/>
          <w:tblHeader/>
        </w:trPr>
        <w:tc>
          <w:tcPr>
            <w:tcW w:w="3681" w:type="dxa"/>
          </w:tcPr>
          <w:p w14:paraId="69418302" w14:textId="016CB8E5" w:rsidR="000C7A77" w:rsidRPr="00375D19" w:rsidRDefault="000C7A77" w:rsidP="00375D19">
            <w:pPr>
              <w:pStyle w:val="DoEtabletext2018"/>
              <w:rPr>
                <w:lang w:eastAsia="en-US"/>
              </w:rPr>
            </w:pPr>
            <w:r>
              <w:rPr>
                <w:lang w:eastAsia="en-US"/>
              </w:rPr>
              <w:t>event</w:t>
            </w:r>
          </w:p>
        </w:tc>
        <w:tc>
          <w:tcPr>
            <w:tcW w:w="11900" w:type="dxa"/>
          </w:tcPr>
          <w:p w14:paraId="114BDFBC" w14:textId="1226B483" w:rsidR="000C7A77" w:rsidRDefault="000C7A77" w:rsidP="00375D19">
            <w:pPr>
              <w:pStyle w:val="DoEtabletext2018"/>
              <w:rPr>
                <w:lang w:eastAsia="en-US"/>
              </w:rPr>
            </w:pPr>
            <w:r>
              <w:rPr>
                <w:rFonts w:ascii="Arial" w:hAnsi="Arial" w:cs="Arial"/>
                <w:color w:val="000000"/>
              </w:rPr>
              <w:t>An event is a set of outcomes for a random experiment</w:t>
            </w:r>
          </w:p>
        </w:tc>
      </w:tr>
      <w:tr w:rsidR="00350BB5" w14:paraId="1EE01331" w14:textId="77777777" w:rsidTr="00350BB5">
        <w:trPr>
          <w:cantSplit/>
          <w:tblHeader/>
        </w:trPr>
        <w:tc>
          <w:tcPr>
            <w:tcW w:w="3681" w:type="dxa"/>
          </w:tcPr>
          <w:p w14:paraId="609B5D3B" w14:textId="1FE87C70" w:rsidR="00350BB5" w:rsidRDefault="00350BB5" w:rsidP="00375D19">
            <w:pPr>
              <w:pStyle w:val="DoEtabletext2018"/>
              <w:rPr>
                <w:lang w:eastAsia="en-US"/>
              </w:rPr>
            </w:pPr>
            <w:r w:rsidRPr="00B77FF9">
              <w:rPr>
                <w:lang w:eastAsia="en-US"/>
              </w:rPr>
              <w:t>outcomes</w:t>
            </w:r>
          </w:p>
        </w:tc>
        <w:tc>
          <w:tcPr>
            <w:tcW w:w="11900" w:type="dxa"/>
          </w:tcPr>
          <w:p w14:paraId="435494DF" w14:textId="225F59FB" w:rsidR="00350BB5" w:rsidRDefault="000C7A77" w:rsidP="00375D19">
            <w:pPr>
              <w:pStyle w:val="DoEtabletext2018"/>
              <w:rPr>
                <w:lang w:eastAsia="en-US"/>
              </w:rPr>
            </w:pPr>
            <w:r>
              <w:rPr>
                <w:rFonts w:ascii="Arial" w:hAnsi="Arial" w:cs="Arial"/>
                <w:color w:val="000000"/>
              </w:rPr>
              <w:t>An outcome is a single possible result from an experiment.</w:t>
            </w:r>
          </w:p>
        </w:tc>
      </w:tr>
      <w:tr w:rsidR="00375D19" w14:paraId="4CE163DA" w14:textId="77777777" w:rsidTr="00350BB5">
        <w:trPr>
          <w:cantSplit/>
          <w:tblHeader/>
        </w:trPr>
        <w:tc>
          <w:tcPr>
            <w:tcW w:w="3681" w:type="dxa"/>
          </w:tcPr>
          <w:p w14:paraId="5923FFA2" w14:textId="14858B66" w:rsidR="00375D19" w:rsidRDefault="00B77FF9" w:rsidP="00375D19">
            <w:pPr>
              <w:pStyle w:val="DoEtabletext2018"/>
              <w:rPr>
                <w:lang w:eastAsia="en-US"/>
              </w:rPr>
            </w:pPr>
            <w:r w:rsidRPr="00B77FF9">
              <w:rPr>
                <w:lang w:eastAsia="en-US"/>
              </w:rPr>
              <w:t>population</w:t>
            </w:r>
          </w:p>
        </w:tc>
        <w:tc>
          <w:tcPr>
            <w:tcW w:w="11900" w:type="dxa"/>
          </w:tcPr>
          <w:p w14:paraId="5512CA22" w14:textId="365BDB5B" w:rsidR="00375D19" w:rsidRDefault="000C7A77" w:rsidP="00375D19">
            <w:pPr>
              <w:pStyle w:val="DoEtabletext2018"/>
              <w:rPr>
                <w:lang w:eastAsia="en-US"/>
              </w:rPr>
            </w:pPr>
            <w:r>
              <w:rPr>
                <w:rFonts w:ascii="Arial" w:hAnsi="Arial" w:cs="Arial"/>
                <w:color w:val="000000"/>
              </w:rPr>
              <w:t>The population in statistics is the entire dataset from which a statistical sample may be drawn</w:t>
            </w:r>
          </w:p>
        </w:tc>
      </w:tr>
      <w:tr w:rsidR="00375D19" w14:paraId="77BFFD41" w14:textId="77777777" w:rsidTr="00350BB5">
        <w:trPr>
          <w:cantSplit/>
          <w:tblHeader/>
        </w:trPr>
        <w:tc>
          <w:tcPr>
            <w:tcW w:w="3681" w:type="dxa"/>
          </w:tcPr>
          <w:p w14:paraId="4B1D45F8" w14:textId="7358E852" w:rsidR="00375D19" w:rsidRDefault="00B77FF9" w:rsidP="00375D19">
            <w:pPr>
              <w:pStyle w:val="DoEtabletext2018"/>
              <w:rPr>
                <w:lang w:eastAsia="en-US"/>
              </w:rPr>
            </w:pPr>
            <w:r w:rsidRPr="00B77FF9">
              <w:rPr>
                <w:lang w:eastAsia="en-US"/>
              </w:rPr>
              <w:t>relative frequency</w:t>
            </w:r>
          </w:p>
        </w:tc>
        <w:tc>
          <w:tcPr>
            <w:tcW w:w="11900" w:type="dxa"/>
          </w:tcPr>
          <w:p w14:paraId="3D1207BF" w14:textId="2B11A840" w:rsidR="00375D19" w:rsidRDefault="000C7A77" w:rsidP="00375D19">
            <w:pPr>
              <w:pStyle w:val="DoEtabletext2018"/>
              <w:rPr>
                <w:lang w:eastAsia="en-US"/>
              </w:rPr>
            </w:pPr>
            <w:r>
              <w:rPr>
                <w:rFonts w:ascii="Arial" w:hAnsi="Arial" w:cs="Arial"/>
                <w:color w:val="000000"/>
              </w:rPr>
              <w:t xml:space="preserve">Relative frequency is a measure of the number of times that an event has occurred in a repeated experiment. If an event </w:t>
            </w:r>
            <w:r w:rsidRPr="000C7A77">
              <w:rPr>
                <w:rStyle w:val="mi"/>
                <w:rFonts w:ascii="MathJax_Math" w:hAnsi="MathJax_Math" w:cs="Arial"/>
                <w:i/>
                <w:iCs/>
                <w:color w:val="000000"/>
                <w:sz w:val="24"/>
                <w:szCs w:val="24"/>
                <w:bdr w:val="none" w:sz="0" w:space="0" w:color="auto" w:frame="1"/>
              </w:rPr>
              <w:t>E</w:t>
            </w:r>
            <w:r>
              <w:rPr>
                <w:rFonts w:ascii="Arial" w:hAnsi="Arial" w:cs="Arial"/>
                <w:color w:val="000000"/>
              </w:rPr>
              <w:t xml:space="preserve"> occurs </w:t>
            </w:r>
            <w:r w:rsidRPr="000C7A77">
              <w:rPr>
                <w:rStyle w:val="mi"/>
                <w:rFonts w:ascii="MathJax_Math" w:hAnsi="MathJax_Math" w:cs="Arial"/>
                <w:i/>
                <w:iCs/>
                <w:color w:val="000000"/>
                <w:sz w:val="24"/>
                <w:szCs w:val="24"/>
                <w:bdr w:val="none" w:sz="0" w:space="0" w:color="auto" w:frame="1"/>
              </w:rPr>
              <w:t>r</w:t>
            </w:r>
            <w:r>
              <w:rPr>
                <w:rFonts w:ascii="Arial" w:hAnsi="Arial" w:cs="Arial"/>
                <w:color w:val="000000"/>
              </w:rPr>
              <w:t xml:space="preserve"> times when a chance experiment has been repeated </w:t>
            </w:r>
            <w:r w:rsidRPr="000C7A77">
              <w:rPr>
                <w:rStyle w:val="mi"/>
                <w:rFonts w:ascii="MathJax_Math" w:hAnsi="MathJax_Math" w:cs="Arial"/>
                <w:i/>
                <w:iCs/>
                <w:color w:val="000000"/>
                <w:sz w:val="24"/>
                <w:szCs w:val="24"/>
                <w:bdr w:val="none" w:sz="0" w:space="0" w:color="auto" w:frame="1"/>
              </w:rPr>
              <w:t>n</w:t>
            </w:r>
            <w:r>
              <w:rPr>
                <w:rFonts w:ascii="Arial" w:hAnsi="Arial" w:cs="Arial"/>
                <w:color w:val="000000"/>
              </w:rPr>
              <w:t xml:space="preserve"> times, then the relative frequency of </w:t>
            </w:r>
            <w:r w:rsidRPr="000C7A77">
              <w:rPr>
                <w:rStyle w:val="mi"/>
                <w:rFonts w:ascii="MathJax_Math" w:hAnsi="MathJax_Math" w:cs="Arial"/>
                <w:i/>
                <w:iCs/>
                <w:color w:val="000000"/>
                <w:sz w:val="24"/>
                <w:szCs w:val="24"/>
                <w:bdr w:val="none" w:sz="0" w:space="0" w:color="auto" w:frame="1"/>
              </w:rPr>
              <w:t>E</w:t>
            </w:r>
            <w:r>
              <w:rPr>
                <w:rFonts w:ascii="Arial" w:hAnsi="Arial" w:cs="Arial"/>
                <w:color w:val="000000"/>
              </w:rPr>
              <w:t xml:space="preserve"> is: </w:t>
            </w:r>
            <m:oMath>
              <m:f>
                <m:fPr>
                  <m:ctrlPr>
                    <w:rPr>
                      <w:rFonts w:ascii="Cambria Math" w:hAnsi="Cambria Math" w:cs="Arial"/>
                      <w:i/>
                      <w:color w:val="000000"/>
                      <w:sz w:val="24"/>
                      <w:szCs w:val="24"/>
                    </w:rPr>
                  </m:ctrlPr>
                </m:fPr>
                <m:num>
                  <m:r>
                    <w:rPr>
                      <w:rFonts w:ascii="Cambria Math" w:hAnsi="Cambria Math" w:cs="Arial"/>
                      <w:color w:val="000000"/>
                      <w:sz w:val="24"/>
                      <w:szCs w:val="24"/>
                    </w:rPr>
                    <m:t>r</m:t>
                  </m:r>
                </m:num>
                <m:den>
                  <m:r>
                    <w:rPr>
                      <w:rFonts w:ascii="Cambria Math" w:hAnsi="Cambria Math" w:cs="Arial"/>
                      <w:color w:val="000000"/>
                      <w:sz w:val="24"/>
                      <w:szCs w:val="24"/>
                    </w:rPr>
                    <m:t>n</m:t>
                  </m:r>
                </m:den>
              </m:f>
            </m:oMath>
          </w:p>
        </w:tc>
      </w:tr>
      <w:tr w:rsidR="00375D19" w14:paraId="1542037C" w14:textId="77777777" w:rsidTr="00350BB5">
        <w:trPr>
          <w:cantSplit/>
          <w:tblHeader/>
        </w:trPr>
        <w:tc>
          <w:tcPr>
            <w:tcW w:w="3681" w:type="dxa"/>
          </w:tcPr>
          <w:p w14:paraId="62B4BA44" w14:textId="4404C751" w:rsidR="00375D19" w:rsidRDefault="00B77FF9" w:rsidP="00375D19">
            <w:pPr>
              <w:pStyle w:val="DoEtabletext2018"/>
              <w:rPr>
                <w:lang w:eastAsia="en-US"/>
              </w:rPr>
            </w:pPr>
            <w:r w:rsidRPr="00B77FF9">
              <w:rPr>
                <w:lang w:eastAsia="en-US"/>
              </w:rPr>
              <w:t>sample space</w:t>
            </w:r>
          </w:p>
        </w:tc>
        <w:tc>
          <w:tcPr>
            <w:tcW w:w="11900" w:type="dxa"/>
          </w:tcPr>
          <w:p w14:paraId="4A5AB797" w14:textId="2D31C323" w:rsidR="00375D19" w:rsidRDefault="000C7A77" w:rsidP="00375D19">
            <w:pPr>
              <w:pStyle w:val="DoEtabletext2018"/>
              <w:rPr>
                <w:lang w:eastAsia="en-US"/>
              </w:rPr>
            </w:pPr>
            <w:r>
              <w:rPr>
                <w:rFonts w:ascii="Arial" w:hAnsi="Arial" w:cs="Arial"/>
                <w:color w:val="000000"/>
              </w:rPr>
              <w:t>The sample space of a chance experiment is the set of all possible outcomes for that experiment.</w:t>
            </w:r>
          </w:p>
        </w:tc>
      </w:tr>
      <w:tr w:rsidR="00B77FF9" w14:paraId="046E8C85" w14:textId="77777777" w:rsidTr="00350BB5">
        <w:trPr>
          <w:cantSplit/>
          <w:tblHeader/>
        </w:trPr>
        <w:tc>
          <w:tcPr>
            <w:tcW w:w="3681" w:type="dxa"/>
          </w:tcPr>
          <w:p w14:paraId="54AA7AC0" w14:textId="3FFA0C1A" w:rsidR="00B77FF9" w:rsidRPr="00B77FF9" w:rsidRDefault="00B77FF9" w:rsidP="00375D19">
            <w:pPr>
              <w:pStyle w:val="DoEtabletext2018"/>
              <w:rPr>
                <w:lang w:eastAsia="en-US"/>
              </w:rPr>
            </w:pPr>
            <w:r w:rsidRPr="00B77FF9">
              <w:rPr>
                <w:lang w:eastAsia="en-US"/>
              </w:rPr>
              <w:t>tree diagrams</w:t>
            </w:r>
          </w:p>
        </w:tc>
        <w:tc>
          <w:tcPr>
            <w:tcW w:w="11900" w:type="dxa"/>
          </w:tcPr>
          <w:p w14:paraId="2B33FC9B" w14:textId="1BA12373" w:rsidR="00B77FF9" w:rsidRDefault="000C7A77" w:rsidP="00375D19">
            <w:pPr>
              <w:pStyle w:val="DoEtabletext2018"/>
              <w:rPr>
                <w:lang w:eastAsia="en-US"/>
              </w:rPr>
            </w:pPr>
            <w:r>
              <w:rPr>
                <w:rFonts w:ascii="Arial" w:hAnsi="Arial" w:cs="Arial"/>
                <w:color w:val="000000"/>
              </w:rPr>
              <w:t>A tree diagram is a diagram that can be used to determine the outcomes of a multistep random experiment. A probability tree diagram has the probability for each stage written on the branches.</w:t>
            </w:r>
          </w:p>
        </w:tc>
      </w:tr>
    </w:tbl>
    <w:p w14:paraId="6091EE61" w14:textId="7DA6FCC1" w:rsidR="00D1249E" w:rsidRPr="00E94371" w:rsidRDefault="00AF338E" w:rsidP="00B77FF9">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D45D0A">
        <w:trPr>
          <w:tblHeader/>
        </w:trPr>
        <w:tc>
          <w:tcPr>
            <w:tcW w:w="1994" w:type="dxa"/>
          </w:tcPr>
          <w:p w14:paraId="2244F9FA" w14:textId="77777777" w:rsidR="00DC0AA8" w:rsidRDefault="00DC0AA8" w:rsidP="00A75D4F">
            <w:pPr>
              <w:pStyle w:val="DoEtableheading2018"/>
            </w:pPr>
            <w:r>
              <w:lastRenderedPageBreak/>
              <w:t>Lesson sequence</w:t>
            </w:r>
          </w:p>
        </w:tc>
        <w:tc>
          <w:tcPr>
            <w:tcW w:w="3950" w:type="dxa"/>
          </w:tcPr>
          <w:p w14:paraId="4B36C210" w14:textId="77777777" w:rsidR="00DC0AA8" w:rsidRDefault="00DC0AA8" w:rsidP="00A75D4F">
            <w:pPr>
              <w:pStyle w:val="DoEtableheading2018"/>
            </w:pPr>
            <w:r>
              <w:t>Content</w:t>
            </w:r>
          </w:p>
        </w:tc>
        <w:tc>
          <w:tcPr>
            <w:tcW w:w="5314" w:type="dxa"/>
          </w:tcPr>
          <w:p w14:paraId="0EBFBC47" w14:textId="77777777" w:rsidR="00DC0AA8" w:rsidRDefault="00DC0AA8" w:rsidP="00A75D4F">
            <w:pPr>
              <w:pStyle w:val="DoEtableheading2018"/>
            </w:pPr>
            <w:r>
              <w:t xml:space="preserve">Suggested teaching strategies and resources </w:t>
            </w:r>
          </w:p>
        </w:tc>
        <w:tc>
          <w:tcPr>
            <w:tcW w:w="1144" w:type="dxa"/>
          </w:tcPr>
          <w:p w14:paraId="6CA6A8D0" w14:textId="77777777" w:rsidR="00DC0AA8" w:rsidRDefault="00DC0AA8" w:rsidP="00A75D4F">
            <w:pPr>
              <w:pStyle w:val="DoEtableheading2018"/>
            </w:pPr>
            <w:r>
              <w:t>Date and initial</w:t>
            </w:r>
          </w:p>
        </w:tc>
        <w:tc>
          <w:tcPr>
            <w:tcW w:w="2986" w:type="dxa"/>
          </w:tcPr>
          <w:p w14:paraId="50A7162B" w14:textId="77777777" w:rsidR="00DC0AA8" w:rsidRDefault="00DC0AA8" w:rsidP="00A75D4F">
            <w:pPr>
              <w:pStyle w:val="DoEtableheading2018"/>
            </w:pPr>
            <w:r>
              <w:t>Comments, feedback, additional resources used</w:t>
            </w:r>
          </w:p>
        </w:tc>
      </w:tr>
      <w:tr w:rsidR="00564925" w14:paraId="50CAAE15" w14:textId="77777777" w:rsidTr="00D45D0A">
        <w:trPr>
          <w:trHeight w:val="1222"/>
        </w:trPr>
        <w:tc>
          <w:tcPr>
            <w:tcW w:w="1994" w:type="dxa"/>
          </w:tcPr>
          <w:p w14:paraId="16BCF3AE" w14:textId="4FA1C23B" w:rsidR="00564925" w:rsidRDefault="000B1561" w:rsidP="00CE10CD">
            <w:pPr>
              <w:pStyle w:val="DoEtabletext2018"/>
            </w:pPr>
            <w:r>
              <w:t>Place events on probability scaled and construct sample space for an experiment</w:t>
            </w:r>
            <w:r>
              <w:br/>
              <w:t>(2 lessons)</w:t>
            </w:r>
          </w:p>
        </w:tc>
        <w:tc>
          <w:tcPr>
            <w:tcW w:w="3950" w:type="dxa"/>
          </w:tcPr>
          <w:p w14:paraId="0F3B455D" w14:textId="77777777" w:rsidR="00B77FF9" w:rsidRPr="008904CD" w:rsidRDefault="00B77FF9" w:rsidP="00B77FF9">
            <w:pPr>
              <w:pStyle w:val="DoEtablelist1bullet2018"/>
            </w:pPr>
            <w:r w:rsidRPr="008904CD">
              <w:t xml:space="preserve">review, understand and use the language associated with theoretical probability and relative frequency ◊ </w:t>
            </w:r>
            <w:r w:rsidRPr="008904CD">
              <w:rPr>
                <w:b/>
                <w:noProof/>
                <w:position w:val="-3"/>
                <w:lang w:eastAsia="en-AU"/>
              </w:rPr>
              <w:drawing>
                <wp:inline distT="0" distB="0" distL="0" distR="0" wp14:anchorId="786D9386" wp14:editId="1EC16ED9">
                  <wp:extent cx="60884" cy="133200"/>
                  <wp:effectExtent l="0" t="0" r="0" b="635"/>
                  <wp:docPr id="266" name="Picture 26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7DC63559" wp14:editId="37F99237">
                  <wp:extent cx="133350" cy="104775"/>
                  <wp:effectExtent l="0" t="0" r="0" b="9525"/>
                  <wp:docPr id="282" name="image3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27.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6FE0B83B" w14:textId="77777777" w:rsidR="00B77FF9" w:rsidRPr="00B77FF9" w:rsidRDefault="00B77FF9" w:rsidP="00B77FF9">
            <w:pPr>
              <w:pStyle w:val="DoEtablelist2bullet2018"/>
            </w:pPr>
            <w:r w:rsidRPr="00B77FF9">
              <w:t>construct a sample space for an experiment and use it to determine the number of outcomes (ACMEM154)</w:t>
            </w:r>
          </w:p>
          <w:p w14:paraId="1B089929" w14:textId="77777777" w:rsidR="00B77FF9" w:rsidRPr="00B77FF9" w:rsidRDefault="00B77FF9" w:rsidP="00B77FF9">
            <w:pPr>
              <w:pStyle w:val="DoEtablelist2bullet2018"/>
            </w:pPr>
            <w:r w:rsidRPr="00B77FF9">
              <w:t>review probability as a measure of the ‘likely chance of occurrence’ of an event (ACMMM052)</w:t>
            </w:r>
          </w:p>
          <w:p w14:paraId="69DD242A" w14:textId="306B306B" w:rsidR="00564925" w:rsidRPr="004B7544" w:rsidRDefault="00B77FF9" w:rsidP="00B77FF9">
            <w:pPr>
              <w:pStyle w:val="DoEtablelist2bullet2018"/>
            </w:pPr>
            <w:r w:rsidRPr="00B77FF9">
              <w:t xml:space="preserve">review the probability scale: </w:t>
            </w:r>
            <m:oMath>
              <m:r>
                <m:rPr>
                  <m:sty m:val="p"/>
                </m:rPr>
                <w:rPr>
                  <w:rFonts w:ascii="Cambria Math" w:hAnsi="Cambria Math"/>
                </w:rPr>
                <m:t>0≤</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)≤1</m:t>
              </m:r>
            </m:oMath>
            <w:r w:rsidRPr="00B77FF9">
              <w:t xml:space="preserve"> for each event </w:t>
            </w:r>
            <m:oMath>
              <m:r>
                <w:rPr>
                  <w:rFonts w:ascii="Cambria Math" w:hAnsi="Cambria Math"/>
                </w:rPr>
                <m:t>A</m:t>
              </m:r>
            </m:oMath>
            <w:r w:rsidRPr="00B77FF9">
              <w:t xml:space="preserve">, with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m:t>
              </m:r>
            </m:oMath>
            <w:r w:rsidRPr="00B77FF9">
              <w:t xml:space="preserve"> if </w:t>
            </w:r>
            <m:oMath>
              <m:r>
                <w:rPr>
                  <w:rFonts w:ascii="Cambria Math" w:hAnsi="Cambria Math"/>
                </w:rPr>
                <m:t>A</m:t>
              </m:r>
            </m:oMath>
            <w:r w:rsidRPr="00B77FF9">
              <w:t xml:space="preserve"> is an impossibility and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=1</m:t>
              </m:r>
            </m:oMath>
            <w:r w:rsidRPr="00B77FF9">
              <w:t xml:space="preserve"> if </w:t>
            </w:r>
            <m:oMath>
              <m:r>
                <w:rPr>
                  <w:rFonts w:ascii="Cambria Math" w:hAnsi="Cambria Math"/>
                </w:rPr>
                <m:t>A</m:t>
              </m:r>
            </m:oMath>
            <w:r w:rsidRPr="00B77FF9">
              <w:t xml:space="preserve"> is a certainty (ACMMM053)</w:t>
            </w:r>
          </w:p>
        </w:tc>
        <w:tc>
          <w:tcPr>
            <w:tcW w:w="5314" w:type="dxa"/>
          </w:tcPr>
          <w:p w14:paraId="4F21C054" w14:textId="26200824" w:rsidR="3F520549" w:rsidRDefault="3F520549" w:rsidP="00A3194F">
            <w:pPr>
              <w:pStyle w:val="DoEtableheading2018"/>
              <w:rPr>
                <w:lang w:eastAsia="en-US"/>
              </w:rPr>
            </w:pPr>
            <w:r w:rsidRPr="3F520549">
              <w:t>Language of probability</w:t>
            </w:r>
          </w:p>
          <w:p w14:paraId="0725B259" w14:textId="77777777" w:rsidR="00B77FF9" w:rsidRDefault="00B77FF9" w:rsidP="00B77FF9">
            <w:pPr>
              <w:pStyle w:val="DoEtablelist1bullet2018"/>
              <w:rPr>
                <w:lang w:eastAsia="en-US"/>
              </w:rPr>
            </w:pPr>
            <w:r>
              <w:rPr>
                <w:lang w:eastAsia="en-US"/>
              </w:rPr>
              <w:t>Students need to ensure they understand how to calculate the basic probability and represent the probability in an appropriate numerical form.</w:t>
            </w:r>
          </w:p>
          <w:p w14:paraId="5539AF5E" w14:textId="10EFA53E" w:rsidR="001868DA" w:rsidRDefault="001868DA" w:rsidP="001868DA">
            <w:pPr>
              <w:pStyle w:val="DoEtablelist1bullet2018"/>
              <w:rPr>
                <w:lang w:eastAsia="en-US"/>
              </w:rPr>
            </w:pPr>
            <w:r>
              <w:rPr>
                <w:lang w:eastAsia="en-US"/>
              </w:rPr>
              <w:t xml:space="preserve">Teacher to show the </w:t>
            </w:r>
            <w:hyperlink r:id="rId15" w:history="1">
              <w:r>
                <w:rPr>
                  <w:rStyle w:val="Hyperlink"/>
                  <w:lang w:eastAsia="en-US"/>
                </w:rPr>
                <w:t>Unbelievable highway accident</w:t>
              </w:r>
            </w:hyperlink>
            <w:r>
              <w:rPr>
                <w:lang w:eastAsia="en-US"/>
              </w:rPr>
              <w:t xml:space="preserve"> video as an introduction to probability.</w:t>
            </w:r>
          </w:p>
          <w:p w14:paraId="48491AB6" w14:textId="08C3A911" w:rsidR="004B4DA7" w:rsidRPr="0093191C" w:rsidRDefault="002A0EB2" w:rsidP="00B77FF9">
            <w:pPr>
              <w:pStyle w:val="DoEtablelist1bullet2018"/>
              <w:rPr>
                <w:rStyle w:val="eop"/>
                <w:lang w:eastAsia="en-US"/>
              </w:rPr>
            </w:pPr>
            <w:r>
              <w:rPr>
                <w:lang w:eastAsia="en-US"/>
              </w:rPr>
              <w:t>Teacher to c</w:t>
            </w:r>
            <w:r w:rsidR="004B4DA7">
              <w:rPr>
                <w:rStyle w:val="normaltextrun"/>
                <w:rFonts w:ascii="Helvetica" w:hAnsi="Helvetica" w:cs="Helvetica"/>
                <w:color w:val="000000"/>
                <w:shd w:val="clear" w:color="auto" w:fill="FFFFFF"/>
              </w:rPr>
              <w:t>reate a scale on the board or using a piece of string hung across the classroom going from 0 to 1. Give students a post-it </w:t>
            </w:r>
            <w:r w:rsidR="004B4DA7">
              <w:rPr>
                <w:rStyle w:val="contextualspellingandgrammarerror"/>
                <w:rFonts w:ascii="Helvetica" w:hAnsi="Helvetica" w:cs="Helvetica"/>
                <w:color w:val="000000"/>
                <w:shd w:val="clear" w:color="auto" w:fill="FFFFFF"/>
              </w:rPr>
              <w:t>note</w:t>
            </w:r>
            <w:r w:rsidR="004B4DA7">
              <w:rPr>
                <w:rStyle w:val="normaltextrun"/>
                <w:rFonts w:ascii="Helvetica" w:hAnsi="Helvetica" w:cs="Helvetica"/>
                <w:color w:val="000000"/>
                <w:shd w:val="clear" w:color="auto" w:fill="FFFFFF"/>
              </w:rPr>
              <w:t> and have them place a probability word (pre-prepared or made up by the students) in an appropriate place in the scale. The activity could be extended to include fractions/decimals/percentages that the students put on the scale too.</w:t>
            </w:r>
            <w:r w:rsidR="004B4DA7">
              <w:rPr>
                <w:rStyle w:val="eop"/>
                <w:rFonts w:ascii="Helvetica" w:hAnsi="Helvetica" w:cs="Helvetica"/>
                <w:color w:val="000000"/>
                <w:shd w:val="clear" w:color="auto" w:fill="FFFFFF"/>
              </w:rPr>
              <w:t> </w:t>
            </w:r>
            <w:hyperlink r:id="rId16" w:tgtFrame="_blank" w:history="1">
              <w:r w:rsidR="004B4DA7">
                <w:rPr>
                  <w:rStyle w:val="normaltextrun"/>
                  <w:rFonts w:ascii="Helvetica" w:hAnsi="Helvetica" w:cs="Helvetica"/>
                  <w:color w:val="040DC2"/>
                  <w:u w:val="single"/>
                  <w:shd w:val="clear" w:color="auto" w:fill="FFFFFF"/>
                </w:rPr>
                <w:t>Probability Washing Line</w:t>
              </w:r>
            </w:hyperlink>
            <w:r w:rsidR="004B4DA7">
              <w:rPr>
                <w:rStyle w:val="eop"/>
                <w:rFonts w:ascii="Helvetica" w:hAnsi="Helvetica" w:cs="Helvetica"/>
                <w:color w:val="000000"/>
                <w:shd w:val="clear" w:color="auto" w:fill="FFFFFF"/>
              </w:rPr>
              <w:t> </w:t>
            </w:r>
          </w:p>
          <w:p w14:paraId="20051C4D" w14:textId="5947DD45" w:rsidR="0093191C" w:rsidRDefault="0093191C" w:rsidP="0093191C">
            <w:pPr>
              <w:pStyle w:val="DoEtablelist2bullet2018"/>
              <w:rPr>
                <w:lang w:eastAsia="en-US"/>
              </w:rPr>
            </w:pPr>
            <w:r>
              <w:rPr>
                <w:lang w:eastAsia="en-US"/>
              </w:rPr>
              <w:t xml:space="preserve">Teachers could compare the students’ results with those </w:t>
            </w:r>
            <w:r w:rsidR="001868DA">
              <w:rPr>
                <w:lang w:eastAsia="en-US"/>
              </w:rPr>
              <w:t xml:space="preserve">of 1700 people displayed at </w:t>
            </w:r>
            <w:hyperlink r:id="rId17" w:history="1">
              <w:r w:rsidR="001868DA">
                <w:rPr>
                  <w:rStyle w:val="Hyperlink"/>
                  <w:lang w:eastAsia="en-US"/>
                </w:rPr>
                <w:t>If you say something is likely, how likely do people think it is?</w:t>
              </w:r>
            </w:hyperlink>
            <w:r>
              <w:rPr>
                <w:lang w:eastAsia="en-US"/>
              </w:rPr>
              <w:t xml:space="preserve"> </w:t>
            </w:r>
          </w:p>
          <w:p w14:paraId="34648C8A" w14:textId="6111DED2" w:rsidR="00B77FF9" w:rsidRDefault="002E415F" w:rsidP="00B77FF9">
            <w:pPr>
              <w:pStyle w:val="DoEtablelist1bullet2018"/>
              <w:rPr>
                <w:lang w:eastAsia="en-US"/>
              </w:rPr>
            </w:pPr>
            <w:r>
              <w:rPr>
                <w:lang w:eastAsia="en-US"/>
              </w:rPr>
              <w:t xml:space="preserve">Student activity: </w:t>
            </w:r>
            <w:r w:rsidR="00B77FF9">
              <w:rPr>
                <w:lang w:eastAsia="en-US"/>
              </w:rPr>
              <w:t>Students identify/construct the sample space for some common experiments in probability. For example; rolling a die/two dice, cards in a normal deck, flipping coins</w:t>
            </w:r>
          </w:p>
          <w:p w14:paraId="63C143CF" w14:textId="3CFBDEF2" w:rsidR="00B77FF9" w:rsidRPr="00EB57E9" w:rsidRDefault="002E415F" w:rsidP="002E415F">
            <w:pPr>
              <w:pStyle w:val="DoEtablelist1bullet2018"/>
              <w:rPr>
                <w:rStyle w:val="DoEstrongemphasis2018"/>
                <w:b w:val="0"/>
              </w:rPr>
            </w:pPr>
            <w:r>
              <w:rPr>
                <w:rStyle w:val="DoEstrongemphasis2018"/>
                <w:b w:val="0"/>
              </w:rPr>
              <w:t xml:space="preserve">Student activity: Students investigate the game </w:t>
            </w:r>
            <w:hyperlink r:id="rId18" w:history="1">
              <w:r>
                <w:rPr>
                  <w:rStyle w:val="Hyperlink"/>
                </w:rPr>
                <w:t>Odds and Evens</w:t>
              </w:r>
            </w:hyperlink>
            <w:r>
              <w:rPr>
                <w:rStyle w:val="DoEstrongemphasis2018"/>
                <w:b w:val="0"/>
              </w:rPr>
              <w:t xml:space="preserve">. Is it a fair game? </w:t>
            </w:r>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D45D0A">
        <w:trPr>
          <w:trHeight w:val="1222"/>
        </w:trPr>
        <w:tc>
          <w:tcPr>
            <w:tcW w:w="1994" w:type="dxa"/>
          </w:tcPr>
          <w:p w14:paraId="5DDF3E89" w14:textId="2493C911" w:rsidR="00564925" w:rsidRDefault="000B1561" w:rsidP="00CE10CD">
            <w:pPr>
              <w:pStyle w:val="DoEtabletext2018"/>
            </w:pPr>
            <w:r>
              <w:t>Calculate probabilities for experiments</w:t>
            </w:r>
            <w:r>
              <w:br/>
              <w:t>(2 lessons)</w:t>
            </w:r>
          </w:p>
        </w:tc>
        <w:tc>
          <w:tcPr>
            <w:tcW w:w="3950" w:type="dxa"/>
          </w:tcPr>
          <w:p w14:paraId="1C02316A" w14:textId="77777777" w:rsidR="008C1F52" w:rsidRPr="008904CD" w:rsidRDefault="008C1F52" w:rsidP="008C1F52">
            <w:pPr>
              <w:pStyle w:val="DoEtablelist1bullet2018"/>
            </w:pPr>
            <w:r w:rsidRPr="008904CD">
              <w:t xml:space="preserve">determine the probabilities associated with simple games and experiments ◊ </w:t>
            </w:r>
            <w:r w:rsidRPr="008904CD">
              <w:rPr>
                <w:b/>
                <w:noProof/>
                <w:position w:val="-3"/>
                <w:lang w:eastAsia="en-AU"/>
              </w:rPr>
              <w:drawing>
                <wp:inline distT="0" distB="0" distL="0" distR="0" wp14:anchorId="5E2DA87E" wp14:editId="18A5D30D">
                  <wp:extent cx="60884" cy="133200"/>
                  <wp:effectExtent l="0" t="0" r="0" b="635"/>
                  <wp:docPr id="269" name="Picture 26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1B2E66E2" w14:textId="77777777" w:rsidR="008C1F52" w:rsidRPr="008904CD" w:rsidRDefault="008C1F52" w:rsidP="008C1F52">
            <w:pPr>
              <w:pStyle w:val="DoEtablelist2bullet2018"/>
            </w:pPr>
            <w:r w:rsidRPr="008904CD">
              <w:t xml:space="preserve">use the following definition of probability of an event where </w:t>
            </w:r>
            <w:r w:rsidRPr="008904CD">
              <w:lastRenderedPageBreak/>
              <w:t xml:space="preserve">outcomes are equally likely: </w:t>
            </w:r>
            <m:oMath>
              <m:r>
                <w:rPr>
                  <w:rFonts w:ascii="Cambria Math" w:hAnsi="Cambria Math"/>
                </w:rPr>
                <m:t>P(</m:t>
              </m:r>
              <m:r>
                <m:rPr>
                  <m:sty m:val="p"/>
                </m:rPr>
                <w:rPr>
                  <w:rFonts w:ascii="Cambria Math" w:hAnsi="Cambria Math"/>
                </w:rPr>
                <m:t>event</m:t>
              </m:r>
              <m:r>
                <w:rPr>
                  <w:rFonts w:ascii="Cambria Math" w:hAnsi="Cambria Math"/>
                </w:rPr>
                <m:t>)=</m:t>
              </m:r>
              <m:f>
                <m:fPr>
                  <m:ctrlPr>
                    <w:rPr>
                      <w:rFonts w:ascii="Cambria Math" w:hAnsi="Cambria Math"/>
                    </w:rPr>
                  </m:ctrlPr>
                </m:fPr>
                <m:num>
                  <m:r>
                    <m:rPr>
                      <m:sty m:val="p"/>
                    </m:rPr>
                    <w:rPr>
                      <w:rFonts w:ascii="Cambria Math" w:hAnsi="Cambria Math"/>
                    </w:rPr>
                    <m:t>number of favourable outcomes</m:t>
                  </m:r>
                </m:num>
                <m:den>
                  <m:r>
                    <m:rPr>
                      <m:sty m:val="p"/>
                    </m:rPr>
                    <w:rPr>
                      <w:rFonts w:ascii="Cambria Math" w:hAnsi="Cambria Math"/>
                    </w:rPr>
                    <m:t>total number of outcomes</m:t>
                  </m:r>
                </m:den>
              </m:f>
            </m:oMath>
          </w:p>
          <w:p w14:paraId="586F0774" w14:textId="146CE896" w:rsidR="00564925" w:rsidRPr="008904CD" w:rsidRDefault="00564925" w:rsidP="008C1F52">
            <w:pPr>
              <w:pStyle w:val="DoEtablelist2bullet2018"/>
              <w:numPr>
                <w:ilvl w:val="0"/>
                <w:numId w:val="0"/>
              </w:numPr>
            </w:pPr>
          </w:p>
        </w:tc>
        <w:tc>
          <w:tcPr>
            <w:tcW w:w="5314" w:type="dxa"/>
          </w:tcPr>
          <w:p w14:paraId="5D7DC6A3" w14:textId="568EF998" w:rsidR="3F520549" w:rsidRDefault="3F520549" w:rsidP="3F520549">
            <w:pPr>
              <w:pStyle w:val="DoEtableheading2018"/>
            </w:pPr>
            <w:r w:rsidRPr="3F520549">
              <w:lastRenderedPageBreak/>
              <w:t>Calculating simple probabilities</w:t>
            </w:r>
          </w:p>
          <w:p w14:paraId="36813AD1" w14:textId="7954CDF7" w:rsidR="004B4DA7" w:rsidRDefault="3F520549" w:rsidP="3F520549">
            <w:pPr>
              <w:pStyle w:val="DoEtablelist1bullet2018"/>
              <w:rPr>
                <w:lang w:eastAsia="en-AU"/>
              </w:rPr>
            </w:pPr>
            <w:r w:rsidRPr="3F520549">
              <w:t>Student activity: Students play ‘Beano’ as outlined below. Have them calculate the probability of rolling each total and then determine a winning strategy.</w:t>
            </w:r>
          </w:p>
          <w:p w14:paraId="3FB2F028" w14:textId="77777777" w:rsidR="00BF59BB" w:rsidRPr="00BF59BB" w:rsidRDefault="3F520549" w:rsidP="3F520549">
            <w:pPr>
              <w:pStyle w:val="DoEtablelist2bullet2018"/>
              <w:rPr>
                <w:rStyle w:val="normaltextrun"/>
              </w:rPr>
            </w:pPr>
            <w:r w:rsidRPr="3F520549">
              <w:lastRenderedPageBreak/>
              <w:t xml:space="preserve">Each student has a game board and 12 cubes/beans/counters. They place the twelve cubes above the numbers they predict will be rolled (two dice will be rolled and the faces added). </w:t>
            </w:r>
          </w:p>
          <w:p w14:paraId="16BA3214" w14:textId="6293579A" w:rsidR="004B4DA7" w:rsidRDefault="3F520549" w:rsidP="3F520549">
            <w:pPr>
              <w:pStyle w:val="DoEtablelist2bullet2018"/>
            </w:pPr>
            <w:r w:rsidRPr="3F520549">
              <w:t>When the dice are rolled, if there is a cube above the sum then the student takes it away. Whoever clears the board first wins.</w:t>
            </w:r>
          </w:p>
          <w:p w14:paraId="09012F65" w14:textId="07BA30F4" w:rsidR="004B4DA7" w:rsidRDefault="00BF59BB" w:rsidP="002B1B41">
            <w:pPr>
              <w:pStyle w:val="DoEtablelist1bullet2018"/>
              <w:rPr>
                <w:lang w:eastAsia="en-AU"/>
              </w:rPr>
            </w:pPr>
            <w:r>
              <w:rPr>
                <w:rStyle w:val="normaltextrun"/>
                <w:rFonts w:cs="Arial"/>
              </w:rPr>
              <w:t xml:space="preserve">Student activity: </w:t>
            </w:r>
            <w:r w:rsidR="004B4DA7">
              <w:rPr>
                <w:rStyle w:val="normaltextrun"/>
                <w:rFonts w:cs="Arial"/>
              </w:rPr>
              <w:t>Students play Greedy Pig</w:t>
            </w:r>
            <w:r w:rsidR="004B4DA7">
              <w:rPr>
                <w:rStyle w:val="eop"/>
                <w:rFonts w:cs="Arial"/>
              </w:rPr>
              <w:t> </w:t>
            </w:r>
            <w:r>
              <w:rPr>
                <w:rStyle w:val="eop"/>
                <w:rFonts w:cs="Arial"/>
              </w:rPr>
              <w:t>as outlined below. Discuss with students their strategy and the reason for their strategy.</w:t>
            </w:r>
            <w:r w:rsidR="00C969C1">
              <w:rPr>
                <w:rStyle w:val="eop"/>
                <w:rFonts w:cs="Arial"/>
              </w:rPr>
              <w:t xml:space="preserve"> How often should a ‘1’ appear in theory? How often does is actually appear in practise?</w:t>
            </w:r>
          </w:p>
          <w:p w14:paraId="4B013EE2" w14:textId="77777777" w:rsidR="00BF59BB" w:rsidRPr="00BF59BB" w:rsidRDefault="004B4DA7" w:rsidP="002B1B41">
            <w:pPr>
              <w:pStyle w:val="DoEtablelist2bullet2018"/>
              <w:rPr>
                <w:rStyle w:val="normaltextrun"/>
              </w:rPr>
            </w:pPr>
            <w:r>
              <w:rPr>
                <w:rStyle w:val="normaltextrun"/>
                <w:rFonts w:cs="Arial"/>
              </w:rPr>
              <w:t xml:space="preserve">The aim of the game is to get the highest score after 10 rounds. </w:t>
            </w:r>
          </w:p>
          <w:p w14:paraId="586C3C57" w14:textId="77777777" w:rsidR="00C969C1" w:rsidRPr="00C969C1" w:rsidRDefault="004B4DA7" w:rsidP="002B1B41">
            <w:pPr>
              <w:pStyle w:val="DoEtablelist2bullet2018"/>
              <w:rPr>
                <w:rStyle w:val="normaltextrun"/>
              </w:rPr>
            </w:pPr>
            <w:r>
              <w:rPr>
                <w:rStyle w:val="normaltextrun"/>
                <w:rFonts w:cs="Arial"/>
              </w:rPr>
              <w:t xml:space="preserve">Students start by standing up. Each time the die is rolled, you must add the number on the die to the sum of your previous rolls. </w:t>
            </w:r>
          </w:p>
          <w:p w14:paraId="5AA5B5D5" w14:textId="77777777" w:rsidR="00C969C1" w:rsidRPr="00C969C1" w:rsidRDefault="004B4DA7" w:rsidP="002B1B41">
            <w:pPr>
              <w:pStyle w:val="DoEtablelist2bullet2018"/>
              <w:rPr>
                <w:rStyle w:val="normaltextrun"/>
              </w:rPr>
            </w:pPr>
            <w:r>
              <w:rPr>
                <w:rStyle w:val="normaltextrun"/>
                <w:rFonts w:cs="Arial"/>
              </w:rPr>
              <w:t>A player can 'sit down' at any time. When a player sits, they keep all the points they have earned in the </w:t>
            </w:r>
            <w:r>
              <w:rPr>
                <w:rStyle w:val="contextualspellingandgrammarerror"/>
                <w:rFonts w:cs="Arial"/>
              </w:rPr>
              <w:t>round, but</w:t>
            </w:r>
            <w:r>
              <w:rPr>
                <w:rStyle w:val="normaltextrun"/>
                <w:rFonts w:cs="Arial"/>
              </w:rPr>
              <w:t xml:space="preserve"> are not able to earn more points until the next round. </w:t>
            </w:r>
          </w:p>
          <w:p w14:paraId="5B869BA1" w14:textId="77777777" w:rsidR="00C969C1" w:rsidRPr="00C969C1" w:rsidRDefault="004B4DA7" w:rsidP="002B1B41">
            <w:pPr>
              <w:pStyle w:val="DoEtablelist2bullet2018"/>
              <w:rPr>
                <w:rStyle w:val="normaltextrun"/>
              </w:rPr>
            </w:pPr>
            <w:r>
              <w:rPr>
                <w:rStyle w:val="normaltextrun"/>
                <w:rFonts w:cs="Arial"/>
              </w:rPr>
              <w:t xml:space="preserve">When a one is rolled, all 'standing' players lose the points they have accumulated in the current round. </w:t>
            </w:r>
          </w:p>
          <w:p w14:paraId="0D83E7D2" w14:textId="6CF5FA28" w:rsidR="004B4DA7" w:rsidRPr="00C969C1" w:rsidRDefault="004B4DA7" w:rsidP="002B1B41">
            <w:pPr>
              <w:pStyle w:val="DoEtablelist2bullet2018"/>
              <w:rPr>
                <w:rStyle w:val="eop"/>
              </w:rPr>
            </w:pPr>
            <w:r>
              <w:rPr>
                <w:rStyle w:val="normaltextrun"/>
                <w:rFonts w:cs="Arial"/>
              </w:rPr>
              <w:t>The player with the most points at the end of 10 rounds wins.</w:t>
            </w:r>
            <w:r>
              <w:rPr>
                <w:rStyle w:val="eop"/>
                <w:rFonts w:cs="Arial"/>
              </w:rPr>
              <w:t> </w:t>
            </w:r>
          </w:p>
          <w:p w14:paraId="338AB4A3" w14:textId="3D9171D2" w:rsidR="00C969C1" w:rsidRDefault="00C969C1" w:rsidP="002B1B41">
            <w:pPr>
              <w:pStyle w:val="DoEtablelist1bullet2018"/>
              <w:rPr>
                <w:rStyle w:val="eop"/>
                <w:rFonts w:cs="Arial"/>
              </w:rPr>
            </w:pPr>
            <w:r>
              <w:rPr>
                <w:rStyle w:val="eop"/>
                <w:rFonts w:cs="Arial"/>
              </w:rPr>
              <w:t xml:space="preserve">Student activity: </w:t>
            </w:r>
            <w:r w:rsidR="00EC4C2F">
              <w:rPr>
                <w:rStyle w:val="eop"/>
                <w:rFonts w:cs="Arial"/>
              </w:rPr>
              <w:t>Students to investigate a situation where they are to toss a coin 20 times.</w:t>
            </w:r>
          </w:p>
          <w:p w14:paraId="0FC84B46" w14:textId="03DE349B" w:rsidR="00EC4C2F" w:rsidRPr="00EC4C2F" w:rsidRDefault="00EC4C2F" w:rsidP="002B1B41">
            <w:pPr>
              <w:pStyle w:val="DoEtablelist2bullet2018"/>
              <w:rPr>
                <w:rStyle w:val="eop"/>
              </w:rPr>
            </w:pPr>
            <w:r>
              <w:rPr>
                <w:rStyle w:val="eop"/>
                <w:rFonts w:cs="Arial"/>
              </w:rPr>
              <w:t xml:space="preserve">What do they expect to </w:t>
            </w:r>
            <w:r w:rsidRPr="00EC4C2F">
              <w:rPr>
                <w:rStyle w:val="eop"/>
              </w:rPr>
              <w:t>happen?</w:t>
            </w:r>
          </w:p>
          <w:p w14:paraId="7E94C8B7" w14:textId="6F4775ED" w:rsidR="00EC4C2F" w:rsidRPr="00EC4C2F" w:rsidRDefault="00EC4C2F" w:rsidP="002B1B41">
            <w:pPr>
              <w:pStyle w:val="DoEtablelist2bullet2018"/>
              <w:rPr>
                <w:rStyle w:val="eop"/>
              </w:rPr>
            </w:pPr>
            <w:r w:rsidRPr="00EC4C2F">
              <w:rPr>
                <w:rStyle w:val="eop"/>
              </w:rPr>
              <w:t>They toss 4 heads on the</w:t>
            </w:r>
            <w:r>
              <w:rPr>
                <w:rStyle w:val="eop"/>
                <w:rFonts w:cs="Arial"/>
              </w:rPr>
              <w:t xml:space="preserve">ir first 4 throws, what do they think will happen in the next 16 throws? </w:t>
            </w:r>
          </w:p>
          <w:p w14:paraId="23840A3F" w14:textId="141070E8" w:rsidR="00EC4C2F" w:rsidRPr="00EC4C2F" w:rsidRDefault="00EC4C2F" w:rsidP="002B1B41">
            <w:pPr>
              <w:pStyle w:val="DoEtablelist2bullet2018"/>
              <w:rPr>
                <w:rStyle w:val="eop"/>
              </w:rPr>
            </w:pPr>
            <w:r>
              <w:rPr>
                <w:rStyle w:val="eop"/>
                <w:rFonts w:cs="Arial"/>
              </w:rPr>
              <w:t>Student A thinks they will still end up with 10 heads and 10 tails</w:t>
            </w:r>
          </w:p>
          <w:p w14:paraId="55C81E17" w14:textId="573BBDF2" w:rsidR="00EC4C2F" w:rsidRPr="00EC4C2F" w:rsidRDefault="00EC4C2F" w:rsidP="002B1B41">
            <w:pPr>
              <w:pStyle w:val="DoEtablelist2bullet2018"/>
              <w:rPr>
                <w:rStyle w:val="eop"/>
              </w:rPr>
            </w:pPr>
            <w:r>
              <w:rPr>
                <w:rStyle w:val="eop"/>
                <w:rFonts w:cs="Arial"/>
              </w:rPr>
              <w:t>Student B thinks they will end up with 12 heads and 8 tails</w:t>
            </w:r>
          </w:p>
          <w:p w14:paraId="29F2CA80" w14:textId="6D1197C4" w:rsidR="00EC4C2F" w:rsidRDefault="00EC4C2F" w:rsidP="002B1B41">
            <w:pPr>
              <w:pStyle w:val="DoEtablelist2bullet2018"/>
            </w:pPr>
            <w:r>
              <w:rPr>
                <w:rStyle w:val="eop"/>
                <w:rFonts w:cs="Arial"/>
              </w:rPr>
              <w:t>Who is correct? Student to toss a coin until they get 4 heads in a row. They then need to record what they get in the next 16 throws, to prove which student is correct.</w:t>
            </w:r>
          </w:p>
          <w:p w14:paraId="30AE2CF6" w14:textId="77777777" w:rsidR="00EC4C2F" w:rsidRPr="00EC4C2F" w:rsidRDefault="00EC4C2F" w:rsidP="002B1B41">
            <w:pPr>
              <w:pStyle w:val="DoEtablelist1bullet2018"/>
              <w:rPr>
                <w:lang w:eastAsia="en-US"/>
              </w:rPr>
            </w:pPr>
            <w:r>
              <w:t xml:space="preserve">Student activity: Students investigate the probability of winning various </w:t>
            </w:r>
            <w:hyperlink r:id="rId19" w:history="1">
              <w:r w:rsidRPr="007F08DE">
                <w:rPr>
                  <w:rStyle w:val="Hyperlink"/>
                  <w:lang w:eastAsia="en-US"/>
                </w:rPr>
                <w:t>Dice Games</w:t>
              </w:r>
            </w:hyperlink>
            <w:r>
              <w:rPr>
                <w:rStyle w:val="Hyperlink"/>
                <w:lang w:eastAsia="en-US"/>
              </w:rPr>
              <w:t xml:space="preserve"> </w:t>
            </w:r>
            <w:r w:rsidRPr="00EC4C2F">
              <w:rPr>
                <w:rStyle w:val="Hyperlink"/>
                <w:color w:val="auto"/>
                <w:u w:val="none"/>
                <w:lang w:eastAsia="en-US"/>
              </w:rPr>
              <w:t>to determine whether they are ‘fair’ or not</w:t>
            </w:r>
          </w:p>
          <w:p w14:paraId="6D40B46B" w14:textId="28292E07" w:rsidR="004B4DA7" w:rsidRDefault="00C969C1" w:rsidP="002B1B41">
            <w:pPr>
              <w:pStyle w:val="DoEtablelist1bullet2018"/>
              <w:rPr>
                <w:lang w:eastAsia="en-US"/>
              </w:rPr>
            </w:pPr>
            <w:r>
              <w:rPr>
                <w:rStyle w:val="normaltextrun"/>
                <w:rFonts w:cs="Arial"/>
                <w:color w:val="000000"/>
                <w:shd w:val="clear" w:color="auto" w:fill="FFFFFF"/>
              </w:rPr>
              <w:t xml:space="preserve">Student activity: </w:t>
            </w:r>
            <w:r w:rsidR="004B4DA7">
              <w:rPr>
                <w:rStyle w:val="normaltextrun"/>
                <w:rFonts w:cs="Arial"/>
                <w:color w:val="000000"/>
                <w:shd w:val="clear" w:color="auto" w:fill="FFFFFF"/>
              </w:rPr>
              <w:t>Students could create their own game/experiment and record the probabilities of the different outcomes. They could be asked to make the game fair or biased and justify how they achieved this.</w:t>
            </w:r>
            <w:r w:rsidR="004B4DA7">
              <w:rPr>
                <w:rStyle w:val="eop"/>
                <w:rFonts w:cs="Arial"/>
                <w:color w:val="000000"/>
                <w:shd w:val="clear" w:color="auto" w:fill="FFFFFF"/>
              </w:rPr>
              <w:t> </w:t>
            </w:r>
          </w:p>
          <w:p w14:paraId="35DD86FB" w14:textId="77777777" w:rsidR="00350BB5" w:rsidRDefault="008C1F52" w:rsidP="002B1B41">
            <w:pPr>
              <w:pStyle w:val="DoEtablelist1bullet2018"/>
              <w:rPr>
                <w:lang w:eastAsia="en-US"/>
              </w:rPr>
            </w:pPr>
            <w:r>
              <w:rPr>
                <w:lang w:eastAsia="en-US"/>
              </w:rPr>
              <w:t xml:space="preserve">The teacher could pose some reverse questions by giving a probability and have students come up with an event that matches. For example; </w:t>
            </w:r>
          </w:p>
          <w:p w14:paraId="79B7ED7C" w14:textId="079ECB03" w:rsidR="008C1F52" w:rsidRDefault="00350BB5" w:rsidP="002B1B41">
            <w:pPr>
              <w:pStyle w:val="DoEtabletext2018"/>
              <w:ind w:left="425"/>
              <w:rPr>
                <w:lang w:eastAsia="en-US"/>
              </w:rPr>
            </w:pPr>
            <m:oMath>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event</m:t>
                  </m:r>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2</m:t>
                  </m:r>
                </m:num>
                <m:den>
                  <m:r>
                    <w:rPr>
                      <w:rFonts w:ascii="Cambria Math" w:hAnsi="Cambria Math"/>
                      <w:lang w:eastAsia="en-US"/>
                    </w:rPr>
                    <m:t>13</m:t>
                  </m:r>
                </m:den>
              </m:f>
            </m:oMath>
            <w:r w:rsidR="008C1F52">
              <w:rPr>
                <w:lang w:eastAsia="en-US"/>
              </w:rPr>
              <w:t xml:space="preserve"> (Students may say that the event is selecting an Ace or King from a deck of cards.</w:t>
            </w:r>
          </w:p>
          <w:p w14:paraId="64F6EBF0" w14:textId="140D4E15" w:rsidR="002B1B41" w:rsidRDefault="002B1B41" w:rsidP="002B1B41">
            <w:pPr>
              <w:pStyle w:val="DoEtabletext2018"/>
            </w:pPr>
          </w:p>
          <w:p w14:paraId="5D79486E" w14:textId="6A4B4A0E" w:rsidR="002B1B41" w:rsidRDefault="002B1B41" w:rsidP="002B1B41">
            <w:pPr>
              <w:pStyle w:val="DoEtableheading2018"/>
              <w:rPr>
                <w:lang w:eastAsia="en-AU"/>
              </w:rPr>
            </w:pPr>
            <w:r>
              <w:t>Exemplar question:</w:t>
            </w:r>
          </w:p>
          <w:p w14:paraId="52F085F3" w14:textId="1E8810BD" w:rsidR="002B1B41" w:rsidRDefault="002B1B41" w:rsidP="002B1B41">
            <w:pPr>
              <w:pStyle w:val="DoEtabletext2018"/>
              <w:rPr>
                <w:rFonts w:ascii="Arial" w:hAnsi="Arial"/>
                <w:sz w:val="24"/>
                <w:lang w:eastAsia="en-AU"/>
              </w:rPr>
            </w:pPr>
            <w:r>
              <w:t>Jo and Lee each have a spinner. Jo’s spinner can land on 1, 2, 3, 4 or 5 and Lee’s spinner can land on A, B, C, or D. They spin their spinners simultaneously.</w:t>
            </w:r>
          </w:p>
          <w:p w14:paraId="704F9F4E" w14:textId="77777777" w:rsidR="002B1B41" w:rsidRDefault="002B1B41" w:rsidP="002B1B41">
            <w:pPr>
              <w:pStyle w:val="DoEtablelist2numbered2018"/>
            </w:pPr>
            <w:r>
              <w:t>Use an array to list all possible outcomes.</w:t>
            </w:r>
          </w:p>
          <w:p w14:paraId="399F5FFC" w14:textId="77777777" w:rsidR="002B1B41" w:rsidRDefault="7A7DBAAA" w:rsidP="002B1B41">
            <w:pPr>
              <w:pStyle w:val="DoEtablelist2numbered2018"/>
            </w:pPr>
            <w:r>
              <w:t xml:space="preserve">What is the probability that the spinners show a D and an even number? </w:t>
            </w:r>
          </w:p>
          <w:p w14:paraId="367DC662" w14:textId="36501338" w:rsidR="008C1F52" w:rsidRPr="00912BE4" w:rsidRDefault="7A7DBAAA" w:rsidP="002B1B41">
            <w:pPr>
              <w:pStyle w:val="DoEtabletext2018"/>
              <w:rPr>
                <w:rStyle w:val="DoEstrongemphasis2018"/>
                <w:b w:val="0"/>
              </w:rPr>
            </w:pPr>
            <w:r w:rsidRPr="7A7DBAAA">
              <w:rPr>
                <w:b/>
                <w:bCs/>
              </w:rPr>
              <w:t>Resource:</w:t>
            </w:r>
            <w:r w:rsidRPr="7A7DBAAA">
              <w:t xml:space="preserve"> ms-s2-nesa-exemplar-question-solutions.DOCX</w:t>
            </w:r>
          </w:p>
        </w:tc>
        <w:tc>
          <w:tcPr>
            <w:tcW w:w="1144" w:type="dxa"/>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C36BF" w14:paraId="782D7D74" w14:textId="77777777" w:rsidTr="00D45D0A">
        <w:trPr>
          <w:trHeight w:val="479"/>
        </w:trPr>
        <w:tc>
          <w:tcPr>
            <w:tcW w:w="1994" w:type="dxa"/>
          </w:tcPr>
          <w:p w14:paraId="74AC2B23" w14:textId="0AD5C3E6" w:rsidR="005C36BF" w:rsidRDefault="000B1561" w:rsidP="00564925">
            <w:pPr>
              <w:pStyle w:val="DoEtabletext2018"/>
            </w:pPr>
            <w:r>
              <w:t>Calculate the probability of complementary events</w:t>
            </w:r>
            <w:r>
              <w:br/>
              <w:t>(1 lesson)</w:t>
            </w:r>
          </w:p>
        </w:tc>
        <w:tc>
          <w:tcPr>
            <w:tcW w:w="3950" w:type="dxa"/>
          </w:tcPr>
          <w:p w14:paraId="0BFFD1EF" w14:textId="5472A759" w:rsidR="005C36BF" w:rsidRDefault="008C1F52" w:rsidP="0012644E">
            <w:pPr>
              <w:pStyle w:val="DoElist2bullet2018"/>
              <w:ind w:left="867"/>
              <w:rPr>
                <w:lang w:eastAsia="en-US"/>
              </w:rPr>
            </w:pPr>
            <w:r w:rsidRPr="0012644E">
              <w:rPr>
                <w:sz w:val="20"/>
              </w:rPr>
              <w:t xml:space="preserve">calculate the probability of the complement of an event using the relationship </w:t>
            </w:r>
            <m:oMath>
              <m:r>
                <w:rPr>
                  <w:rFonts w:ascii="Cambria Math" w:hAnsi="Cambria Math"/>
                  <w:sz w:val="20"/>
                </w:rPr>
                <m:t>P(</m:t>
              </m:r>
              <m:r>
                <m:rPr>
                  <m:sty m:val="p"/>
                </m:rPr>
                <w:rPr>
                  <w:rFonts w:ascii="Cambria Math" w:hAnsi="Cambria Math"/>
                  <w:sz w:val="20"/>
                </w:rPr>
                <m:t>an event does not occur</m:t>
              </m:r>
              <m:r>
                <w:rPr>
                  <w:rFonts w:ascii="Cambria Math" w:hAnsi="Cambria Math"/>
                  <w:sz w:val="20"/>
                </w:rPr>
                <m:t>)=1-P(</m:t>
              </m:r>
              <m:r>
                <m:rPr>
                  <m:sty m:val="p"/>
                </m:rPr>
                <w:rPr>
                  <w:rFonts w:ascii="Cambria Math" w:hAnsi="Cambria Math"/>
                  <w:sz w:val="20"/>
                </w:rPr>
                <m:t>the event does occur</m:t>
              </m:r>
              <m:r>
                <w:rPr>
                  <w:rFonts w:ascii="Cambria Math" w:hAnsi="Cambria Math"/>
                  <w:sz w:val="20"/>
                </w:rPr>
                <m:t>)=P(</m:t>
              </m:r>
              <m:acc>
                <m:accPr>
                  <m:chr m:val="̅"/>
                  <m:ctrlPr>
                    <w:rPr>
                      <w:rFonts w:ascii="Cambria Math" w:hAnsi="Cambria Math"/>
                      <w:sz w:val="20"/>
                    </w:rPr>
                  </m:ctrlPr>
                </m:accPr>
                <m:e>
                  <m:r>
                    <m:rPr>
                      <m:sty m:val="p"/>
                    </m:rPr>
                    <w:rPr>
                      <w:rFonts w:ascii="Cambria Math" w:hAnsi="Cambria Math"/>
                      <w:sz w:val="20"/>
                    </w:rPr>
                    <m:t>the event does occur</m:t>
                  </m:r>
                </m:e>
              </m:acc>
              <m:r>
                <w:rPr>
                  <w:rFonts w:ascii="Cambria Math" w:hAnsi="Cambria Math"/>
                  <w:sz w:val="20"/>
                </w:rPr>
                <m:t>)=P(</m:t>
              </m:r>
              <m:sSup>
                <m:sSupPr>
                  <m:ctrlPr>
                    <w:rPr>
                      <w:rFonts w:ascii="Cambria Math" w:hAnsi="Cambria Math"/>
                      <w:i/>
                      <w:sz w:val="20"/>
                    </w:rPr>
                  </m:ctrlPr>
                </m:sSupPr>
                <m:e>
                  <m:r>
                    <m:rPr>
                      <m:sty m:val="p"/>
                    </m:rPr>
                    <w:rPr>
                      <w:rFonts w:ascii="Cambria Math" w:hAnsi="Cambria Math"/>
                      <w:sz w:val="20"/>
                    </w:rPr>
                    <m:t>event</m:t>
                  </m:r>
                </m:e>
                <m:sup>
                  <m:r>
                    <w:rPr>
                      <w:rFonts w:ascii="Cambria Math" w:hAnsi="Cambria Math"/>
                      <w:sz w:val="20"/>
                    </w:rPr>
                    <m:t>c</m:t>
                  </m:r>
                </m:sup>
              </m:sSup>
              <m:r>
                <w:rPr>
                  <w:rFonts w:ascii="Cambria Math" w:hAnsi="Cambria Math"/>
                  <w:sz w:val="20"/>
                </w:rPr>
                <m:t>)</m:t>
              </m:r>
            </m:oMath>
          </w:p>
        </w:tc>
        <w:tc>
          <w:tcPr>
            <w:tcW w:w="5314" w:type="dxa"/>
          </w:tcPr>
          <w:p w14:paraId="2797E266" w14:textId="40926BED" w:rsidR="3F520549" w:rsidRDefault="3F520549" w:rsidP="3F520549">
            <w:pPr>
              <w:pStyle w:val="DoEtableheading2018"/>
              <w:rPr>
                <w:rStyle w:val="normaltextrun"/>
                <w:rFonts w:cs="Arial"/>
              </w:rPr>
            </w:pPr>
            <w:r w:rsidRPr="3F520549">
              <w:t>Introducing complementary events</w:t>
            </w:r>
          </w:p>
          <w:p w14:paraId="4B9AC456" w14:textId="713F01D7" w:rsidR="004B4DA7" w:rsidRDefault="00912BE4" w:rsidP="004B4DA7">
            <w:pPr>
              <w:pStyle w:val="DoEtablelist1bullet2018"/>
              <w:rPr>
                <w:lang w:eastAsia="en-AU"/>
              </w:rPr>
            </w:pPr>
            <w:r>
              <w:rPr>
                <w:rStyle w:val="normaltextrun"/>
                <w:rFonts w:cs="Arial"/>
              </w:rPr>
              <w:t xml:space="preserve">Student activity: </w:t>
            </w:r>
            <w:r w:rsidR="004B4DA7">
              <w:rPr>
                <w:rStyle w:val="normaltextrun"/>
                <w:rFonts w:cs="Arial"/>
              </w:rPr>
              <w:t>Students could be familiarised with complementary events using concrete materials.</w:t>
            </w:r>
            <w:r w:rsidR="004B4DA7">
              <w:rPr>
                <w:rStyle w:val="eop"/>
                <w:rFonts w:cs="Arial"/>
              </w:rPr>
              <w:t> </w:t>
            </w:r>
          </w:p>
          <w:p w14:paraId="3698A4D1" w14:textId="77777777" w:rsidR="00912BE4" w:rsidRPr="00912BE4" w:rsidRDefault="004B4DA7" w:rsidP="00912BE4">
            <w:pPr>
              <w:pStyle w:val="DoEtablelist2bullet2018"/>
              <w:rPr>
                <w:rStyle w:val="normaltextrun"/>
              </w:rPr>
            </w:pPr>
            <w:r>
              <w:rPr>
                <w:rStyle w:val="normaltextrun"/>
                <w:rFonts w:cs="Arial"/>
              </w:rPr>
              <w:t xml:space="preserve">Students have a pack of playing cards and are asked to find the complement to drawing a red card. The red cards are put in a pile and the remaining pile is the complement to drawing a red card (which is drawing a black card). </w:t>
            </w:r>
          </w:p>
          <w:p w14:paraId="0B6AEB04" w14:textId="5359C99E" w:rsidR="004B4DA7" w:rsidRDefault="004B4DA7" w:rsidP="00912BE4">
            <w:pPr>
              <w:pStyle w:val="DoEtablelist2bullet2018"/>
            </w:pPr>
            <w:r>
              <w:rPr>
                <w:rStyle w:val="normaltextrun"/>
                <w:rFonts w:cs="Arial"/>
              </w:rPr>
              <w:t>The teacher could then complete with other pairs of complementary events (such as drawing a 7 or drawing an even number).</w:t>
            </w:r>
            <w:r>
              <w:rPr>
                <w:rStyle w:val="eop"/>
                <w:rFonts w:cs="Arial"/>
              </w:rPr>
              <w:t> </w:t>
            </w:r>
          </w:p>
          <w:p w14:paraId="75228BF2" w14:textId="334336BE" w:rsidR="004B4DA7" w:rsidRDefault="00912BE4" w:rsidP="00D92FB2">
            <w:pPr>
              <w:pStyle w:val="DoEtablelist1bullet2018"/>
              <w:rPr>
                <w:lang w:eastAsia="en-US"/>
              </w:rPr>
            </w:pPr>
            <w:r>
              <w:rPr>
                <w:lang w:eastAsia="en-US"/>
              </w:rPr>
              <w:t xml:space="preserve">Student activity: Students complete the </w:t>
            </w:r>
            <w:hyperlink r:id="rId20" w:history="1">
              <w:r>
                <w:rPr>
                  <w:rStyle w:val="Hyperlink"/>
                  <w:lang w:eastAsia="en-US"/>
                </w:rPr>
                <w:t>Complementary events treasure hunt</w:t>
              </w:r>
            </w:hyperlink>
            <w:r>
              <w:rPr>
                <w:lang w:eastAsia="en-US"/>
              </w:rPr>
              <w:t xml:space="preserve"> by starting at any poster; read the question; and then find the answer on another poster; they then read the question on that poster and so on.</w:t>
            </w:r>
          </w:p>
          <w:p w14:paraId="4D80BA1F" w14:textId="77777777" w:rsidR="008C1F52" w:rsidRDefault="008C1F52" w:rsidP="00912BE4">
            <w:pPr>
              <w:pStyle w:val="DoEtablelist1bullet2018"/>
              <w:numPr>
                <w:ilvl w:val="0"/>
                <w:numId w:val="0"/>
              </w:numPr>
              <w:ind w:left="425"/>
              <w:rPr>
                <w:rStyle w:val="DoEstrongemphasis2018"/>
                <w:b w:val="0"/>
              </w:rPr>
            </w:pPr>
          </w:p>
          <w:p w14:paraId="4F77BA2A" w14:textId="77777777" w:rsidR="00A3123D" w:rsidRDefault="00A3123D" w:rsidP="00A3123D">
            <w:pPr>
              <w:pStyle w:val="DoEtableheading2018"/>
              <w:rPr>
                <w:rStyle w:val="DoEstrongemphasis2018"/>
                <w:b/>
              </w:rPr>
            </w:pPr>
            <w:r>
              <w:rPr>
                <w:rStyle w:val="DoEstrongemphasis2018"/>
                <w:b/>
              </w:rPr>
              <w:t>Exemplar Question</w:t>
            </w:r>
          </w:p>
          <w:p w14:paraId="66A00C89" w14:textId="77777777" w:rsidR="00A3123D" w:rsidRPr="00A3123D" w:rsidRDefault="7A7DBAAA" w:rsidP="002B1B41">
            <w:pPr>
              <w:pStyle w:val="DoEtablelist1numbered2018"/>
              <w:numPr>
                <w:ilvl w:val="0"/>
                <w:numId w:val="0"/>
              </w:numPr>
              <w:ind w:left="113"/>
              <w:rPr>
                <w:lang w:eastAsia="en-AU"/>
              </w:rPr>
            </w:pPr>
            <w:r w:rsidRPr="7A7DBAAA">
              <w:rPr>
                <w:lang w:eastAsia="en-AU"/>
              </w:rPr>
              <w:t>In a collection of DVDs, five are rated ‘PG’, three are rated ‘G’, and two are rated ‘M’. If a DVD is selected at random from the collection, what is the probability that it is not rated ‘M’? </w:t>
            </w:r>
          </w:p>
          <w:p w14:paraId="589A4B15" w14:textId="1CFC2AB6" w:rsidR="7A7DBAAA" w:rsidRDefault="7A7DBAAA" w:rsidP="00CE10CD">
            <w:pPr>
              <w:pStyle w:val="DoEtabletext2018"/>
            </w:pPr>
            <w:r w:rsidRPr="7A7DBAAA">
              <w:rPr>
                <w:b/>
                <w:bCs/>
              </w:rPr>
              <w:t>Resource:</w:t>
            </w:r>
            <w:r w:rsidRPr="7A7DBAAA">
              <w:t xml:space="preserve"> ms-s2-nesa-exemplar-question-solutions.DOCX</w:t>
            </w:r>
          </w:p>
          <w:p w14:paraId="702566CF" w14:textId="10CACF19" w:rsidR="00A3123D" w:rsidRPr="008C1F52" w:rsidRDefault="00A3123D" w:rsidP="00912BE4">
            <w:pPr>
              <w:pStyle w:val="DoEtablelist1bullet2018"/>
              <w:numPr>
                <w:ilvl w:val="0"/>
                <w:numId w:val="0"/>
              </w:numPr>
              <w:ind w:left="425"/>
              <w:rPr>
                <w:rStyle w:val="DoEstrongemphasis2018"/>
                <w:b w:val="0"/>
              </w:rPr>
            </w:pPr>
          </w:p>
        </w:tc>
        <w:tc>
          <w:tcPr>
            <w:tcW w:w="1144" w:type="dxa"/>
          </w:tcPr>
          <w:p w14:paraId="65E5FAC0"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2D172CA" w14:textId="77777777" w:rsidR="005C36BF" w:rsidRDefault="005C36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19BF" w14:paraId="111FFE70" w14:textId="77777777" w:rsidTr="00D45D0A">
        <w:trPr>
          <w:trHeight w:val="1896"/>
        </w:trPr>
        <w:tc>
          <w:tcPr>
            <w:tcW w:w="1994" w:type="dxa"/>
          </w:tcPr>
          <w:p w14:paraId="455EBF80" w14:textId="1FA8FBC3" w:rsidR="006D19BF" w:rsidRDefault="000B1561" w:rsidP="00CE10CD">
            <w:pPr>
              <w:pStyle w:val="DoEtabletext2018"/>
            </w:pPr>
            <w:r>
              <w:t>Draws probability tree diagrams</w:t>
            </w:r>
            <w:r>
              <w:br/>
              <w:t>(2 lessons)</w:t>
            </w:r>
          </w:p>
        </w:tc>
        <w:tc>
          <w:tcPr>
            <w:tcW w:w="3950" w:type="dxa"/>
          </w:tcPr>
          <w:p w14:paraId="6C190A4E" w14:textId="77777777" w:rsidR="00791F92" w:rsidRPr="008904CD" w:rsidRDefault="00791F92" w:rsidP="00791F92">
            <w:pPr>
              <w:pStyle w:val="DoEtablelist1bullet2018"/>
            </w:pPr>
            <w:r w:rsidRPr="008904CD">
              <w:t xml:space="preserve">use arrays and tree diagrams to determine the outcomes and probabilities for multistage experiments (ACMEM156) </w:t>
            </w:r>
            <w:r w:rsidRPr="008904CD">
              <w:rPr>
                <w:b/>
              </w:rPr>
              <w:t>AAM</w:t>
            </w:r>
            <w:r w:rsidRPr="008904CD">
              <w:t xml:space="preserve"> </w:t>
            </w:r>
            <w:r w:rsidRPr="008904CD">
              <w:rPr>
                <w:b/>
                <w:noProof/>
                <w:position w:val="-3"/>
                <w:lang w:eastAsia="en-AU"/>
              </w:rPr>
              <w:drawing>
                <wp:inline distT="0" distB="0" distL="0" distR="0" wp14:anchorId="70B97588" wp14:editId="15DED187">
                  <wp:extent cx="60884" cy="133200"/>
                  <wp:effectExtent l="0" t="0" r="0" b="635"/>
                  <wp:docPr id="271" name="Picture 27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17AD523E" w14:textId="77777777" w:rsidR="00791F92" w:rsidRPr="008904CD" w:rsidRDefault="00791F92" w:rsidP="00791F92">
            <w:pPr>
              <w:pStyle w:val="DoEtablelist2bullet2018"/>
            </w:pPr>
            <w:r w:rsidRPr="008904CD">
              <w:t>construct and use tree diagrams to establish the outcomes for a simple multistage event</w:t>
            </w:r>
          </w:p>
          <w:p w14:paraId="5EE5753A" w14:textId="0D98F328" w:rsidR="006D19BF" w:rsidRDefault="00791F92" w:rsidP="00791F92">
            <w:pPr>
              <w:pStyle w:val="DoEtablelist2bullet2018"/>
            </w:pPr>
            <w:r w:rsidRPr="008904CD">
              <w:t>use probability tree diagrams to solve problems involving two-stage events</w:t>
            </w:r>
          </w:p>
        </w:tc>
        <w:tc>
          <w:tcPr>
            <w:tcW w:w="5314" w:type="dxa"/>
          </w:tcPr>
          <w:p w14:paraId="2E6FBAD0" w14:textId="3B597482" w:rsidR="3F520549" w:rsidRDefault="3F520549" w:rsidP="3F520549">
            <w:pPr>
              <w:pStyle w:val="DoEtableheading2018"/>
              <w:rPr>
                <w:lang w:eastAsia="en-US"/>
              </w:rPr>
            </w:pPr>
            <w:r w:rsidRPr="3F520549">
              <w:t>Introducing tree diagrams</w:t>
            </w:r>
          </w:p>
          <w:p w14:paraId="0185698D" w14:textId="47114C4E" w:rsidR="00791F92" w:rsidRDefault="3F520549" w:rsidP="00791F92">
            <w:pPr>
              <w:pStyle w:val="DoEtablelist1bullet2018"/>
              <w:rPr>
                <w:lang w:eastAsia="en-US"/>
              </w:rPr>
            </w:pPr>
            <w:r w:rsidRPr="3F520549">
              <w:rPr>
                <w:lang w:eastAsia="en-US"/>
              </w:rPr>
              <w:t>Students are provided with a definition and example of a multi-stage event. Students then brainstorm what types of experiments may be considered as multi-stage experiments and how many stages they have. Examples of multi stage events may be: tossing two coins, selecting one boy and one girl from a mixed class, selecting a high school student to represent the Newcastle school district by first selecting the high school, then the year group, then the student.</w:t>
            </w:r>
          </w:p>
          <w:p w14:paraId="0EE94FFE" w14:textId="2CF565C7" w:rsidR="3F520549" w:rsidRDefault="3F520549" w:rsidP="3F520549">
            <w:pPr>
              <w:pStyle w:val="DoEtableheading2018"/>
              <w:rPr>
                <w:lang w:eastAsia="en-US"/>
              </w:rPr>
            </w:pPr>
            <w:r w:rsidRPr="3F520549">
              <w:t>Using tree diagrams to calculate probability of multi-stage events</w:t>
            </w:r>
          </w:p>
          <w:p w14:paraId="7B0DF3DF" w14:textId="77777777" w:rsidR="00912BE4" w:rsidRDefault="00912BE4" w:rsidP="00912BE4">
            <w:pPr>
              <w:pStyle w:val="IOStablelist1bullet2017"/>
              <w:numPr>
                <w:ilvl w:val="0"/>
                <w:numId w:val="5"/>
              </w:numPr>
              <w:ind w:left="402" w:hanging="204"/>
              <w:rPr>
                <w:lang w:eastAsia="en-US"/>
              </w:rPr>
            </w:pPr>
            <w:r>
              <w:rPr>
                <w:lang w:eastAsia="en-US"/>
              </w:rPr>
              <w:t xml:space="preserve">Student activity: Students create the sample space for a two-up game and then determine the chances of winning </w:t>
            </w:r>
            <w:hyperlink r:id="rId21" w:history="1">
              <w:r w:rsidRPr="007F08DE">
                <w:rPr>
                  <w:rStyle w:val="Hyperlink"/>
                  <w:lang w:eastAsia="en-US"/>
                </w:rPr>
                <w:t>Rules of Two Up</w:t>
              </w:r>
            </w:hyperlink>
          </w:p>
          <w:p w14:paraId="7DA91982" w14:textId="7549F237" w:rsidR="00912BE4" w:rsidRDefault="00912BE4" w:rsidP="00791F92">
            <w:pPr>
              <w:pStyle w:val="DoEtablelist1bullet2018"/>
              <w:rPr>
                <w:lang w:eastAsia="en-US"/>
              </w:rPr>
            </w:pPr>
            <w:r>
              <w:rPr>
                <w:lang w:eastAsia="en-US"/>
              </w:rPr>
              <w:t>Student activity: Students draw a tree-diagram to determine the sample space of a scissor-paper-rock game.</w:t>
            </w:r>
          </w:p>
          <w:p w14:paraId="30DE293C" w14:textId="46A777B8" w:rsidR="00912BE4" w:rsidRDefault="00912BE4" w:rsidP="00912BE4">
            <w:pPr>
              <w:pStyle w:val="DoEtablelist2bullet2018"/>
              <w:rPr>
                <w:lang w:eastAsia="en-US"/>
              </w:rPr>
            </w:pPr>
            <w:r>
              <w:rPr>
                <w:lang w:eastAsia="en-US"/>
              </w:rPr>
              <w:t>They then determine if there is such thing as a winning strategy.</w:t>
            </w:r>
          </w:p>
          <w:p w14:paraId="605D3E2C" w14:textId="2DAC1764" w:rsidR="00912BE4" w:rsidRDefault="00912BE4" w:rsidP="00912BE4">
            <w:pPr>
              <w:pStyle w:val="DoEtablelist2bullet2018"/>
              <w:rPr>
                <w:lang w:eastAsia="en-US"/>
              </w:rPr>
            </w:pPr>
            <w:r>
              <w:rPr>
                <w:lang w:eastAsia="en-US"/>
              </w:rPr>
              <w:t>What happens to the probabilities and to the game if we introduce a well where both the stone and scissors fall into the well and lose to it, but paper covers both stone and well.</w:t>
            </w:r>
          </w:p>
          <w:p w14:paraId="3E0A1A17" w14:textId="0F293BAF" w:rsidR="00912BE4" w:rsidRDefault="00912BE4" w:rsidP="00912BE4">
            <w:pPr>
              <w:pStyle w:val="DoEtablelist2bullet2018"/>
              <w:rPr>
                <w:lang w:eastAsia="en-US"/>
              </w:rPr>
            </w:pPr>
            <w:r>
              <w:rPr>
                <w:lang w:eastAsia="en-US"/>
              </w:rPr>
              <w:t xml:space="preserve">Another variation of the game </w:t>
            </w:r>
            <w:r w:rsidR="00CC6016">
              <w:rPr>
                <w:lang w:eastAsia="en-US"/>
              </w:rPr>
              <w:t xml:space="preserve">was seen in “The </w:t>
            </w:r>
            <w:r w:rsidR="00CC6016" w:rsidRPr="00CC6016">
              <w:t>Big Bang Theory” -</w:t>
            </w:r>
            <w:r w:rsidRPr="00CC6016">
              <w:t xml:space="preserve"> rock paper scissor Spock lizard</w:t>
            </w:r>
            <w:r w:rsidR="00CC6016" w:rsidRPr="00CC6016">
              <w:t xml:space="preserve"> where Spock smashes scissors and vaporizes rock; he is poisoned by lizard and disproved by paper. Lizard poisons Spock and eats paper; it is crushed by rock and decapitated by scissors</w:t>
            </w:r>
            <w:r w:rsidR="00CC6016">
              <w:t>. Is this still a fair game?</w:t>
            </w:r>
          </w:p>
          <w:p w14:paraId="48641F0C" w14:textId="77777777" w:rsidR="00791F92" w:rsidRDefault="002B1B41" w:rsidP="002B1B41">
            <w:pPr>
              <w:pStyle w:val="DoEtableheading2018"/>
              <w:rPr>
                <w:rStyle w:val="DoEstrongemphasis2018"/>
                <w:b/>
              </w:rPr>
            </w:pPr>
            <w:r>
              <w:rPr>
                <w:rStyle w:val="DoEstrongemphasis2018"/>
                <w:b/>
              </w:rPr>
              <w:t>Exemplar question:</w:t>
            </w:r>
          </w:p>
          <w:p w14:paraId="2AD939B2" w14:textId="77777777" w:rsidR="002B1B41" w:rsidRDefault="002B1B41" w:rsidP="002B1B41">
            <w:pPr>
              <w:pStyle w:val="DoEtabletext2018"/>
              <w:rPr>
                <w:rFonts w:ascii="Arial" w:hAnsi="Arial"/>
                <w:sz w:val="24"/>
                <w:lang w:eastAsia="en-AU"/>
              </w:rPr>
            </w:pPr>
            <w:r>
              <w:t>Lou and Ali are on a fitness program for one month. The probability that Lou will finish the program successfully is 0.7, while the probability that Ali will finish it successfully is 0.6. The probability tree diagram shows this information.</w:t>
            </w:r>
          </w:p>
          <w:p w14:paraId="6A8718A9" w14:textId="26949BBE" w:rsidR="002B1B41" w:rsidRDefault="002B1B41" w:rsidP="002B1B41">
            <w:pPr>
              <w:ind w:left="397"/>
              <w:jc w:val="center"/>
            </w:pPr>
            <w:r>
              <w:rPr>
                <w:noProof/>
                <w:lang w:eastAsia="en-AU"/>
              </w:rPr>
              <w:drawing>
                <wp:inline distT="0" distB="0" distL="0" distR="0" wp14:anchorId="414DFA15" wp14:editId="071AB4BE">
                  <wp:extent cx="2286000" cy="1503045"/>
                  <wp:effectExtent l="0" t="0" r="0" b="1905"/>
                  <wp:docPr id="230" name="Picture 230" descr="The first stage of the tree diagram tree diagram divides into two branches. The first branch leads to Lou successful and there is a label of 0.7 on the branch. The second branch leads to Lou not successful and there is a label of 0.3 on the branch.&#10;&#10;The second stage of the tree diagram divides into two branches from each of the previous branches. In each case, one branch indicates Ali successful and is labelled 0.6, and the other is labelled Ali not successful and is labelled 0.4" title="Tree Diagram"/>
                  <wp:cNvGraphicFramePr/>
                  <a:graphic xmlns:a="http://schemas.openxmlformats.org/drawingml/2006/main">
                    <a:graphicData uri="http://schemas.openxmlformats.org/drawingml/2006/picture">
                      <pic:pic xmlns:pic="http://schemas.openxmlformats.org/drawingml/2006/picture">
                        <pic:nvPicPr>
                          <pic:cNvPr id="230" name="Picture 230" descr="The first stage of the tree diagram tree diagram divides into two branches. The first branch leads to Lou successful and there is a label of 0.7 on the branch. The second branch leads to Lou not successful and there is a label of 0.3 on the branch.&#10;&#10;The second stage of the tree diagram divides into two branches from each of the previous branches. In each case, one branch indicates Ali successful and is labelled 0.6, and the other is labelled Ali not successful and is labelled 0.4" title="Tree Diagram"/>
                          <pic:cNvPicPr/>
                        </pic:nvPicPr>
                        <pic:blipFill>
                          <a:blip r:embed="rId22"/>
                          <a:stretch>
                            <a:fillRect/>
                          </a:stretch>
                        </pic:blipFill>
                        <pic:spPr>
                          <a:xfrm>
                            <a:off x="0" y="0"/>
                            <a:ext cx="2288540" cy="1506855"/>
                          </a:xfrm>
                          <a:prstGeom prst="rect">
                            <a:avLst/>
                          </a:prstGeom>
                        </pic:spPr>
                      </pic:pic>
                    </a:graphicData>
                  </a:graphic>
                </wp:inline>
              </w:drawing>
            </w:r>
          </w:p>
          <w:p w14:paraId="5BC9F1AC" w14:textId="77777777" w:rsidR="002B1B41" w:rsidRDefault="7A7DBAAA" w:rsidP="002B1B41">
            <w:pPr>
              <w:pStyle w:val="DoEtabletext2018"/>
            </w:pPr>
            <w:r>
              <w:t>What is the probability that only one of Lou and Ali will be successful?</w:t>
            </w:r>
          </w:p>
          <w:p w14:paraId="271CF4C2" w14:textId="0EB80E19" w:rsidR="002B1B41" w:rsidRPr="006D19BF" w:rsidRDefault="7A7DBAAA" w:rsidP="7A7DBAAA">
            <w:pPr>
              <w:pStyle w:val="DoEtabletext2018"/>
            </w:pPr>
            <w:r w:rsidRPr="7A7DBAAA">
              <w:rPr>
                <w:b/>
                <w:bCs/>
              </w:rPr>
              <w:t>Resource:</w:t>
            </w:r>
            <w:r w:rsidRPr="7A7DBAAA">
              <w:t xml:space="preserve"> ms-s2-nesa-exemplar-question-solutions.DOCX</w:t>
            </w:r>
          </w:p>
          <w:p w14:paraId="23CF2935" w14:textId="48FF6875" w:rsidR="002B1B41" w:rsidRPr="006D19BF" w:rsidRDefault="002B1B41" w:rsidP="7A7DBAAA">
            <w:pPr>
              <w:pStyle w:val="DoEtablelist1bullet2018"/>
              <w:numPr>
                <w:ilvl w:val="0"/>
                <w:numId w:val="0"/>
              </w:numPr>
              <w:ind w:left="198" w:hanging="227"/>
              <w:rPr>
                <w:rStyle w:val="DoEstrongemphasis2018"/>
                <w:b w:val="0"/>
              </w:rPr>
            </w:pPr>
          </w:p>
        </w:tc>
        <w:tc>
          <w:tcPr>
            <w:tcW w:w="1144" w:type="dxa"/>
          </w:tcPr>
          <w:p w14:paraId="5D6CA8C0"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C92A711" w14:textId="77777777" w:rsidR="006D19BF" w:rsidRDefault="006D19BF"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91F92" w14:paraId="493E27B4" w14:textId="77777777" w:rsidTr="00D45D0A">
        <w:trPr>
          <w:trHeight w:val="1187"/>
        </w:trPr>
        <w:tc>
          <w:tcPr>
            <w:tcW w:w="1994" w:type="dxa"/>
          </w:tcPr>
          <w:p w14:paraId="72FA56B4" w14:textId="575B0896" w:rsidR="00791F92" w:rsidRDefault="000B1561" w:rsidP="00CE10CD">
            <w:pPr>
              <w:pStyle w:val="DoEtabletext2018"/>
            </w:pPr>
            <w:r>
              <w:t>Uses simulations to solve problems</w:t>
            </w:r>
            <w:r>
              <w:br/>
              <w:t>(2 lessons)</w:t>
            </w:r>
          </w:p>
        </w:tc>
        <w:tc>
          <w:tcPr>
            <w:tcW w:w="3950" w:type="dxa"/>
          </w:tcPr>
          <w:p w14:paraId="02A09057" w14:textId="77777777" w:rsidR="001F716B" w:rsidRPr="008904CD" w:rsidRDefault="001F716B" w:rsidP="001F716B">
            <w:pPr>
              <w:pStyle w:val="DoEtablelist1bullet2018"/>
            </w:pPr>
            <w:r w:rsidRPr="008904CD">
              <w:t xml:space="preserve">solve problems involving simulations or trials of experiments in a variety of contexts </w:t>
            </w:r>
            <w:r w:rsidRPr="008904CD">
              <w:rPr>
                <w:b/>
              </w:rPr>
              <w:t>AAM</w:t>
            </w:r>
            <w:r w:rsidRPr="008904CD">
              <w:t xml:space="preserve"> ◊ </w:t>
            </w:r>
            <w:r w:rsidRPr="008904CD">
              <w:rPr>
                <w:b/>
                <w:noProof/>
                <w:position w:val="-3"/>
                <w:lang w:eastAsia="en-AU"/>
              </w:rPr>
              <w:drawing>
                <wp:inline distT="0" distB="0" distL="0" distR="0" wp14:anchorId="134B9CA4" wp14:editId="56C5033D">
                  <wp:extent cx="60884" cy="133200"/>
                  <wp:effectExtent l="0" t="0" r="0" b="635"/>
                  <wp:docPr id="275" name="Picture 27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64CE0570" w14:textId="77777777" w:rsidR="001F716B" w:rsidRPr="008904CD" w:rsidRDefault="001F716B" w:rsidP="001F716B">
            <w:pPr>
              <w:pStyle w:val="DoEtablelist2bullet2018"/>
            </w:pPr>
            <w:r w:rsidRPr="008904CD">
              <w:t xml:space="preserve">perform simulations of experiments using technology (ACMEM150) </w:t>
            </w:r>
            <w:r w:rsidRPr="008904CD">
              <w:rPr>
                <w:noProof/>
                <w:lang w:eastAsia="en-AU"/>
              </w:rPr>
              <w:drawing>
                <wp:inline distT="114300" distB="114300" distL="114300" distR="114300" wp14:anchorId="5F1A15D2" wp14:editId="06C41141">
                  <wp:extent cx="133350" cy="104775"/>
                  <wp:effectExtent l="0" t="0" r="0" b="9525"/>
                  <wp:docPr id="342" name="image3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87.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4EB37D7E" w14:textId="77777777" w:rsidR="001F716B" w:rsidRPr="008904CD" w:rsidRDefault="001F716B" w:rsidP="001F716B">
            <w:pPr>
              <w:pStyle w:val="DoEtablelist2bullet2018"/>
            </w:pPr>
            <w:r w:rsidRPr="008904CD">
              <w:t>use relative frequency as an estimate of probability (ACMEM152)</w:t>
            </w:r>
          </w:p>
          <w:p w14:paraId="56E23984" w14:textId="77777777" w:rsidR="001F716B" w:rsidRPr="008904CD" w:rsidRDefault="001F716B" w:rsidP="001F716B">
            <w:pPr>
              <w:pStyle w:val="DoEtablelist2bullet2018"/>
            </w:pPr>
            <w:r w:rsidRPr="008904CD">
              <w:t xml:space="preserve">recognise that an increasing number of trials produces relative frequencies that gradually become closer in value to the theoretical probability </w:t>
            </w:r>
            <w:r w:rsidRPr="008904CD">
              <w:rPr>
                <w:noProof/>
                <w:lang w:eastAsia="en-AU"/>
              </w:rPr>
              <w:drawing>
                <wp:inline distT="114300" distB="114300" distL="114300" distR="114300" wp14:anchorId="2AD696AC" wp14:editId="055F16D6">
                  <wp:extent cx="133350" cy="104775"/>
                  <wp:effectExtent l="0" t="0" r="0" b="9525"/>
                  <wp:docPr id="338" name="image3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87.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08DD2025" w14:textId="0E4F9B19" w:rsidR="00791F92" w:rsidRPr="008904CD" w:rsidRDefault="001F716B" w:rsidP="001F716B">
            <w:pPr>
              <w:pStyle w:val="DoEtablelist2bullet2018"/>
            </w:pPr>
            <w:r w:rsidRPr="008904CD">
              <w:t>identify factors that could complicate the simulation of real-world events (ACMEM153)</w:t>
            </w:r>
          </w:p>
        </w:tc>
        <w:tc>
          <w:tcPr>
            <w:tcW w:w="5314" w:type="dxa"/>
          </w:tcPr>
          <w:p w14:paraId="3C0ACDC6" w14:textId="621C943C" w:rsidR="3F520549" w:rsidRDefault="3F520549" w:rsidP="3F520549">
            <w:pPr>
              <w:pStyle w:val="DoEtableheading2018"/>
            </w:pPr>
            <w:r w:rsidRPr="3F520549">
              <w:t>Using simulations to solve problems</w:t>
            </w:r>
          </w:p>
          <w:p w14:paraId="15D2635D" w14:textId="06DD685B" w:rsidR="001F716B" w:rsidRDefault="0086581C" w:rsidP="001F716B">
            <w:pPr>
              <w:pStyle w:val="DoEtablelist1bullet2018"/>
              <w:rPr>
                <w:lang w:eastAsia="en-US"/>
              </w:rPr>
            </w:pPr>
            <w:r>
              <w:rPr>
                <w:lang w:eastAsia="en-US"/>
              </w:rPr>
              <w:t xml:space="preserve">Student activity: </w:t>
            </w:r>
            <w:r w:rsidR="001F716B">
              <w:rPr>
                <w:lang w:eastAsia="en-US"/>
              </w:rPr>
              <w:t>Students complete a practical experiment rolling dice 60 times. Students then investigate and describe the effect of increasing the number of trials. Results from all students can then be pooled to observe the effect of increasing the number of trials of the experiment. Students should be able to observe that experimental and theoretical probability begin to align.</w:t>
            </w:r>
          </w:p>
          <w:p w14:paraId="433A928B" w14:textId="250165F6" w:rsidR="001F716B" w:rsidRDefault="001F716B" w:rsidP="001F716B">
            <w:pPr>
              <w:pStyle w:val="DoEtablelist1bullet2018"/>
              <w:rPr>
                <w:lang w:eastAsia="en-US"/>
              </w:rPr>
            </w:pPr>
            <w:r>
              <w:rPr>
                <w:lang w:eastAsia="en-US"/>
              </w:rPr>
              <w:t>Students use a spreadsheet to simulate the flipping of a coin/rolling a dice, and so on. Students investigate the difference between the expected probability and the experimental probability and what happens as the number of trials increases.</w:t>
            </w:r>
            <w:r w:rsidR="0086581C">
              <w:rPr>
                <w:lang w:eastAsia="en-US"/>
              </w:rPr>
              <w:t xml:space="preserve"> </w:t>
            </w:r>
            <w:hyperlink r:id="rId24" w:history="1">
              <w:r w:rsidR="0086581C">
                <w:rPr>
                  <w:rStyle w:val="Hyperlink"/>
                  <w:lang w:eastAsia="en-US"/>
                </w:rPr>
                <w:t>Probability simulations involving Spreadsheets</w:t>
              </w:r>
            </w:hyperlink>
          </w:p>
          <w:p w14:paraId="3914BB55" w14:textId="7618299E" w:rsidR="001F716B" w:rsidRDefault="0086581C" w:rsidP="001F716B">
            <w:pPr>
              <w:pStyle w:val="DoEtablelist1bullet2018"/>
              <w:rPr>
                <w:lang w:eastAsia="en-US"/>
              </w:rPr>
            </w:pPr>
            <w:r>
              <w:rPr>
                <w:lang w:eastAsia="en-US"/>
              </w:rPr>
              <w:t xml:space="preserve">Student activity: </w:t>
            </w:r>
            <w:r w:rsidR="001F716B">
              <w:rPr>
                <w:lang w:eastAsia="en-US"/>
              </w:rPr>
              <w:t>Students could conduct another dice rolling game “Roll a 6”. Students count how many times it takes to roll a 6 on a single die. Record this number and repeat. Consider, what might happen as you play this game over and over again. If 1000 people play this game, what would the average number of rolls needed be? What would the median be? Which would be larger/smaller?</w:t>
            </w:r>
          </w:p>
          <w:p w14:paraId="6B6387BD" w14:textId="692654AE" w:rsidR="001F716B" w:rsidRDefault="0086581C" w:rsidP="001F716B">
            <w:pPr>
              <w:pStyle w:val="DoEtablelist1bullet2018"/>
              <w:rPr>
                <w:lang w:eastAsia="en-US"/>
              </w:rPr>
            </w:pPr>
            <w:r>
              <w:rPr>
                <w:lang w:eastAsia="en-US"/>
              </w:rPr>
              <w:t>Student activity: Students use a spreadsheet to simulate Lotto. They use their simulation to see the most commonly and least commonly selected numbers before comparing their results with historical data.</w:t>
            </w:r>
            <w:r>
              <w:rPr>
                <w:lang w:eastAsia="en-US"/>
              </w:rPr>
              <w:br/>
            </w:r>
            <w:r>
              <w:rPr>
                <w:b/>
                <w:lang w:eastAsia="en-US"/>
              </w:rPr>
              <w:t>Resource:</w:t>
            </w:r>
            <w:r>
              <w:rPr>
                <w:lang w:eastAsia="en-US"/>
              </w:rPr>
              <w:t xml:space="preserve"> lotto-simulation.DOCX, lotto-simulation-example.XLXS</w:t>
            </w:r>
          </w:p>
          <w:p w14:paraId="12053063" w14:textId="77777777" w:rsidR="001F716B" w:rsidRDefault="0086581C" w:rsidP="001F716B">
            <w:pPr>
              <w:pStyle w:val="DoEtablelist1bullet2018"/>
              <w:rPr>
                <w:lang w:eastAsia="en-US"/>
              </w:rPr>
            </w:pPr>
            <w:r>
              <w:t>Student activity: Students simulate the chances of them passing their Learner driver test by using dice or a spreadsheet</w:t>
            </w:r>
            <w:r>
              <w:br/>
            </w:r>
            <w:r>
              <w:rPr>
                <w:b/>
              </w:rPr>
              <w:t xml:space="preserve">Resource: </w:t>
            </w:r>
            <w:r>
              <w:t>rolling-with-the-dice.DOCX</w:t>
            </w:r>
          </w:p>
          <w:p w14:paraId="09CFCD8E" w14:textId="205AE93B" w:rsidR="000B2B35" w:rsidRDefault="000B2B35" w:rsidP="001F716B">
            <w:pPr>
              <w:pStyle w:val="DoEtablelist1bullet2018"/>
              <w:rPr>
                <w:lang w:eastAsia="en-US"/>
              </w:rPr>
            </w:pPr>
            <w:r>
              <w:t xml:space="preserve">Student activity: Students to investigate the Monty Hall problem by using a </w:t>
            </w:r>
            <w:hyperlink r:id="rId25" w:history="1">
              <w:r w:rsidRPr="000B2B35">
                <w:rPr>
                  <w:rStyle w:val="Hyperlink"/>
                </w:rPr>
                <w:t>simulation</w:t>
              </w:r>
            </w:hyperlink>
            <w:r>
              <w:t xml:space="preserve"> to see how many times they win if the “switch” as opposed to keeping their original choice.</w:t>
            </w:r>
          </w:p>
          <w:p w14:paraId="2626DC85" w14:textId="37E6138A" w:rsidR="000B2B35" w:rsidRPr="001F716B" w:rsidRDefault="000B2B35" w:rsidP="000B2B35">
            <w:pPr>
              <w:pStyle w:val="DoEtablelist2bullet2018"/>
              <w:rPr>
                <w:rStyle w:val="DoEstrongemphasis2018"/>
                <w:b w:val="0"/>
                <w:lang w:eastAsia="en-US"/>
              </w:rPr>
            </w:pPr>
            <w:r>
              <w:t>Students could try and draw a tree diagram to verify their results.</w:t>
            </w:r>
          </w:p>
        </w:tc>
        <w:tc>
          <w:tcPr>
            <w:tcW w:w="1144" w:type="dxa"/>
          </w:tcPr>
          <w:p w14:paraId="3BE6B32F" w14:textId="77777777" w:rsidR="00791F92" w:rsidRDefault="00791F92"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C74D5E3" w14:textId="77777777" w:rsidR="00791F92" w:rsidRDefault="00791F92"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1F716B" w14:paraId="26690CF5" w14:textId="77777777" w:rsidTr="00D45D0A">
        <w:trPr>
          <w:trHeight w:val="3456"/>
        </w:trPr>
        <w:tc>
          <w:tcPr>
            <w:tcW w:w="1994" w:type="dxa"/>
          </w:tcPr>
          <w:p w14:paraId="21EB6E5A" w14:textId="223CD887" w:rsidR="001F716B" w:rsidRDefault="000B1561" w:rsidP="00CE10CD">
            <w:pPr>
              <w:pStyle w:val="DoEtabletext2018"/>
            </w:pPr>
            <w:r>
              <w:t>Calculates the relative and expected frequencies of events</w:t>
            </w:r>
            <w:r>
              <w:br/>
              <w:t>(3 lessons)</w:t>
            </w:r>
          </w:p>
        </w:tc>
        <w:tc>
          <w:tcPr>
            <w:tcW w:w="3950" w:type="dxa"/>
          </w:tcPr>
          <w:p w14:paraId="64298F14" w14:textId="77777777" w:rsidR="001F716B" w:rsidRPr="008904CD" w:rsidRDefault="001F716B" w:rsidP="001F716B">
            <w:pPr>
              <w:pStyle w:val="DoEtablelist1bullet2018"/>
            </w:pPr>
            <w:r w:rsidRPr="008904CD">
              <w:t xml:space="preserve">solve problems involving probability and/or relative frequency in a variety of contexts </w:t>
            </w:r>
            <w:r w:rsidRPr="008904CD">
              <w:rPr>
                <w:b/>
              </w:rPr>
              <w:t>AAM</w:t>
            </w:r>
            <w:r w:rsidRPr="008904CD">
              <w:t xml:space="preserve"> </w:t>
            </w:r>
            <w:r w:rsidRPr="008904CD">
              <w:rPr>
                <w:b/>
                <w:noProof/>
                <w:position w:val="-3"/>
                <w:lang w:eastAsia="en-AU"/>
              </w:rPr>
              <w:drawing>
                <wp:inline distT="0" distB="0" distL="0" distR="0" wp14:anchorId="40F32366" wp14:editId="4AA1CE94">
                  <wp:extent cx="60884" cy="133200"/>
                  <wp:effectExtent l="0" t="0" r="0" b="635"/>
                  <wp:docPr id="278" name="Picture 27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2962E32F" w14:textId="671657B0" w:rsidR="001F716B" w:rsidRPr="008904CD" w:rsidRDefault="001F716B" w:rsidP="001F716B">
            <w:pPr>
              <w:pStyle w:val="DoEtablelist2bullet2018"/>
            </w:pPr>
            <w:r w:rsidRPr="008904CD">
              <w:t xml:space="preserve">use existing known probabilities, or estimates based on relative frequencies to calculate expected frequency for a given sample or population, eg predicting, by calculation, the number of people of each blood type in a population given </w:t>
            </w:r>
            <w:r w:rsidR="0012644E">
              <w:t>a two-way table of</w:t>
            </w:r>
            <w:r w:rsidRPr="008904CD">
              <w:t xml:space="preserve"> percentage breakdowns</w:t>
            </w:r>
          </w:p>
          <w:p w14:paraId="5FF53647" w14:textId="724F68DA" w:rsidR="001F716B" w:rsidRPr="008904CD" w:rsidRDefault="001F716B" w:rsidP="001F716B">
            <w:pPr>
              <w:pStyle w:val="DoEtablelist2bullet2018"/>
            </w:pPr>
            <w:r w:rsidRPr="008904CD">
              <w:t xml:space="preserve">calculate the expected frequency of an event occurring using </w:t>
            </w:r>
            <m:oMath>
              <m:r>
                <w:rPr>
                  <w:rFonts w:ascii="Cambria Math" w:hAnsi="Cambria Math"/>
                </w:rPr>
                <m:t>np</m:t>
              </m:r>
            </m:oMath>
            <w:r w:rsidRPr="008904CD">
              <w:t xml:space="preserve"> where </w:t>
            </w:r>
            <m:oMath>
              <m:r>
                <w:rPr>
                  <w:rFonts w:ascii="Cambria Math" w:hAnsi="Cambria Math"/>
                </w:rPr>
                <m:t>n</m:t>
              </m:r>
            </m:oMath>
            <w:r w:rsidRPr="008904CD">
              <w:t xml:space="preserve"> represents the number of times an experiment is repeated, and on each of those times the probability that the event occurs is </w:t>
            </w:r>
            <m:oMath>
              <m:r>
                <w:rPr>
                  <w:rFonts w:ascii="Cambria Math" w:hAnsi="Cambria Math"/>
                </w:rPr>
                <m:t>p</m:t>
              </m:r>
            </m:oMath>
          </w:p>
        </w:tc>
        <w:tc>
          <w:tcPr>
            <w:tcW w:w="5314" w:type="dxa"/>
          </w:tcPr>
          <w:p w14:paraId="111E3F10" w14:textId="5DC9148E" w:rsidR="3F520549" w:rsidRDefault="3F520549" w:rsidP="3F520549">
            <w:pPr>
              <w:pStyle w:val="DoEtableheading2018"/>
              <w:rPr>
                <w:lang w:eastAsia="en-US"/>
              </w:rPr>
            </w:pPr>
            <w:r w:rsidRPr="3F520549">
              <w:t>Relative and expected frequency</w:t>
            </w:r>
          </w:p>
          <w:p w14:paraId="532B02C1" w14:textId="5FE223A0" w:rsidR="001F716B" w:rsidRDefault="00FC755F" w:rsidP="00F63215">
            <w:pPr>
              <w:pStyle w:val="DoEtablelist1bullet2018"/>
              <w:rPr>
                <w:lang w:eastAsia="en-US"/>
              </w:rPr>
            </w:pPr>
            <w:r>
              <w:rPr>
                <w:lang w:eastAsia="en-US"/>
              </w:rPr>
              <w:t xml:space="preserve">Student activity: </w:t>
            </w:r>
            <w:r w:rsidR="001F716B">
              <w:rPr>
                <w:lang w:eastAsia="en-US"/>
              </w:rPr>
              <w:t xml:space="preserve">Students investigate </w:t>
            </w:r>
            <w:hyperlink r:id="rId26" w:history="1">
              <w:r w:rsidRPr="00A95D6E">
                <w:rPr>
                  <w:rStyle w:val="Hyperlink"/>
                  <w:lang w:eastAsia="en-US"/>
                </w:rPr>
                <w:t>Blood types by country</w:t>
              </w:r>
            </w:hyperlink>
            <w:r>
              <w:rPr>
                <w:lang w:eastAsia="en-US"/>
              </w:rPr>
              <w:t xml:space="preserve"> and u</w:t>
            </w:r>
            <w:r w:rsidR="001F716B">
              <w:rPr>
                <w:lang w:eastAsia="en-US"/>
              </w:rPr>
              <w:t>se this data to solve problems around the number of people with certain blood types in particular populations. Students can calculate the expected number of people in each blood group when given the percentage of people with that blood type.</w:t>
            </w:r>
          </w:p>
          <w:p w14:paraId="017D8892" w14:textId="29619727" w:rsidR="00FC755F" w:rsidRDefault="00FC755F" w:rsidP="00FC755F">
            <w:pPr>
              <w:pStyle w:val="DoEtablelist2bullet2018"/>
              <w:rPr>
                <w:lang w:eastAsia="en-US"/>
              </w:rPr>
            </w:pPr>
            <w:r>
              <w:rPr>
                <w:lang w:eastAsia="en-US"/>
              </w:rPr>
              <w:t xml:space="preserve">The </w:t>
            </w:r>
            <w:hyperlink r:id="rId27" w:history="1">
              <w:r>
                <w:rPr>
                  <w:rStyle w:val="Hyperlink"/>
                  <w:lang w:eastAsia="en-US"/>
                </w:rPr>
                <w:t>Australian Red Cross</w:t>
              </w:r>
            </w:hyperlink>
            <w:r>
              <w:rPr>
                <w:rStyle w:val="Hyperlink"/>
                <w:lang w:eastAsia="en-US"/>
              </w:rPr>
              <w:t xml:space="preserve"> </w:t>
            </w:r>
            <w:r w:rsidRPr="00FC755F">
              <w:rPr>
                <w:rStyle w:val="Hyperlink"/>
                <w:color w:val="auto"/>
                <w:u w:val="none"/>
                <w:lang w:eastAsia="en-US"/>
              </w:rPr>
              <w:t>contains more information about what the different blood types are used for.</w:t>
            </w:r>
            <w:r w:rsidRPr="00FC755F">
              <w:rPr>
                <w:lang w:eastAsia="en-US"/>
              </w:rPr>
              <w:t xml:space="preserve"> </w:t>
            </w:r>
          </w:p>
          <w:p w14:paraId="286A4D19" w14:textId="07FEFE9A" w:rsidR="00FC755F" w:rsidRPr="00FC755F" w:rsidRDefault="00FC755F" w:rsidP="00FC755F">
            <w:pPr>
              <w:pStyle w:val="DoEtablelist1bullet2018"/>
              <w:rPr>
                <w:rStyle w:val="DoEstrongemphasis2018"/>
                <w:b w:val="0"/>
              </w:rPr>
            </w:pPr>
            <w:r w:rsidRPr="00FC755F">
              <w:rPr>
                <w:rStyle w:val="DoEstrongemphasis2018"/>
                <w:b w:val="0"/>
              </w:rPr>
              <w:t>Student activity: Students play roulette and determine the theoretical probability of each type of bet compared to its payout</w:t>
            </w:r>
            <w:r w:rsidRPr="00FC755F">
              <w:rPr>
                <w:rStyle w:val="DoEstrongemphasis2018"/>
                <w:b w:val="0"/>
              </w:rPr>
              <w:br/>
            </w:r>
            <w:r w:rsidRPr="00FC755F">
              <w:rPr>
                <w:rStyle w:val="DoEstrongemphasis2018"/>
              </w:rPr>
              <w:t>Resource:</w:t>
            </w:r>
            <w:r w:rsidRPr="00FC755F">
              <w:rPr>
                <w:rStyle w:val="DoEstrongemphasis2018"/>
                <w:b w:val="0"/>
              </w:rPr>
              <w:t xml:space="preserve"> roulette.DOCX</w:t>
            </w:r>
          </w:p>
          <w:p w14:paraId="5D303BDA" w14:textId="3E24358A" w:rsidR="001F716B" w:rsidRPr="001F716B" w:rsidRDefault="00CF1038" w:rsidP="00CF1038">
            <w:pPr>
              <w:pStyle w:val="DoEtablelist1bullet2018"/>
              <w:rPr>
                <w:rStyle w:val="DoEstrongemphasis2018"/>
                <w:b w:val="0"/>
              </w:rPr>
            </w:pPr>
            <w:r w:rsidRPr="00CF1038">
              <w:rPr>
                <w:rStyle w:val="DoEstrongemphasis2018"/>
                <w:b w:val="0"/>
              </w:rPr>
              <w:t>Student</w:t>
            </w:r>
            <w:r>
              <w:rPr>
                <w:rStyle w:val="DoEstrongemphasis2018"/>
                <w:b w:val="0"/>
              </w:rPr>
              <w:t xml:space="preserve"> activity: Students answer the question </w:t>
            </w:r>
            <w:hyperlink r:id="rId28" w:history="1">
              <w:r>
                <w:rPr>
                  <w:rStyle w:val="Hyperlink"/>
                </w:rPr>
                <w:t>How risky is life?</w:t>
              </w:r>
            </w:hyperlink>
            <w:r>
              <w:rPr>
                <w:rStyle w:val="DoEstrongemphasis2018"/>
                <w:b w:val="0"/>
              </w:rPr>
              <w:t xml:space="preserve"> by looking at the probability of unusual causes of death and working out their expected frequency for the population of Australia.</w:t>
            </w:r>
          </w:p>
        </w:tc>
        <w:tc>
          <w:tcPr>
            <w:tcW w:w="1144" w:type="dxa"/>
          </w:tcPr>
          <w:p w14:paraId="1E74EFEA" w14:textId="77777777" w:rsidR="001F716B" w:rsidRDefault="001F716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724B60F" w14:textId="77777777" w:rsidR="001F716B" w:rsidRDefault="001F716B"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63C1DBB"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29"/>
      <w:headerReference w:type="default" r:id="rId30"/>
      <w:footerReference w:type="even" r:id="rId31"/>
      <w:footerReference w:type="default" r:id="rId32"/>
      <w:headerReference w:type="first" r:id="rId33"/>
      <w:footerReference w:type="first" r:id="rId3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11C0" w:rsidRDefault="006411C0" w:rsidP="00FF56B7">
      <w:pPr>
        <w:spacing w:before="0" w:line="240" w:lineRule="auto"/>
      </w:pPr>
      <w:r>
        <w:separator/>
      </w:r>
    </w:p>
  </w:endnote>
  <w:endnote w:type="continuationSeparator" w:id="0">
    <w:p w14:paraId="59766DFC" w14:textId="77777777" w:rsidR="006411C0" w:rsidRDefault="006411C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Jax_Math">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5C9B" w14:textId="77777777" w:rsidR="002F0531" w:rsidRDefault="002F0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65200DAC" w:rsidR="006411C0" w:rsidRDefault="002F0531" w:rsidP="003E32BE">
    <w:pPr>
      <w:pStyle w:val="DoEfooter2018"/>
    </w:pPr>
    <w:hyperlink r:id="rId1" w:history="1">
      <w:r w:rsidR="00B656E3">
        <w:rPr>
          <w:rStyle w:val="Hyperlink"/>
        </w:rPr>
        <w:t xml:space="preserve">© NSW Department of Education, </w:t>
      </w:r>
      <w:r w:rsidR="007A086E">
        <w:rPr>
          <w:rStyle w:val="Hyperlink"/>
        </w:rPr>
        <w:t xml:space="preserve">September </w:t>
      </w:r>
      <w:r w:rsidR="00B656E3">
        <w:rPr>
          <w:rStyle w:val="Hyperlink"/>
        </w:rPr>
        <w:t>2020</w:t>
      </w:r>
    </w:hyperlink>
    <w:r w:rsidR="006411C0">
      <w:tab/>
    </w:r>
    <w:r w:rsidR="001F716B" w:rsidRPr="00A95D6E">
      <w:t>MS-S2 Relative Frequency and Probability</w:t>
    </w:r>
    <w:r w:rsidR="006411C0">
      <w:tab/>
    </w:r>
    <w:r w:rsidR="006411C0">
      <w:fldChar w:fldCharType="begin"/>
    </w:r>
    <w:r w:rsidR="006411C0">
      <w:instrText xml:space="preserve"> PAGE   \* MERGEFORMAT </w:instrText>
    </w:r>
    <w:r w:rsidR="006411C0">
      <w:fldChar w:fldCharType="separate"/>
    </w:r>
    <w:r>
      <w:rPr>
        <w:noProof/>
      </w:rPr>
      <w:t>2</w:t>
    </w:r>
    <w:r w:rsidR="006411C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B053" w14:textId="77777777" w:rsidR="002F0531" w:rsidRDefault="002F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11C0" w:rsidRDefault="006411C0" w:rsidP="00FF56B7">
      <w:pPr>
        <w:spacing w:before="0" w:line="240" w:lineRule="auto"/>
      </w:pPr>
      <w:r>
        <w:separator/>
      </w:r>
    </w:p>
  </w:footnote>
  <w:footnote w:type="continuationSeparator" w:id="0">
    <w:p w14:paraId="7E7745A1" w14:textId="77777777" w:rsidR="006411C0" w:rsidRDefault="006411C0"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D94E" w14:textId="77777777" w:rsidR="002F0531" w:rsidRDefault="002F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A944" w14:textId="77777777" w:rsidR="002F0531" w:rsidRDefault="002F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29C2" w14:textId="77777777" w:rsidR="002F0531" w:rsidRDefault="002F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5102BD"/>
    <w:multiLevelType w:val="multilevel"/>
    <w:tmpl w:val="64C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E673CF5"/>
    <w:multiLevelType w:val="multilevel"/>
    <w:tmpl w:val="721E7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187C90"/>
    <w:multiLevelType w:val="multilevel"/>
    <w:tmpl w:val="CD8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A5828ED"/>
    <w:multiLevelType w:val="multilevel"/>
    <w:tmpl w:val="784E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A2F35"/>
    <w:multiLevelType w:val="hybridMultilevel"/>
    <w:tmpl w:val="CC603BF6"/>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637CD"/>
    <w:multiLevelType w:val="multilevel"/>
    <w:tmpl w:val="DD942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1F44156"/>
    <w:multiLevelType w:val="multilevel"/>
    <w:tmpl w:val="9E4EB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5C876BF5"/>
    <w:multiLevelType w:val="multilevel"/>
    <w:tmpl w:val="EC286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306FB"/>
    <w:multiLevelType w:val="multilevel"/>
    <w:tmpl w:val="EC62FA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9"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E6C5B43"/>
    <w:multiLevelType w:val="multilevel"/>
    <w:tmpl w:val="A480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424CF7"/>
    <w:multiLevelType w:val="multilevel"/>
    <w:tmpl w:val="A7E0A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7"/>
  </w:num>
  <w:num w:numId="3">
    <w:abstractNumId w:val="13"/>
  </w:num>
  <w:num w:numId="4">
    <w:abstractNumId w:val="12"/>
  </w:num>
  <w:num w:numId="5">
    <w:abstractNumId w:val="8"/>
  </w:num>
  <w:num w:numId="6">
    <w:abstractNumId w:val="2"/>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8"/>
  </w:num>
  <w:num w:numId="26">
    <w:abstractNumId w:val="8"/>
  </w:num>
  <w:num w:numId="27">
    <w:abstractNumId w:val="17"/>
    <w:lvlOverride w:ilvl="0">
      <w:startOverride w:val="1"/>
    </w:lvlOverride>
  </w:num>
  <w:num w:numId="28">
    <w:abstractNumId w:val="11"/>
  </w:num>
  <w:num w:numId="29">
    <w:abstractNumId w:val="19"/>
  </w:num>
  <w:num w:numId="30">
    <w:abstractNumId w:val="6"/>
  </w:num>
  <w:num w:numId="31">
    <w:abstractNumId w:val="4"/>
  </w:num>
  <w:num w:numId="32">
    <w:abstractNumId w:val="10"/>
  </w:num>
  <w:num w:numId="33">
    <w:abstractNumId w:val="14"/>
  </w:num>
  <w:num w:numId="34">
    <w:abstractNumId w:val="3"/>
  </w:num>
  <w:num w:numId="35">
    <w:abstractNumId w:val="5"/>
  </w:num>
  <w:num w:numId="36">
    <w:abstractNumId w:val="15"/>
  </w:num>
  <w:num w:numId="37">
    <w:abstractNumId w:val="20"/>
  </w:num>
  <w:num w:numId="38">
    <w:abstractNumId w:val="9"/>
  </w:num>
  <w:num w:numId="39">
    <w:abstractNumId w:val="1"/>
  </w:num>
  <w:num w:numId="40">
    <w:abstractNumId w:val="21"/>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U2NDU0NzQ1MrZU0lEKTi0uzszPAykwrAUAD3Rf0CwAAAA="/>
  </w:docVars>
  <w:rsids>
    <w:rsidRoot w:val="00F9178D"/>
    <w:rsid w:val="0000031C"/>
    <w:rsid w:val="00001E75"/>
    <w:rsid w:val="000022C3"/>
    <w:rsid w:val="00004999"/>
    <w:rsid w:val="00005E12"/>
    <w:rsid w:val="00011D86"/>
    <w:rsid w:val="000349D8"/>
    <w:rsid w:val="00036111"/>
    <w:rsid w:val="000411E8"/>
    <w:rsid w:val="00041B27"/>
    <w:rsid w:val="00045134"/>
    <w:rsid w:val="00046366"/>
    <w:rsid w:val="00057237"/>
    <w:rsid w:val="000611B0"/>
    <w:rsid w:val="00071D2B"/>
    <w:rsid w:val="00072554"/>
    <w:rsid w:val="000802ED"/>
    <w:rsid w:val="00083F1D"/>
    <w:rsid w:val="00087BAD"/>
    <w:rsid w:val="0009144F"/>
    <w:rsid w:val="000A470D"/>
    <w:rsid w:val="000B1561"/>
    <w:rsid w:val="000B2519"/>
    <w:rsid w:val="000B2B35"/>
    <w:rsid w:val="000C7A77"/>
    <w:rsid w:val="000E5FE4"/>
    <w:rsid w:val="000F0C33"/>
    <w:rsid w:val="00103594"/>
    <w:rsid w:val="00117676"/>
    <w:rsid w:val="00122431"/>
    <w:rsid w:val="00122F3A"/>
    <w:rsid w:val="0012644E"/>
    <w:rsid w:val="00133952"/>
    <w:rsid w:val="001346BD"/>
    <w:rsid w:val="001422AF"/>
    <w:rsid w:val="0014499B"/>
    <w:rsid w:val="0015226C"/>
    <w:rsid w:val="00154ACE"/>
    <w:rsid w:val="0016348B"/>
    <w:rsid w:val="0016367F"/>
    <w:rsid w:val="0016378D"/>
    <w:rsid w:val="00167B77"/>
    <w:rsid w:val="0017019B"/>
    <w:rsid w:val="00171802"/>
    <w:rsid w:val="001868DA"/>
    <w:rsid w:val="00191089"/>
    <w:rsid w:val="001A04DE"/>
    <w:rsid w:val="001A2718"/>
    <w:rsid w:val="001A318F"/>
    <w:rsid w:val="001A7CD0"/>
    <w:rsid w:val="001B23A1"/>
    <w:rsid w:val="001C2A98"/>
    <w:rsid w:val="001C675B"/>
    <w:rsid w:val="001E6FA2"/>
    <w:rsid w:val="001E749B"/>
    <w:rsid w:val="001E7F6E"/>
    <w:rsid w:val="001F716B"/>
    <w:rsid w:val="002039B3"/>
    <w:rsid w:val="00203ED1"/>
    <w:rsid w:val="00204AEA"/>
    <w:rsid w:val="00207653"/>
    <w:rsid w:val="0021632C"/>
    <w:rsid w:val="00243A6F"/>
    <w:rsid w:val="00255D85"/>
    <w:rsid w:val="002571F0"/>
    <w:rsid w:val="00260449"/>
    <w:rsid w:val="002621A1"/>
    <w:rsid w:val="0026652C"/>
    <w:rsid w:val="00267927"/>
    <w:rsid w:val="0028075D"/>
    <w:rsid w:val="002A0EB2"/>
    <w:rsid w:val="002A57A8"/>
    <w:rsid w:val="002B1B41"/>
    <w:rsid w:val="002B6717"/>
    <w:rsid w:val="002C4B67"/>
    <w:rsid w:val="002E415F"/>
    <w:rsid w:val="002F0531"/>
    <w:rsid w:val="002F0E3B"/>
    <w:rsid w:val="002F0FB2"/>
    <w:rsid w:val="002F178A"/>
    <w:rsid w:val="002F343B"/>
    <w:rsid w:val="00302D2E"/>
    <w:rsid w:val="00310FAA"/>
    <w:rsid w:val="003122FB"/>
    <w:rsid w:val="0031687A"/>
    <w:rsid w:val="00326243"/>
    <w:rsid w:val="003326D0"/>
    <w:rsid w:val="003373D5"/>
    <w:rsid w:val="003409A1"/>
    <w:rsid w:val="00347F42"/>
    <w:rsid w:val="00350BB5"/>
    <w:rsid w:val="003604A3"/>
    <w:rsid w:val="00374CED"/>
    <w:rsid w:val="003754A3"/>
    <w:rsid w:val="00375D19"/>
    <w:rsid w:val="00376EBF"/>
    <w:rsid w:val="0038499C"/>
    <w:rsid w:val="003973BF"/>
    <w:rsid w:val="003A26AF"/>
    <w:rsid w:val="003B5A1E"/>
    <w:rsid w:val="003B657D"/>
    <w:rsid w:val="003E32BE"/>
    <w:rsid w:val="003F0176"/>
    <w:rsid w:val="003F12DE"/>
    <w:rsid w:val="003F1840"/>
    <w:rsid w:val="003F342C"/>
    <w:rsid w:val="0040612A"/>
    <w:rsid w:val="00410506"/>
    <w:rsid w:val="004150BE"/>
    <w:rsid w:val="00422D60"/>
    <w:rsid w:val="004332B7"/>
    <w:rsid w:val="00434826"/>
    <w:rsid w:val="00434C63"/>
    <w:rsid w:val="004458CD"/>
    <w:rsid w:val="00457245"/>
    <w:rsid w:val="004777E5"/>
    <w:rsid w:val="0048043D"/>
    <w:rsid w:val="00490390"/>
    <w:rsid w:val="00493E86"/>
    <w:rsid w:val="004A76E5"/>
    <w:rsid w:val="004B4DA7"/>
    <w:rsid w:val="004B7544"/>
    <w:rsid w:val="004C730E"/>
    <w:rsid w:val="004D3692"/>
    <w:rsid w:val="004D6C05"/>
    <w:rsid w:val="004E43FD"/>
    <w:rsid w:val="004E45C2"/>
    <w:rsid w:val="004F4507"/>
    <w:rsid w:val="004F4D8C"/>
    <w:rsid w:val="004F537C"/>
    <w:rsid w:val="00503FD2"/>
    <w:rsid w:val="005053DE"/>
    <w:rsid w:val="0050653B"/>
    <w:rsid w:val="00507591"/>
    <w:rsid w:val="005114EA"/>
    <w:rsid w:val="005146BD"/>
    <w:rsid w:val="00515FDE"/>
    <w:rsid w:val="00520A0A"/>
    <w:rsid w:val="005222CF"/>
    <w:rsid w:val="00522BA4"/>
    <w:rsid w:val="00530820"/>
    <w:rsid w:val="00531E8F"/>
    <w:rsid w:val="00536518"/>
    <w:rsid w:val="005367D8"/>
    <w:rsid w:val="00540A73"/>
    <w:rsid w:val="00550DD8"/>
    <w:rsid w:val="0055597C"/>
    <w:rsid w:val="00564925"/>
    <w:rsid w:val="00565EF1"/>
    <w:rsid w:val="0057018A"/>
    <w:rsid w:val="00571F88"/>
    <w:rsid w:val="005725A8"/>
    <w:rsid w:val="00572E1F"/>
    <w:rsid w:val="0059104C"/>
    <w:rsid w:val="00591CD5"/>
    <w:rsid w:val="005A1D41"/>
    <w:rsid w:val="005B1531"/>
    <w:rsid w:val="005C36BF"/>
    <w:rsid w:val="005E459B"/>
    <w:rsid w:val="00603DA1"/>
    <w:rsid w:val="00607503"/>
    <w:rsid w:val="006113C2"/>
    <w:rsid w:val="00613FEF"/>
    <w:rsid w:val="006323AA"/>
    <w:rsid w:val="0063517F"/>
    <w:rsid w:val="00637C9F"/>
    <w:rsid w:val="006411C0"/>
    <w:rsid w:val="0065352E"/>
    <w:rsid w:val="0065485C"/>
    <w:rsid w:val="00656F28"/>
    <w:rsid w:val="0066698C"/>
    <w:rsid w:val="006866EE"/>
    <w:rsid w:val="00687657"/>
    <w:rsid w:val="006A4414"/>
    <w:rsid w:val="006B18B9"/>
    <w:rsid w:val="006C53D5"/>
    <w:rsid w:val="006C6ECE"/>
    <w:rsid w:val="006D19BF"/>
    <w:rsid w:val="006D218C"/>
    <w:rsid w:val="006D5FF3"/>
    <w:rsid w:val="006E00B4"/>
    <w:rsid w:val="006E2611"/>
    <w:rsid w:val="006E75C9"/>
    <w:rsid w:val="006E7CB4"/>
    <w:rsid w:val="006F0607"/>
    <w:rsid w:val="006F2719"/>
    <w:rsid w:val="007073B8"/>
    <w:rsid w:val="0070751A"/>
    <w:rsid w:val="00730876"/>
    <w:rsid w:val="00736899"/>
    <w:rsid w:val="00737AD2"/>
    <w:rsid w:val="00744152"/>
    <w:rsid w:val="00757729"/>
    <w:rsid w:val="00761175"/>
    <w:rsid w:val="0076443A"/>
    <w:rsid w:val="00766431"/>
    <w:rsid w:val="00777C35"/>
    <w:rsid w:val="007856B6"/>
    <w:rsid w:val="00787D97"/>
    <w:rsid w:val="00790CA8"/>
    <w:rsid w:val="00791EA5"/>
    <w:rsid w:val="00791F92"/>
    <w:rsid w:val="00796352"/>
    <w:rsid w:val="007967DD"/>
    <w:rsid w:val="007A02FE"/>
    <w:rsid w:val="007A086E"/>
    <w:rsid w:val="007A6FCC"/>
    <w:rsid w:val="007D427F"/>
    <w:rsid w:val="007E0E91"/>
    <w:rsid w:val="007F28B9"/>
    <w:rsid w:val="00806EB7"/>
    <w:rsid w:val="00826350"/>
    <w:rsid w:val="00841E2B"/>
    <w:rsid w:val="0086581C"/>
    <w:rsid w:val="00865D3D"/>
    <w:rsid w:val="00886402"/>
    <w:rsid w:val="008874D2"/>
    <w:rsid w:val="008909F0"/>
    <w:rsid w:val="008950EA"/>
    <w:rsid w:val="00895E2D"/>
    <w:rsid w:val="008C1F52"/>
    <w:rsid w:val="008D4A12"/>
    <w:rsid w:val="008E714D"/>
    <w:rsid w:val="008F340C"/>
    <w:rsid w:val="009003D7"/>
    <w:rsid w:val="0090486F"/>
    <w:rsid w:val="00904B08"/>
    <w:rsid w:val="00912BE4"/>
    <w:rsid w:val="0091566A"/>
    <w:rsid w:val="0092098E"/>
    <w:rsid w:val="0093191C"/>
    <w:rsid w:val="00933CD0"/>
    <w:rsid w:val="00933E18"/>
    <w:rsid w:val="00943315"/>
    <w:rsid w:val="009500C8"/>
    <w:rsid w:val="0095157A"/>
    <w:rsid w:val="0095261B"/>
    <w:rsid w:val="00957131"/>
    <w:rsid w:val="00957965"/>
    <w:rsid w:val="00964EF8"/>
    <w:rsid w:val="00970C69"/>
    <w:rsid w:val="009723F6"/>
    <w:rsid w:val="009813C2"/>
    <w:rsid w:val="009845C2"/>
    <w:rsid w:val="009A5A81"/>
    <w:rsid w:val="009A671D"/>
    <w:rsid w:val="009B028D"/>
    <w:rsid w:val="009C797F"/>
    <w:rsid w:val="009D6263"/>
    <w:rsid w:val="009F2314"/>
    <w:rsid w:val="00A006E7"/>
    <w:rsid w:val="00A103DF"/>
    <w:rsid w:val="00A3123D"/>
    <w:rsid w:val="00A3194F"/>
    <w:rsid w:val="00A36D44"/>
    <w:rsid w:val="00A4040F"/>
    <w:rsid w:val="00A42F17"/>
    <w:rsid w:val="00A43345"/>
    <w:rsid w:val="00A5431B"/>
    <w:rsid w:val="00A660F0"/>
    <w:rsid w:val="00A73322"/>
    <w:rsid w:val="00A75240"/>
    <w:rsid w:val="00A75D4F"/>
    <w:rsid w:val="00AA32A7"/>
    <w:rsid w:val="00AB3AE0"/>
    <w:rsid w:val="00AB5E4A"/>
    <w:rsid w:val="00AC3615"/>
    <w:rsid w:val="00AE27BA"/>
    <w:rsid w:val="00AE5C2F"/>
    <w:rsid w:val="00AE6D03"/>
    <w:rsid w:val="00AF338E"/>
    <w:rsid w:val="00B01855"/>
    <w:rsid w:val="00B05969"/>
    <w:rsid w:val="00B154D8"/>
    <w:rsid w:val="00B21EB7"/>
    <w:rsid w:val="00B23F68"/>
    <w:rsid w:val="00B255F2"/>
    <w:rsid w:val="00B35AA9"/>
    <w:rsid w:val="00B42AD1"/>
    <w:rsid w:val="00B44B93"/>
    <w:rsid w:val="00B61395"/>
    <w:rsid w:val="00B61E9C"/>
    <w:rsid w:val="00B656E3"/>
    <w:rsid w:val="00B679B6"/>
    <w:rsid w:val="00B70FD3"/>
    <w:rsid w:val="00B73B53"/>
    <w:rsid w:val="00B76122"/>
    <w:rsid w:val="00B765A9"/>
    <w:rsid w:val="00B77FF9"/>
    <w:rsid w:val="00B80B5B"/>
    <w:rsid w:val="00B81E47"/>
    <w:rsid w:val="00BA300B"/>
    <w:rsid w:val="00BA5BEA"/>
    <w:rsid w:val="00BC144A"/>
    <w:rsid w:val="00BC7353"/>
    <w:rsid w:val="00BD65D9"/>
    <w:rsid w:val="00BE1437"/>
    <w:rsid w:val="00BE3BEE"/>
    <w:rsid w:val="00BF59BB"/>
    <w:rsid w:val="00BF659D"/>
    <w:rsid w:val="00C04580"/>
    <w:rsid w:val="00C04F33"/>
    <w:rsid w:val="00C51EB3"/>
    <w:rsid w:val="00C57635"/>
    <w:rsid w:val="00C652BC"/>
    <w:rsid w:val="00C67FDF"/>
    <w:rsid w:val="00C72449"/>
    <w:rsid w:val="00C743DA"/>
    <w:rsid w:val="00C77296"/>
    <w:rsid w:val="00C83F58"/>
    <w:rsid w:val="00C93728"/>
    <w:rsid w:val="00C969C1"/>
    <w:rsid w:val="00C96DFE"/>
    <w:rsid w:val="00CA5F0E"/>
    <w:rsid w:val="00CB1694"/>
    <w:rsid w:val="00CB1711"/>
    <w:rsid w:val="00CB4566"/>
    <w:rsid w:val="00CC6016"/>
    <w:rsid w:val="00CE10CD"/>
    <w:rsid w:val="00CF1038"/>
    <w:rsid w:val="00D1249E"/>
    <w:rsid w:val="00D30DD3"/>
    <w:rsid w:val="00D31FF2"/>
    <w:rsid w:val="00D33CDA"/>
    <w:rsid w:val="00D3591F"/>
    <w:rsid w:val="00D37E5F"/>
    <w:rsid w:val="00D43F65"/>
    <w:rsid w:val="00D45D0A"/>
    <w:rsid w:val="00D462B3"/>
    <w:rsid w:val="00D51F6C"/>
    <w:rsid w:val="00D5630F"/>
    <w:rsid w:val="00D76553"/>
    <w:rsid w:val="00D7795E"/>
    <w:rsid w:val="00D8376B"/>
    <w:rsid w:val="00D94ACC"/>
    <w:rsid w:val="00DA7AEE"/>
    <w:rsid w:val="00DB4E26"/>
    <w:rsid w:val="00DC06AC"/>
    <w:rsid w:val="00DC0AA8"/>
    <w:rsid w:val="00DD203F"/>
    <w:rsid w:val="00DE0890"/>
    <w:rsid w:val="00DE5868"/>
    <w:rsid w:val="00DE6E7F"/>
    <w:rsid w:val="00E0313E"/>
    <w:rsid w:val="00E05005"/>
    <w:rsid w:val="00E05C32"/>
    <w:rsid w:val="00E117F6"/>
    <w:rsid w:val="00E3212E"/>
    <w:rsid w:val="00E32F44"/>
    <w:rsid w:val="00E57B68"/>
    <w:rsid w:val="00E621D9"/>
    <w:rsid w:val="00E6385C"/>
    <w:rsid w:val="00E6463C"/>
    <w:rsid w:val="00E75DD8"/>
    <w:rsid w:val="00E777D7"/>
    <w:rsid w:val="00E847D0"/>
    <w:rsid w:val="00E94371"/>
    <w:rsid w:val="00E97701"/>
    <w:rsid w:val="00E97E1A"/>
    <w:rsid w:val="00EA3783"/>
    <w:rsid w:val="00EB1C92"/>
    <w:rsid w:val="00EB3B69"/>
    <w:rsid w:val="00EB57E9"/>
    <w:rsid w:val="00EC2D6E"/>
    <w:rsid w:val="00EC4C2F"/>
    <w:rsid w:val="00ED45D6"/>
    <w:rsid w:val="00ED7254"/>
    <w:rsid w:val="00F009C9"/>
    <w:rsid w:val="00F019B9"/>
    <w:rsid w:val="00F11524"/>
    <w:rsid w:val="00F11710"/>
    <w:rsid w:val="00F13DD6"/>
    <w:rsid w:val="00F313BD"/>
    <w:rsid w:val="00F32478"/>
    <w:rsid w:val="00F36DD2"/>
    <w:rsid w:val="00F50EB0"/>
    <w:rsid w:val="00F5439A"/>
    <w:rsid w:val="00F65FD3"/>
    <w:rsid w:val="00F772F0"/>
    <w:rsid w:val="00F9178D"/>
    <w:rsid w:val="00FB09D4"/>
    <w:rsid w:val="00FC477B"/>
    <w:rsid w:val="00FC5FDD"/>
    <w:rsid w:val="00FC755F"/>
    <w:rsid w:val="00FC7F41"/>
    <w:rsid w:val="00FD093B"/>
    <w:rsid w:val="00FD2FF2"/>
    <w:rsid w:val="00FE47BA"/>
    <w:rsid w:val="00FE74D6"/>
    <w:rsid w:val="00FF0D67"/>
    <w:rsid w:val="00FF56B7"/>
    <w:rsid w:val="3F520549"/>
    <w:rsid w:val="7A7DBA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7873CE"/>
  <w15:chartTrackingRefBased/>
  <w15:docId w15:val="{1E37053A-E227-4143-97D1-3D10FF12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4B7544"/>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564925"/>
    <w:rPr>
      <w:b/>
      <w:noProof w:val="0"/>
      <w:lang w:val="en-AU"/>
    </w:rPr>
  </w:style>
  <w:style w:type="character" w:customStyle="1" w:styleId="mi">
    <w:name w:val="mi"/>
    <w:basedOn w:val="DefaultParagraphFont"/>
    <w:rsid w:val="000C7A77"/>
  </w:style>
  <w:style w:type="character" w:customStyle="1" w:styleId="mjxassistivemathml">
    <w:name w:val="mjx_assistive_mathml"/>
    <w:basedOn w:val="DefaultParagraphFont"/>
    <w:rsid w:val="000C7A77"/>
  </w:style>
  <w:style w:type="character" w:customStyle="1" w:styleId="mo">
    <w:name w:val="mo"/>
    <w:basedOn w:val="DefaultParagraphFont"/>
    <w:rsid w:val="000C7A77"/>
  </w:style>
  <w:style w:type="paragraph" w:styleId="NormalWeb">
    <w:name w:val="Normal (Web)"/>
    <w:basedOn w:val="Normal"/>
    <w:uiPriority w:val="99"/>
    <w:semiHidden/>
    <w:unhideWhenUsed/>
    <w:rsid w:val="0040612A"/>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4B4DA7"/>
  </w:style>
  <w:style w:type="character" w:customStyle="1" w:styleId="contextualspellingandgrammarerror">
    <w:name w:val="contextualspellingandgrammarerror"/>
    <w:basedOn w:val="DefaultParagraphFont"/>
    <w:rsid w:val="004B4DA7"/>
  </w:style>
  <w:style w:type="character" w:customStyle="1" w:styleId="eop">
    <w:name w:val="eop"/>
    <w:basedOn w:val="DefaultParagraphFont"/>
    <w:rsid w:val="004B4DA7"/>
  </w:style>
  <w:style w:type="character" w:customStyle="1" w:styleId="spellingerror">
    <w:name w:val="spellingerror"/>
    <w:basedOn w:val="DefaultParagraphFont"/>
    <w:rsid w:val="004B4DA7"/>
  </w:style>
  <w:style w:type="paragraph" w:customStyle="1" w:styleId="paragraph">
    <w:name w:val="paragraph"/>
    <w:basedOn w:val="Normal"/>
    <w:rsid w:val="004B4DA7"/>
    <w:pPr>
      <w:spacing w:before="100" w:beforeAutospacing="1" w:after="100" w:afterAutospacing="1" w:line="240" w:lineRule="auto"/>
    </w:pPr>
    <w:rPr>
      <w:rFonts w:ascii="Times New Roman" w:eastAsia="Times New Roman" w:hAnsi="Times New Roman"/>
      <w:szCs w:val="24"/>
      <w:lang w:eastAsia="en-AU"/>
    </w:rPr>
  </w:style>
  <w:style w:type="character" w:customStyle="1" w:styleId="scxw40479171">
    <w:name w:val="scxw40479171"/>
    <w:basedOn w:val="DefaultParagraphFont"/>
    <w:rsid w:val="00A3123D"/>
  </w:style>
  <w:style w:type="character" w:customStyle="1" w:styleId="mn">
    <w:name w:val="mn"/>
    <w:basedOn w:val="DefaultParagraphFont"/>
    <w:rsid w:val="00A3123D"/>
  </w:style>
  <w:style w:type="character" w:customStyle="1" w:styleId="mtext">
    <w:name w:val="mtext"/>
    <w:basedOn w:val="DefaultParagraphFont"/>
    <w:rsid w:val="00A3123D"/>
  </w:style>
  <w:style w:type="table" w:customStyle="1" w:styleId="NESATable">
    <w:name w:val="NESA Table"/>
    <w:basedOn w:val="TableGrid"/>
    <w:uiPriority w:val="99"/>
    <w:rsid w:val="002B1B41"/>
    <w:rPr>
      <w:rFonts w:ascii="Arial" w:eastAsiaTheme="minorHAnsi" w:hAnsi="Arial" w:cstheme="minorBidi"/>
      <w:sz w:val="2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99178812">
      <w:bodyDiv w:val="1"/>
      <w:marLeft w:val="0"/>
      <w:marRight w:val="0"/>
      <w:marTop w:val="0"/>
      <w:marBottom w:val="0"/>
      <w:divBdr>
        <w:top w:val="none" w:sz="0" w:space="0" w:color="auto"/>
        <w:left w:val="none" w:sz="0" w:space="0" w:color="auto"/>
        <w:bottom w:val="none" w:sz="0" w:space="0" w:color="auto"/>
        <w:right w:val="none" w:sz="0" w:space="0" w:color="auto"/>
      </w:divBdr>
    </w:div>
    <w:div w:id="1391733715">
      <w:bodyDiv w:val="1"/>
      <w:marLeft w:val="0"/>
      <w:marRight w:val="0"/>
      <w:marTop w:val="0"/>
      <w:marBottom w:val="0"/>
      <w:divBdr>
        <w:top w:val="none" w:sz="0" w:space="0" w:color="auto"/>
        <w:left w:val="none" w:sz="0" w:space="0" w:color="auto"/>
        <w:bottom w:val="none" w:sz="0" w:space="0" w:color="auto"/>
        <w:right w:val="none" w:sz="0" w:space="0" w:color="auto"/>
      </w:divBdr>
    </w:div>
    <w:div w:id="1575163589">
      <w:bodyDiv w:val="1"/>
      <w:marLeft w:val="0"/>
      <w:marRight w:val="0"/>
      <w:marTop w:val="0"/>
      <w:marBottom w:val="0"/>
      <w:divBdr>
        <w:top w:val="none" w:sz="0" w:space="0" w:color="auto"/>
        <w:left w:val="none" w:sz="0" w:space="0" w:color="auto"/>
        <w:bottom w:val="none" w:sz="0" w:space="0" w:color="auto"/>
        <w:right w:val="none" w:sz="0" w:space="0" w:color="auto"/>
      </w:divBdr>
    </w:div>
    <w:div w:id="1788156639">
      <w:bodyDiv w:val="1"/>
      <w:marLeft w:val="0"/>
      <w:marRight w:val="0"/>
      <w:marTop w:val="0"/>
      <w:marBottom w:val="0"/>
      <w:divBdr>
        <w:top w:val="none" w:sz="0" w:space="0" w:color="auto"/>
        <w:left w:val="none" w:sz="0" w:space="0" w:color="auto"/>
        <w:bottom w:val="none" w:sz="0" w:space="0" w:color="auto"/>
        <w:right w:val="none" w:sz="0" w:space="0" w:color="auto"/>
      </w:divBdr>
    </w:div>
    <w:div w:id="1934895091">
      <w:bodyDiv w:val="1"/>
      <w:marLeft w:val="0"/>
      <w:marRight w:val="0"/>
      <w:marTop w:val="0"/>
      <w:marBottom w:val="0"/>
      <w:divBdr>
        <w:top w:val="none" w:sz="0" w:space="0" w:color="auto"/>
        <w:left w:val="none" w:sz="0" w:space="0" w:color="auto"/>
        <w:bottom w:val="none" w:sz="0" w:space="0" w:color="auto"/>
        <w:right w:val="none" w:sz="0" w:space="0" w:color="auto"/>
      </w:divBdr>
    </w:div>
    <w:div w:id="1938100912">
      <w:bodyDiv w:val="1"/>
      <w:marLeft w:val="0"/>
      <w:marRight w:val="0"/>
      <w:marTop w:val="0"/>
      <w:marBottom w:val="0"/>
      <w:divBdr>
        <w:top w:val="none" w:sz="0" w:space="0" w:color="auto"/>
        <w:left w:val="none" w:sz="0" w:space="0" w:color="auto"/>
        <w:bottom w:val="none" w:sz="0" w:space="0" w:color="auto"/>
        <w:right w:val="none" w:sz="0" w:space="0" w:color="auto"/>
      </w:divBdr>
    </w:div>
    <w:div w:id="2026249801">
      <w:bodyDiv w:val="1"/>
      <w:marLeft w:val="0"/>
      <w:marRight w:val="0"/>
      <w:marTop w:val="0"/>
      <w:marBottom w:val="0"/>
      <w:divBdr>
        <w:top w:val="none" w:sz="0" w:space="0" w:color="auto"/>
        <w:left w:val="none" w:sz="0" w:space="0" w:color="auto"/>
        <w:bottom w:val="none" w:sz="0" w:space="0" w:color="auto"/>
        <w:right w:val="none" w:sz="0" w:space="0" w:color="auto"/>
      </w:divBdr>
      <w:divsChild>
        <w:div w:id="1121338575">
          <w:marLeft w:val="0"/>
          <w:marRight w:val="0"/>
          <w:marTop w:val="0"/>
          <w:marBottom w:val="0"/>
          <w:divBdr>
            <w:top w:val="none" w:sz="0" w:space="0" w:color="auto"/>
            <w:left w:val="none" w:sz="0" w:space="0" w:color="auto"/>
            <w:bottom w:val="none" w:sz="0" w:space="0" w:color="auto"/>
            <w:right w:val="none" w:sz="0" w:space="0" w:color="auto"/>
          </w:divBdr>
          <w:divsChild>
            <w:div w:id="1125928236">
              <w:marLeft w:val="0"/>
              <w:marRight w:val="0"/>
              <w:marTop w:val="0"/>
              <w:marBottom w:val="0"/>
              <w:divBdr>
                <w:top w:val="none" w:sz="0" w:space="0" w:color="auto"/>
                <w:left w:val="none" w:sz="0" w:space="0" w:color="auto"/>
                <w:bottom w:val="none" w:sz="0" w:space="0" w:color="auto"/>
                <w:right w:val="none" w:sz="0" w:space="0" w:color="auto"/>
              </w:divBdr>
            </w:div>
            <w:div w:id="715815651">
              <w:marLeft w:val="0"/>
              <w:marRight w:val="0"/>
              <w:marTop w:val="0"/>
              <w:marBottom w:val="0"/>
              <w:divBdr>
                <w:top w:val="none" w:sz="0" w:space="0" w:color="auto"/>
                <w:left w:val="none" w:sz="0" w:space="0" w:color="auto"/>
                <w:bottom w:val="none" w:sz="0" w:space="0" w:color="auto"/>
                <w:right w:val="none" w:sz="0" w:space="0" w:color="auto"/>
              </w:divBdr>
            </w:div>
            <w:div w:id="280842864">
              <w:marLeft w:val="0"/>
              <w:marRight w:val="0"/>
              <w:marTop w:val="0"/>
              <w:marBottom w:val="0"/>
              <w:divBdr>
                <w:top w:val="none" w:sz="0" w:space="0" w:color="auto"/>
                <w:left w:val="none" w:sz="0" w:space="0" w:color="auto"/>
                <w:bottom w:val="none" w:sz="0" w:space="0" w:color="auto"/>
                <w:right w:val="none" w:sz="0" w:space="0" w:color="auto"/>
              </w:divBdr>
            </w:div>
          </w:divsChild>
        </w:div>
        <w:div w:id="1437093760">
          <w:marLeft w:val="0"/>
          <w:marRight w:val="0"/>
          <w:marTop w:val="0"/>
          <w:marBottom w:val="0"/>
          <w:divBdr>
            <w:top w:val="none" w:sz="0" w:space="0" w:color="auto"/>
            <w:left w:val="none" w:sz="0" w:space="0" w:color="auto"/>
            <w:bottom w:val="none" w:sz="0" w:space="0" w:color="auto"/>
            <w:right w:val="none" w:sz="0" w:space="0" w:color="auto"/>
          </w:divBdr>
        </w:div>
        <w:div w:id="39332099">
          <w:marLeft w:val="0"/>
          <w:marRight w:val="0"/>
          <w:marTop w:val="0"/>
          <w:marBottom w:val="0"/>
          <w:divBdr>
            <w:top w:val="none" w:sz="0" w:space="0" w:color="auto"/>
            <w:left w:val="none" w:sz="0" w:space="0" w:color="auto"/>
            <w:bottom w:val="none" w:sz="0" w:space="0" w:color="auto"/>
            <w:right w:val="none" w:sz="0" w:space="0" w:color="auto"/>
          </w:divBdr>
        </w:div>
        <w:div w:id="1749884445">
          <w:marLeft w:val="0"/>
          <w:marRight w:val="0"/>
          <w:marTop w:val="0"/>
          <w:marBottom w:val="0"/>
          <w:divBdr>
            <w:top w:val="none" w:sz="0" w:space="0" w:color="auto"/>
            <w:left w:val="none" w:sz="0" w:space="0" w:color="auto"/>
            <w:bottom w:val="none" w:sz="0" w:space="0" w:color="auto"/>
            <w:right w:val="none" w:sz="0" w:space="0" w:color="auto"/>
          </w:divBdr>
        </w:div>
        <w:div w:id="1024287837">
          <w:marLeft w:val="0"/>
          <w:marRight w:val="0"/>
          <w:marTop w:val="0"/>
          <w:marBottom w:val="0"/>
          <w:divBdr>
            <w:top w:val="none" w:sz="0" w:space="0" w:color="auto"/>
            <w:left w:val="none" w:sz="0" w:space="0" w:color="auto"/>
            <w:bottom w:val="none" w:sz="0" w:space="0" w:color="auto"/>
            <w:right w:val="none" w:sz="0" w:space="0" w:color="auto"/>
          </w:divBdr>
        </w:div>
        <w:div w:id="1563712956">
          <w:marLeft w:val="0"/>
          <w:marRight w:val="0"/>
          <w:marTop w:val="0"/>
          <w:marBottom w:val="0"/>
          <w:divBdr>
            <w:top w:val="none" w:sz="0" w:space="0" w:color="auto"/>
            <w:left w:val="none" w:sz="0" w:space="0" w:color="auto"/>
            <w:bottom w:val="none" w:sz="0" w:space="0" w:color="auto"/>
            <w:right w:val="none" w:sz="0" w:space="0" w:color="auto"/>
          </w:divBdr>
        </w:div>
        <w:div w:id="739910768">
          <w:marLeft w:val="0"/>
          <w:marRight w:val="0"/>
          <w:marTop w:val="0"/>
          <w:marBottom w:val="0"/>
          <w:divBdr>
            <w:top w:val="none" w:sz="0" w:space="0" w:color="auto"/>
            <w:left w:val="none" w:sz="0" w:space="0" w:color="auto"/>
            <w:bottom w:val="none" w:sz="0" w:space="0" w:color="auto"/>
            <w:right w:val="none" w:sz="0" w:space="0" w:color="auto"/>
          </w:divBdr>
        </w:div>
        <w:div w:id="208548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nrich.maths.org/4308" TargetMode="External"/><Relationship Id="rId26" Type="http://schemas.openxmlformats.org/officeDocument/2006/relationships/hyperlink" Target="http://www.rhesusnegative.net/themission/bloodtypefrequencies/" TargetMode="External"/><Relationship Id="rId3" Type="http://schemas.openxmlformats.org/officeDocument/2006/relationships/customXml" Target="../customXml/item3.xml"/><Relationship Id="rId21" Type="http://schemas.openxmlformats.org/officeDocument/2006/relationships/hyperlink" Target="http://www.dailytelegraph.com.au/newslocal/inner-west/come-in-spinner-learn-how-to-play-twoup-in-time-for-anzac-day/news-story/f16f8ef4df540d166f8a0b7ea7cac834"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www.probabilitysurvey.com/results" TargetMode="External"/><Relationship Id="rId25" Type="http://schemas.openxmlformats.org/officeDocument/2006/relationships/hyperlink" Target="http://math.andyou.com/tools/montyhallsimulator/montysim.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ansum.org/Maths/Activity/Probability/Discuss.asp" TargetMode="External"/><Relationship Id="rId20" Type="http://schemas.openxmlformats.org/officeDocument/2006/relationships/hyperlink" Target="https://mathslinks.net/faculty/complementary-events-treasure-hu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thmammoth.com/lessons/probability_simulations.ph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CEYoU5BhGl4" TargetMode="External"/><Relationship Id="rId23" Type="http://schemas.openxmlformats.org/officeDocument/2006/relationships/image" Target="media/image5.png"/><Relationship Id="rId28" Type="http://schemas.openxmlformats.org/officeDocument/2006/relationships/hyperlink" Target="https://www.resolve.edu.au/mathematical-modelling-how-risky-life?lesson=167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thwire.com/data/dicetoss1.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https://www.donateblood.com.au/learn/about-blood"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2CA0-BA26-4CE5-9DA3-D6E6FB40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5AB8A-7B8C-4055-8F9A-45A77444676D}">
  <ds:schemaRefs>
    <ds:schemaRef ds:uri="http://schemas.microsoft.com/sharepoint/v3/contenttype/forms"/>
  </ds:schemaRefs>
</ds:datastoreItem>
</file>

<file path=customXml/itemProps3.xml><?xml version="1.0" encoding="utf-8"?>
<ds:datastoreItem xmlns:ds="http://schemas.openxmlformats.org/officeDocument/2006/customXml" ds:itemID="{026A9EC0-8F59-4EB4-A183-1742E12E93AC}">
  <ds:schemaRef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26F1B2-1A98-48E5-B996-23835FC5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MS-S2 Relative Frequency and Probability</dc:title>
  <dc:subject/>
  <dc:creator>Vas Ratusau</dc:creator>
  <cp:keywords>Stage 6</cp:keywords>
  <dc:description/>
  <cp:lastModifiedBy>Vas Ratusau</cp:lastModifiedBy>
  <cp:revision>2</cp:revision>
  <dcterms:created xsi:type="dcterms:W3CDTF">2021-01-29T00:56:00Z</dcterms:created>
  <dcterms:modified xsi:type="dcterms:W3CDTF">2021-01-29T00:56:00Z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