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2B964F52" w:rsidR="00086656" w:rsidRDefault="0007662A" w:rsidP="00086656">
      <w:pPr>
        <w:pStyle w:val="Title"/>
      </w:pPr>
      <w:bookmarkStart w:id="0" w:name="_GoBack"/>
      <w:bookmarkEnd w:id="0"/>
      <w:r>
        <w:t>Stage 6 Mathematics Life Skills</w:t>
      </w:r>
    </w:p>
    <w:p w14:paraId="406DC698" w14:textId="737EC9F3" w:rsidR="0007662A" w:rsidRPr="00BB5247" w:rsidRDefault="0007662A" w:rsidP="0007662A">
      <w:pPr>
        <w:pStyle w:val="Heading2"/>
      </w:pPr>
      <w:r w:rsidRPr="00BB5247">
        <w:t xml:space="preserve">MLS – </w:t>
      </w:r>
      <w:r w:rsidR="00BB5247" w:rsidRPr="00BB5247">
        <w:t>S2 Probability</w:t>
      </w:r>
    </w:p>
    <w:p w14:paraId="5F0BD374" w14:textId="77777777" w:rsidR="0007662A" w:rsidRDefault="0007662A" w:rsidP="0007662A">
      <w:pPr>
        <w:rPr>
          <w:lang w:eastAsia="zh-CN"/>
        </w:rPr>
      </w:pPr>
      <w:r>
        <w:rPr>
          <w:noProof/>
          <w:lang w:eastAsia="en-AU"/>
        </w:rPr>
        <mc:AlternateContent>
          <mc:Choice Requires="wps">
            <w:drawing>
              <wp:inline distT="0" distB="0" distL="0" distR="0" wp14:anchorId="5B4E87E8" wp14:editId="63EB1B02">
                <wp:extent cx="1109662" cy="1119187"/>
                <wp:effectExtent l="0" t="0" r="0" b="5080"/>
                <wp:docPr id="3" name="Oval 3" descr="Brand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662" cy="1119187"/>
                        </a:xfrm>
                        <a:prstGeom prst="ellipse">
                          <a:avLst/>
                        </a:prstGeom>
                        <a:solidFill>
                          <a:srgbClr val="1B428A"/>
                        </a:solidFill>
                        <a:ln>
                          <a:noFill/>
                        </a:ln>
                        <a:extLst>
                          <a:ext uri="{91240B29-F687-4F45-9708-019B960494DF}">
                            <a14:hiddenLine xmlns:a14="http://schemas.microsoft.com/office/drawing/2010/main" w="635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oval w14:anchorId="5FE766FF" id="Oval 3" o:spid="_x0000_s1026" alt="Brand Circle 1" style="width:87.3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" fillcolor="#1b428a" stroked="f" strokeweight="5pt">
                <v:stroke joinstyle="miter"/>
                <w10:anchorlock/>
              </v:oval>
            </w:pict>
          </mc:Fallback>
        </mc:AlternateContent>
      </w:r>
    </w:p>
    <w:p w14:paraId="6AC21D82" w14:textId="39F1D23F" w:rsidR="0007662A" w:rsidRDefault="0007662A" w:rsidP="0007662A">
      <w:pPr>
        <w:rPr>
          <w:lang w:eastAsia="zh-CN"/>
        </w:rPr>
      </w:pPr>
      <w:r>
        <w:rPr>
          <w:noProof/>
          <w:lang w:eastAsia="en-AU"/>
        </w:rPr>
        <mc:AlternateContent>
          <mc:Choice Requires="wps">
            <w:drawing>
              <wp:inline distT="0" distB="0" distL="0" distR="0" wp14:anchorId="6EC0A60C" wp14:editId="7AE71DD9">
                <wp:extent cx="985837" cy="981075"/>
                <wp:effectExtent l="57150" t="57150" r="81280" b="85725"/>
                <wp:docPr id="2" name="Oval 2" descr="Brand Dotte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37" cy="981075"/>
                        </a:xfrm>
                        <a:prstGeom prst="ellipse">
                          <a:avLst/>
                        </a:prstGeom>
                        <a:noFill/>
                        <a:ln w="127000" cap="rnd">
                          <a:solidFill>
                            <a:srgbClr val="C7DBF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0EA162C6" id="Oval 2" o:spid="_x0000_s1026" alt="Brand Dotted Circle 2" style="width:77.6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FAF013C" wp14:editId="1805A454">
                <wp:extent cx="2128837" cy="2166937"/>
                <wp:effectExtent l="76200" t="76200" r="81280" b="81280"/>
                <wp:docPr id="1" name="Oval 1" descr="Bran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837" cy="2166937"/>
                        </a:xfrm>
                        <a:prstGeom prst="ellipse">
                          <a:avLst/>
                        </a:prstGeom>
                        <a:noFill/>
                        <a:ln w="152400">
                          <a:solidFill>
                            <a:srgbClr val="CF00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56C173F6" id="Oval 1" o:spid="_x0000_s1026" alt="Brand Circle 2" style="width:167.6pt;height:17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" filled="f" strokecolor="#cf0038" strokeweight="12pt">
                <v:stroke joinstyle="miter"/>
                <w10:anchorlock/>
              </v:oval>
            </w:pict>
          </mc:Fallback>
        </mc:AlternateContent>
      </w:r>
      <w:r>
        <w:rPr>
          <w:lang w:eastAsia="zh-CN"/>
        </w:rPr>
        <w:br w:type="page"/>
      </w:r>
    </w:p>
    <w:p w14:paraId="0D1B9CE5" w14:textId="526A3EE1" w:rsidR="00E03597" w:rsidRDefault="00E03597" w:rsidP="00E03597">
      <w:pPr>
        <w:pStyle w:val="Heading3"/>
      </w:pPr>
      <w:r>
        <w:lastRenderedPageBreak/>
        <w:t>Overview</w:t>
      </w:r>
    </w:p>
    <w:tbl>
      <w:tblPr>
        <w:tblStyle w:val="TableGrid"/>
        <w:tblW w:w="5000" w:type="pct"/>
        <w:tblLook w:val="04A0" w:firstRow="1" w:lastRow="0" w:firstColumn="1" w:lastColumn="0" w:noHBand="0" w:noVBand="1"/>
      </w:tblPr>
      <w:tblGrid>
        <w:gridCol w:w="12753"/>
        <w:gridCol w:w="1809"/>
      </w:tblGrid>
      <w:tr w:rsidR="00970E68" w:rsidRPr="005D126E" w14:paraId="37337E30" w14:textId="4CF59EBD" w:rsidTr="00970E68">
        <w:trPr>
          <w:tblHeader/>
        </w:trPr>
        <w:tc>
          <w:tcPr>
            <w:tcW w:w="4379" w:type="pct"/>
          </w:tcPr>
          <w:p w14:paraId="1B9FD2F6" w14:textId="3485426C" w:rsidR="00970E68" w:rsidRPr="005D126E" w:rsidRDefault="00970E68" w:rsidP="00953CC1">
            <w:pPr>
              <w:pStyle w:val="DoETableHeading"/>
            </w:pPr>
            <w:r w:rsidRPr="005D126E">
              <w:t>MLS-</w:t>
            </w:r>
            <w:r w:rsidR="005D126E">
              <w:t>S2 Probability</w:t>
            </w:r>
          </w:p>
        </w:tc>
        <w:tc>
          <w:tcPr>
            <w:tcW w:w="621" w:type="pct"/>
          </w:tcPr>
          <w:p w14:paraId="05D78F5B" w14:textId="6A6A1313" w:rsidR="00970E68" w:rsidRPr="005D126E" w:rsidRDefault="00970E68" w:rsidP="00953CC1">
            <w:pPr>
              <w:pStyle w:val="DoETableHeading"/>
            </w:pPr>
            <w:r w:rsidRPr="005D126E">
              <w:t>Unit Duration</w:t>
            </w:r>
          </w:p>
        </w:tc>
      </w:tr>
      <w:tr w:rsidR="00970E68" w:rsidRPr="005D126E" w14:paraId="6BE9C19F" w14:textId="2A7A671D" w:rsidTr="00970E68">
        <w:tc>
          <w:tcPr>
            <w:tcW w:w="4379" w:type="pct"/>
          </w:tcPr>
          <w:p w14:paraId="4D7CD612" w14:textId="50CF959C" w:rsidR="00970E68" w:rsidRPr="005D126E" w:rsidRDefault="005D126E" w:rsidP="00953CC1">
            <w:pPr>
              <w:pStyle w:val="DoEtabletext"/>
            </w:pPr>
            <w:r>
              <w:t>A knowledge of statistics and probability helps students recognise and describe aspects of their world. With a working understanding of this topic, students develop their ability to predict and draw conclusions from what is happening around them.</w:t>
            </w:r>
            <w:r w:rsidR="00970E68" w:rsidRPr="005D126E">
              <w:t xml:space="preserve"> </w:t>
            </w:r>
          </w:p>
        </w:tc>
        <w:tc>
          <w:tcPr>
            <w:tcW w:w="621" w:type="pct"/>
          </w:tcPr>
          <w:p w14:paraId="34D28147" w14:textId="0C84F8BD" w:rsidR="00970E68" w:rsidRPr="005D126E" w:rsidRDefault="00BC36A0" w:rsidP="00953CC1">
            <w:pPr>
              <w:pStyle w:val="DoEtabletext"/>
            </w:pPr>
            <w:r>
              <w:t>Teacher decision</w:t>
            </w:r>
          </w:p>
        </w:tc>
      </w:tr>
    </w:tbl>
    <w:p w14:paraId="7DDF0B30" w14:textId="25EC1EAF" w:rsidR="0007662A" w:rsidRPr="005D126E" w:rsidRDefault="0007662A" w:rsidP="0007662A">
      <w:pPr>
        <w:rPr>
          <w:lang w:eastAsia="zh-CN"/>
        </w:rPr>
      </w:pPr>
    </w:p>
    <w:tbl>
      <w:tblPr>
        <w:tblStyle w:val="TableGrid"/>
        <w:tblW w:w="0" w:type="auto"/>
        <w:tblLook w:val="04A0" w:firstRow="1" w:lastRow="0" w:firstColumn="1" w:lastColumn="0" w:noHBand="0" w:noVBand="1"/>
      </w:tblPr>
      <w:tblGrid>
        <w:gridCol w:w="7281"/>
        <w:gridCol w:w="7281"/>
      </w:tblGrid>
      <w:tr w:rsidR="0007662A" w:rsidRPr="005D126E" w14:paraId="13272CC5" w14:textId="77777777" w:rsidTr="795490D9">
        <w:trPr>
          <w:tblHeader/>
        </w:trPr>
        <w:tc>
          <w:tcPr>
            <w:tcW w:w="7281" w:type="dxa"/>
          </w:tcPr>
          <w:p w14:paraId="02D4636A" w14:textId="6D37190D" w:rsidR="0007662A" w:rsidRPr="005D126E" w:rsidRDefault="0007662A" w:rsidP="00953CC1">
            <w:pPr>
              <w:pStyle w:val="DoETableHeading"/>
            </w:pPr>
            <w:r w:rsidRPr="005D126E">
              <w:t>Subtopic focus</w:t>
            </w:r>
          </w:p>
        </w:tc>
        <w:tc>
          <w:tcPr>
            <w:tcW w:w="7281" w:type="dxa"/>
          </w:tcPr>
          <w:p w14:paraId="28F67D07" w14:textId="7D04FA6A" w:rsidR="0007662A" w:rsidRPr="005D126E" w:rsidRDefault="0007662A" w:rsidP="00953CC1">
            <w:pPr>
              <w:pStyle w:val="DoETableHeading"/>
            </w:pPr>
            <w:r w:rsidRPr="005D126E">
              <w:t>Outcomes</w:t>
            </w:r>
          </w:p>
        </w:tc>
      </w:tr>
      <w:tr w:rsidR="0007662A" w:rsidRPr="005D126E" w14:paraId="3C749745" w14:textId="77777777" w:rsidTr="795490D9">
        <w:tc>
          <w:tcPr>
            <w:tcW w:w="7281" w:type="dxa"/>
          </w:tcPr>
          <w:p w14:paraId="60ED4706" w14:textId="770AB2B7" w:rsidR="0007662A" w:rsidRPr="005D126E" w:rsidRDefault="00BB5247" w:rsidP="00BB5247">
            <w:pPr>
              <w:pStyle w:val="DoEtabletext"/>
            </w:pPr>
            <w:r w:rsidRPr="005D126E">
              <w:t xml:space="preserve">The focus of this subtopic is on developing an understanding of the language and elements of chance and probability and applying this in real situations. Fraction concepts are reviewed first to help give students the skills to express probabilities mathematically. The knowledge, skills and understanding in this subtopic builds on Life Skills Years 7 – 10 outcomes and content for Statistics and Probability. </w:t>
            </w:r>
          </w:p>
        </w:tc>
        <w:tc>
          <w:tcPr>
            <w:tcW w:w="7281" w:type="dxa"/>
          </w:tcPr>
          <w:p w14:paraId="7EE12FEF" w14:textId="77777777" w:rsidR="0007662A" w:rsidRPr="005D126E" w:rsidRDefault="00E03597" w:rsidP="00953CC1">
            <w:pPr>
              <w:pStyle w:val="DoEtabletext"/>
            </w:pPr>
            <w:r w:rsidRPr="005D126E">
              <w:t>A student:</w:t>
            </w:r>
          </w:p>
          <w:p w14:paraId="010EA9D9" w14:textId="7838CB58" w:rsidR="00E03597" w:rsidRPr="005D126E" w:rsidRDefault="00BB5247" w:rsidP="00BB5247">
            <w:pPr>
              <w:pStyle w:val="DoEtablelist1bullet"/>
            </w:pPr>
            <w:r w:rsidRPr="005D126E">
              <w:t>e</w:t>
            </w:r>
            <w:r w:rsidR="00E03597" w:rsidRPr="005D126E">
              <w:t>xplores mathematical concepts, reasoning and language to solve problems MALS6-1</w:t>
            </w:r>
          </w:p>
          <w:p w14:paraId="178D024F" w14:textId="4152004E" w:rsidR="00E03597" w:rsidRPr="005D126E" w:rsidRDefault="005D126E" w:rsidP="00953CC1">
            <w:pPr>
              <w:pStyle w:val="DoEtablelist1bullet"/>
            </w:pPr>
            <w:r w:rsidRPr="005D126E">
              <w:t>e</w:t>
            </w:r>
            <w:r w:rsidR="00E03597" w:rsidRPr="005D126E">
              <w:t>ngages with mathematical symbols, diagrams, graphs and tables to represent information accurately MALS6-2</w:t>
            </w:r>
          </w:p>
          <w:p w14:paraId="3708FD27" w14:textId="3CE48769" w:rsidR="00E03597" w:rsidRPr="005D126E" w:rsidRDefault="005D126E" w:rsidP="00953CC1">
            <w:pPr>
              <w:pStyle w:val="DoEtablelist1bullet"/>
            </w:pPr>
            <w:r>
              <w:t>explores probability in a range of contexts MALS6-10</w:t>
            </w:r>
          </w:p>
          <w:p w14:paraId="64A43CC9" w14:textId="72E873EC" w:rsidR="00E03597" w:rsidRPr="005D126E" w:rsidRDefault="005D126E" w:rsidP="00953CC1">
            <w:pPr>
              <w:pStyle w:val="DoEtablelist1bullet"/>
            </w:pPr>
            <w:r>
              <w:t>e</w:t>
            </w:r>
            <w:r w:rsidR="00E03597" w:rsidRPr="005D126E">
              <w:t>ngages with mathematical skills and techniques, including terminology, to investigate, explain and organise information MALS6-13</w:t>
            </w:r>
          </w:p>
          <w:p w14:paraId="09CA99A2" w14:textId="0D5C0949" w:rsidR="00E03597" w:rsidRPr="005D126E" w:rsidRDefault="00E7231D" w:rsidP="00953CC1">
            <w:pPr>
              <w:pStyle w:val="DoEtablelist1bullet"/>
            </w:pPr>
            <w:r>
              <w:t>c</w:t>
            </w:r>
            <w:r w:rsidR="00E03597" w:rsidRPr="005D126E">
              <w:t>ommunicates mathematical ideas and relationships using a variety of strategies MALS6-14</w:t>
            </w:r>
          </w:p>
        </w:tc>
      </w:tr>
      <w:tr w:rsidR="00E722F1" w:rsidRPr="005D126E" w14:paraId="58D1922A" w14:textId="77777777" w:rsidTr="795490D9">
        <w:tc>
          <w:tcPr>
            <w:tcW w:w="7281" w:type="dxa"/>
          </w:tcPr>
          <w:p w14:paraId="5942879F" w14:textId="073E4172" w:rsidR="00E722F1" w:rsidRPr="005D126E" w:rsidRDefault="00EB6015" w:rsidP="00953CC1">
            <w:pPr>
              <w:pStyle w:val="DoETableHeading"/>
            </w:pPr>
            <w:r w:rsidRPr="005D126E">
              <w:t>Related Mathematics Standard outcomes</w:t>
            </w:r>
          </w:p>
        </w:tc>
        <w:tc>
          <w:tcPr>
            <w:tcW w:w="7281" w:type="dxa"/>
          </w:tcPr>
          <w:p w14:paraId="6859D1C6" w14:textId="2197C57D" w:rsidR="00E722F1" w:rsidRPr="005D126E" w:rsidRDefault="000D7D01" w:rsidP="000D7D01">
            <w:pPr>
              <w:pStyle w:val="DoETableHeading"/>
              <w:rPr>
                <w:rStyle w:val="Strong"/>
                <w:b/>
                <w:bCs/>
                <w:sz w:val="22"/>
              </w:rPr>
            </w:pPr>
            <w:r w:rsidRPr="005D126E">
              <w:rPr>
                <w:rStyle w:val="Strong"/>
                <w:b/>
                <w:bCs/>
                <w:sz w:val="22"/>
              </w:rPr>
              <w:t>Related Numeracy CEC outcomes</w:t>
            </w:r>
          </w:p>
        </w:tc>
      </w:tr>
      <w:tr w:rsidR="00E722F1" w14:paraId="3F235DAE" w14:textId="77777777" w:rsidTr="795490D9">
        <w:tc>
          <w:tcPr>
            <w:tcW w:w="7281" w:type="dxa"/>
          </w:tcPr>
          <w:p w14:paraId="6DD52BE7" w14:textId="507E9D9D" w:rsidR="00E722F1" w:rsidRPr="005D126E" w:rsidRDefault="00432CE9" w:rsidP="00953CC1">
            <w:pPr>
              <w:pStyle w:val="DoEtabletext"/>
            </w:pPr>
            <w:r w:rsidRPr="005D126E">
              <w:t>MS11-1, MS11-2, MS11-</w:t>
            </w:r>
            <w:r w:rsidR="00E7231D">
              <w:t>8</w:t>
            </w:r>
            <w:r w:rsidRPr="005D126E">
              <w:t>, MS11-9, MS11-10, MS1-12-1, MS1-12-2, MS1-12-</w:t>
            </w:r>
            <w:r w:rsidR="00E7231D">
              <w:t>9</w:t>
            </w:r>
            <w:r w:rsidRPr="005D126E">
              <w:t>, MS1-12-</w:t>
            </w:r>
            <w:r w:rsidR="00E7231D">
              <w:t>10</w:t>
            </w:r>
            <w:r w:rsidRPr="005D126E">
              <w:t>, MS2-12-1, MS2-12-2, MS2-12-9, MS2-12-10</w:t>
            </w:r>
          </w:p>
        </w:tc>
        <w:tc>
          <w:tcPr>
            <w:tcW w:w="7281" w:type="dxa"/>
          </w:tcPr>
          <w:p w14:paraId="26023E79" w14:textId="61A72AC0" w:rsidR="00E722F1" w:rsidRDefault="00BC36A0" w:rsidP="000D7D01">
            <w:pPr>
              <w:pStyle w:val="DoEtabletext"/>
            </w:pPr>
            <w:r>
              <w:t>N6-1.1, N6-1.2, N6-1.3, N6-2.3, N6-3.1, N6-3.2</w:t>
            </w:r>
          </w:p>
        </w:tc>
      </w:tr>
    </w:tbl>
    <w:p w14:paraId="3D023226" w14:textId="76A81F8F" w:rsidR="00E03597" w:rsidRDefault="00E03597" w:rsidP="00E03597">
      <w:pPr>
        <w:pStyle w:val="DoEreference2018"/>
        <w:rPr>
          <w:lang w:eastAsia="en-US"/>
        </w:rPr>
      </w:pPr>
      <w:r>
        <w:rPr>
          <w:lang w:eastAsia="en-US"/>
        </w:rPr>
        <w:t xml:space="preserve">All outcomes referred to in this unit come from the </w:t>
      </w:r>
      <w:hyperlink r:id="rId11" w:history="1">
        <w:r w:rsidRPr="00E03597">
          <w:rPr>
            <w:rStyle w:val="Hyperlink"/>
            <w:rFonts w:ascii="Helvetica" w:hAnsi="Helvetica"/>
            <w:sz w:val="18"/>
            <w:lang w:eastAsia="en-US"/>
          </w:rPr>
          <w:t>Stage 6 Mathematics Life Skills</w:t>
        </w:r>
        <w:r w:rsidRPr="00E03597">
          <w:rPr>
            <w:rStyle w:val="Hyperlink"/>
            <w:rFonts w:ascii="Helvetica" w:hAnsi="Helvetica"/>
            <w:sz w:val="18"/>
          </w:rPr>
          <w:t xml:space="preserve"> Syllabus</w:t>
        </w:r>
      </w:hyperlink>
      <w:r>
        <w:br/>
      </w:r>
      <w:r>
        <w:rPr>
          <w:lang w:eastAsia="en-US"/>
        </w:rPr>
        <w:t>© NSW Education Standards Authority (NESA) for and on behalf of the Crown in right of the State of New South Wales, 2017</w:t>
      </w:r>
    </w:p>
    <w:p w14:paraId="2E6D62BF" w14:textId="77777777" w:rsidR="00E7231D" w:rsidRDefault="00E7231D">
      <w:pPr>
        <w:rPr>
          <w:rFonts w:eastAsia="SimSun" w:cs="Arial"/>
          <w:color w:val="1C438B"/>
          <w:sz w:val="40"/>
          <w:szCs w:val="40"/>
          <w:lang w:eastAsia="zh-CN"/>
        </w:rPr>
      </w:pPr>
      <w:r>
        <w:br w:type="page"/>
      </w:r>
    </w:p>
    <w:p w14:paraId="1BAEF1AD" w14:textId="24716CF3" w:rsidR="00E722F1" w:rsidRDefault="00E722F1" w:rsidP="00E03597">
      <w:pPr>
        <w:pStyle w:val="Heading3"/>
      </w:pPr>
      <w:r>
        <w:lastRenderedPageBreak/>
        <w:t xml:space="preserve">Adjustments </w:t>
      </w:r>
    </w:p>
    <w:p w14:paraId="685B9B04" w14:textId="2049EBC6" w:rsidR="00E722F1" w:rsidRPr="00E722F1" w:rsidRDefault="00EB6015" w:rsidP="00953CC1">
      <w:pPr>
        <w:rPr>
          <w:lang w:eastAsia="zh-CN"/>
        </w:rPr>
      </w:pPr>
      <w:r>
        <w:rPr>
          <w:lang w:eastAsia="zh-CN"/>
        </w:rPr>
        <w:t xml:space="preserve">Examples of adjustments can be found on the NESA website under </w:t>
      </w:r>
      <w:hyperlink r:id="rId12" w:history="1">
        <w:r w:rsidRPr="00EB6015">
          <w:rPr>
            <w:rStyle w:val="Hyperlink"/>
            <w:lang w:eastAsia="zh-CN"/>
          </w:rPr>
          <w:t>Adjustments</w:t>
        </w:r>
      </w:hyperlink>
      <w:r>
        <w:rPr>
          <w:lang w:eastAsia="zh-CN"/>
        </w:rPr>
        <w:t>.</w:t>
      </w:r>
    </w:p>
    <w:tbl>
      <w:tblPr>
        <w:tblStyle w:val="TableGrid"/>
        <w:tblW w:w="0" w:type="auto"/>
        <w:tblLook w:val="04A0" w:firstRow="1" w:lastRow="0" w:firstColumn="1" w:lastColumn="0" w:noHBand="0" w:noVBand="1"/>
      </w:tblPr>
      <w:tblGrid>
        <w:gridCol w:w="3256"/>
        <w:gridCol w:w="11306"/>
      </w:tblGrid>
      <w:tr w:rsidR="00E722F1" w:rsidRPr="00E722F1" w14:paraId="1417DE8A" w14:textId="77777777" w:rsidTr="795490D9">
        <w:tc>
          <w:tcPr>
            <w:tcW w:w="3256" w:type="dxa"/>
          </w:tcPr>
          <w:p w14:paraId="4D42DC03" w14:textId="31BCAB33" w:rsidR="00E722F1" w:rsidRPr="00154AF9" w:rsidRDefault="00E722F1" w:rsidP="00154AF9">
            <w:pPr>
              <w:pStyle w:val="DoETableHeading"/>
            </w:pPr>
            <w:r w:rsidRPr="00154AF9">
              <w:t>Student’s name</w:t>
            </w:r>
          </w:p>
        </w:tc>
        <w:tc>
          <w:tcPr>
            <w:tcW w:w="11306" w:type="dxa"/>
          </w:tcPr>
          <w:p w14:paraId="18FF4572" w14:textId="12BEC00D" w:rsidR="00E722F1" w:rsidRPr="00154AF9" w:rsidRDefault="00E722F1" w:rsidP="00154AF9">
            <w:pPr>
              <w:pStyle w:val="DoETableHeading"/>
            </w:pPr>
            <w:r w:rsidRPr="00154AF9">
              <w:t>Adjustments</w:t>
            </w:r>
          </w:p>
        </w:tc>
      </w:tr>
      <w:tr w:rsidR="00E722F1" w:rsidRPr="00EB6015" w14:paraId="704609B2" w14:textId="77777777" w:rsidTr="795490D9">
        <w:tc>
          <w:tcPr>
            <w:tcW w:w="3256" w:type="dxa"/>
          </w:tcPr>
          <w:p w14:paraId="72C1097B" w14:textId="347C9925" w:rsidR="00E722F1" w:rsidRPr="00154AF9" w:rsidRDefault="000B5D44" w:rsidP="00154AF9">
            <w:pPr>
              <w:pStyle w:val="DoEtabletext"/>
              <w:rPr>
                <w:rStyle w:val="Emphasis"/>
                <w:i w:val="0"/>
                <w:iCs w:val="0"/>
                <w:noProof w:val="0"/>
                <w:sz w:val="20"/>
              </w:rPr>
            </w:pPr>
            <w:r w:rsidRPr="00154AF9">
              <w:rPr>
                <w:rStyle w:val="Emphasis"/>
                <w:i w:val="0"/>
                <w:iCs w:val="0"/>
                <w:noProof w:val="0"/>
                <w:sz w:val="20"/>
              </w:rPr>
              <w:t>e.g. John Smith</w:t>
            </w:r>
          </w:p>
        </w:tc>
        <w:tc>
          <w:tcPr>
            <w:tcW w:w="11306" w:type="dxa"/>
          </w:tcPr>
          <w:p w14:paraId="72959A1C" w14:textId="133B9B06" w:rsidR="00E722F1" w:rsidRPr="00154AF9" w:rsidRDefault="000B5D44" w:rsidP="00154AF9">
            <w:pPr>
              <w:pStyle w:val="DoEtabletext"/>
              <w:rPr>
                <w:rStyle w:val="Emphasis"/>
                <w:i w:val="0"/>
                <w:iCs w:val="0"/>
                <w:noProof w:val="0"/>
                <w:sz w:val="20"/>
              </w:rPr>
            </w:pPr>
            <w:r w:rsidRPr="00154AF9">
              <w:rPr>
                <w:rStyle w:val="Emphasis"/>
                <w:i w:val="0"/>
                <w:iCs w:val="0"/>
                <w:noProof w:val="0"/>
                <w:sz w:val="20"/>
              </w:rPr>
              <w:t xml:space="preserve">Requires </w:t>
            </w:r>
            <w:r w:rsidR="00EB6015" w:rsidRPr="00154AF9">
              <w:rPr>
                <w:rStyle w:val="Emphasis"/>
                <w:i w:val="0"/>
                <w:iCs w:val="0"/>
                <w:noProof w:val="0"/>
                <w:sz w:val="20"/>
              </w:rPr>
              <w:t>learning material to be printed on blue paper.</w:t>
            </w:r>
          </w:p>
        </w:tc>
      </w:tr>
      <w:tr w:rsidR="00E722F1" w14:paraId="2740B30E" w14:textId="77777777" w:rsidTr="795490D9">
        <w:tc>
          <w:tcPr>
            <w:tcW w:w="3256" w:type="dxa"/>
          </w:tcPr>
          <w:p w14:paraId="49EEF6A9" w14:textId="77777777" w:rsidR="00E722F1" w:rsidRPr="00953CC1" w:rsidRDefault="00E722F1" w:rsidP="00953CC1">
            <w:pPr>
              <w:pStyle w:val="DoEtabletext"/>
            </w:pPr>
          </w:p>
        </w:tc>
        <w:tc>
          <w:tcPr>
            <w:tcW w:w="11306" w:type="dxa"/>
          </w:tcPr>
          <w:p w14:paraId="6F799B1E" w14:textId="77777777" w:rsidR="00E722F1" w:rsidRPr="00953CC1" w:rsidRDefault="00E722F1" w:rsidP="00953CC1">
            <w:pPr>
              <w:pStyle w:val="DoEtabletext"/>
            </w:pPr>
          </w:p>
        </w:tc>
      </w:tr>
    </w:tbl>
    <w:p w14:paraId="2C6CAEA1" w14:textId="77777777" w:rsidR="00E7231D" w:rsidRDefault="00E7231D" w:rsidP="00E03597">
      <w:pPr>
        <w:pStyle w:val="Heading3"/>
      </w:pPr>
    </w:p>
    <w:p w14:paraId="6E61E122" w14:textId="189F2575" w:rsidR="0007662A" w:rsidRPr="0007662A" w:rsidRDefault="0091080B" w:rsidP="00E03597">
      <w:pPr>
        <w:pStyle w:val="Heading3"/>
      </w:pPr>
      <w:r>
        <w:t xml:space="preserve">Unit of </w:t>
      </w:r>
      <w:r w:rsidR="008E0B26">
        <w:t>learning</w:t>
      </w:r>
    </w:p>
    <w:tbl>
      <w:tblPr>
        <w:tblStyle w:val="TableGrid"/>
        <w:tblW w:w="5000" w:type="pct"/>
        <w:tblLook w:val="04A0" w:firstRow="1" w:lastRow="0" w:firstColumn="1" w:lastColumn="0" w:noHBand="0" w:noVBand="1"/>
      </w:tblPr>
      <w:tblGrid>
        <w:gridCol w:w="3076"/>
        <w:gridCol w:w="6538"/>
        <w:gridCol w:w="3818"/>
        <w:gridCol w:w="1130"/>
      </w:tblGrid>
      <w:tr w:rsidR="00E66882" w:rsidRPr="006B4DFC" w14:paraId="4FE899C3" w14:textId="77777777" w:rsidTr="2EB92FC1">
        <w:trPr>
          <w:tblHeader/>
        </w:trPr>
        <w:tc>
          <w:tcPr>
            <w:tcW w:w="1056" w:type="pct"/>
          </w:tcPr>
          <w:p w14:paraId="1C7D1C58" w14:textId="4CC338CD" w:rsidR="00970E68" w:rsidRPr="006B4DFC" w:rsidRDefault="00970E68" w:rsidP="00953CC1">
            <w:pPr>
              <w:pStyle w:val="DoETableHeading"/>
            </w:pPr>
            <w:r w:rsidRPr="006B4DFC">
              <w:t>Content</w:t>
            </w:r>
          </w:p>
          <w:p w14:paraId="1CF15861" w14:textId="06B50D80" w:rsidR="00970E68" w:rsidRPr="006B4DFC" w:rsidRDefault="00970E68" w:rsidP="00953CC1">
            <w:pPr>
              <w:pStyle w:val="DoETableHeading"/>
            </w:pPr>
            <w:r w:rsidRPr="006B4DFC">
              <w:t>Students learn to:</w:t>
            </w:r>
          </w:p>
        </w:tc>
        <w:tc>
          <w:tcPr>
            <w:tcW w:w="2245" w:type="pct"/>
          </w:tcPr>
          <w:p w14:paraId="71D85561" w14:textId="5F71E1BF" w:rsidR="00970E68" w:rsidRPr="006B4DFC" w:rsidRDefault="00970E68" w:rsidP="00970E68">
            <w:pPr>
              <w:pStyle w:val="DoETableHeading"/>
              <w:jc w:val="center"/>
            </w:pPr>
            <w:r w:rsidRPr="006B4DFC">
              <w:t>Suggested teaching strategies and resources</w:t>
            </w:r>
          </w:p>
        </w:tc>
        <w:tc>
          <w:tcPr>
            <w:tcW w:w="1311" w:type="pct"/>
          </w:tcPr>
          <w:p w14:paraId="6678A5A7" w14:textId="3EE39F4F" w:rsidR="00970E68" w:rsidRPr="006B4DFC" w:rsidRDefault="00970E68" w:rsidP="00970E68">
            <w:pPr>
              <w:pStyle w:val="DoETableHeading"/>
              <w:jc w:val="center"/>
            </w:pPr>
            <w:r>
              <w:t>Differentiation and modifications</w:t>
            </w:r>
          </w:p>
        </w:tc>
        <w:tc>
          <w:tcPr>
            <w:tcW w:w="388" w:type="pct"/>
          </w:tcPr>
          <w:p w14:paraId="1D689353" w14:textId="5CD8065A" w:rsidR="00970E68" w:rsidRPr="006B4DFC" w:rsidRDefault="00970E68" w:rsidP="00953CC1">
            <w:pPr>
              <w:pStyle w:val="DoETableHeading"/>
            </w:pPr>
            <w:r w:rsidRPr="006B4DFC">
              <w:t>Date and initial</w:t>
            </w:r>
          </w:p>
        </w:tc>
      </w:tr>
      <w:tr w:rsidR="00E66882" w14:paraId="5A32E10A" w14:textId="77777777" w:rsidTr="2EB92FC1">
        <w:trPr>
          <w:trHeight w:val="1095"/>
        </w:trPr>
        <w:tc>
          <w:tcPr>
            <w:tcW w:w="1056" w:type="pct"/>
          </w:tcPr>
          <w:p w14:paraId="109DA1B6" w14:textId="2A839777" w:rsidR="00970E68" w:rsidRDefault="00E7231D" w:rsidP="00BC36A0">
            <w:pPr>
              <w:pStyle w:val="DoETableHeading"/>
            </w:pPr>
            <w:r>
              <w:t>S2.1: Fraction concepts and calculations</w:t>
            </w:r>
          </w:p>
          <w:p w14:paraId="155673AB" w14:textId="5E7EF7E0" w:rsidR="00E7231D" w:rsidRDefault="00E7231D" w:rsidP="00953CC1">
            <w:pPr>
              <w:pStyle w:val="DoEtabletext"/>
            </w:pPr>
            <w:r>
              <w:t>Students:</w:t>
            </w:r>
          </w:p>
          <w:p w14:paraId="47F83E31" w14:textId="0F437D7F" w:rsidR="00E7231D" w:rsidRDefault="00EE6192" w:rsidP="00E7231D">
            <w:pPr>
              <w:pStyle w:val="DoEtablelist1bullet"/>
            </w:pPr>
            <w:r>
              <w:t>r</w:t>
            </w:r>
            <w:r w:rsidR="00E7231D">
              <w:t>ecognise language related to fractions, for example:</w:t>
            </w:r>
          </w:p>
          <w:p w14:paraId="1622A47C" w14:textId="40EF4776" w:rsidR="00BC36A0" w:rsidRDefault="00EE6192" w:rsidP="00BC36A0">
            <w:pPr>
              <w:pStyle w:val="DoEtablelist2bullet"/>
            </w:pPr>
            <w:r>
              <w:t>e</w:t>
            </w:r>
            <w:r w:rsidR="00BC36A0">
              <w:t>qual parts</w:t>
            </w:r>
          </w:p>
          <w:p w14:paraId="1C37B077" w14:textId="1A03D511" w:rsidR="00BC36A0" w:rsidRDefault="00EE6192" w:rsidP="00BC36A0">
            <w:pPr>
              <w:pStyle w:val="DoEtablelist2bullet"/>
            </w:pPr>
            <w:r>
              <w:t>s</w:t>
            </w:r>
            <w:r w:rsidR="00BC36A0">
              <w:t>hare</w:t>
            </w:r>
          </w:p>
          <w:p w14:paraId="239A400B" w14:textId="606C6B68" w:rsidR="00BC36A0" w:rsidRDefault="00EE6192" w:rsidP="00BC36A0">
            <w:pPr>
              <w:pStyle w:val="DoEtablelist2bullet"/>
            </w:pPr>
            <w:r>
              <w:t>d</w:t>
            </w:r>
            <w:r w:rsidR="00BC36A0">
              <w:t>ivide</w:t>
            </w:r>
          </w:p>
          <w:p w14:paraId="31B6B425" w14:textId="437C2B23" w:rsidR="00BC36A0" w:rsidRDefault="00EE6192" w:rsidP="00BC36A0">
            <w:pPr>
              <w:pStyle w:val="DoEtablelist2bullet"/>
            </w:pPr>
            <w:r>
              <w:t>w</w:t>
            </w:r>
            <w:r w:rsidR="00BC36A0">
              <w:t>hole</w:t>
            </w:r>
          </w:p>
          <w:p w14:paraId="310950A4" w14:textId="601C7641" w:rsidR="00BC36A0" w:rsidRDefault="00EE6192" w:rsidP="00BC36A0">
            <w:pPr>
              <w:pStyle w:val="DoEtablelist2bullet"/>
            </w:pPr>
            <w:r>
              <w:t>q</w:t>
            </w:r>
            <w:r w:rsidR="00BC36A0">
              <w:t xml:space="preserve">uarter </w:t>
            </w:r>
            <w:r w:rsidR="00BC36A0">
              <w:rPr>
                <w:noProof/>
                <w:lang w:eastAsia="en-AU"/>
              </w:rPr>
              <w:drawing>
                <wp:inline distT="0" distB="0" distL="0" distR="0" wp14:anchorId="76607B7F" wp14:editId="6E6EB83C">
                  <wp:extent cx="133350" cy="104775"/>
                  <wp:effectExtent l="0" t="0" r="0" b="9525"/>
                  <wp:docPr id="665"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665" name="image138.png" descr="Literacy icon" title="Literacy icon"/>
                          <pic:cNvPicPr/>
                        </pic:nvPicPr>
                        <pic:blipFill>
                          <a:blip r:embed="rId13"/>
                          <a:srcRect/>
                          <a:stretch>
                            <a:fillRect/>
                          </a:stretch>
                        </pic:blipFill>
                        <pic:spPr>
                          <a:xfrm>
                            <a:off x="0" y="0"/>
                            <a:ext cx="133350" cy="104775"/>
                          </a:xfrm>
                          <a:prstGeom prst="rect">
                            <a:avLst/>
                          </a:prstGeom>
                          <a:ln/>
                        </pic:spPr>
                      </pic:pic>
                    </a:graphicData>
                  </a:graphic>
                </wp:inline>
              </w:drawing>
            </w:r>
          </w:p>
          <w:p w14:paraId="30621E14" w14:textId="477A5452" w:rsidR="00E7231D" w:rsidRDefault="002B0F21" w:rsidP="00E7231D">
            <w:pPr>
              <w:pStyle w:val="DoEtablelist1bullet"/>
            </w:pPr>
            <w:r>
              <w:lastRenderedPageBreak/>
              <w:t>r</w:t>
            </w:r>
            <w:r w:rsidR="00E7231D">
              <w:t>ecognise that a fraction represents a number of equal parts out of a whole</w:t>
            </w:r>
          </w:p>
          <w:p w14:paraId="705691D0" w14:textId="4774D516" w:rsidR="00BC36A0" w:rsidRDefault="002B0F21" w:rsidP="00E7231D">
            <w:pPr>
              <w:pStyle w:val="DoEtablelist1bullet"/>
            </w:pPr>
            <w:r>
              <w:t>r</w:t>
            </w:r>
            <w:r w:rsidR="00BC36A0">
              <w:t>ecognise the numerator as the number of equal fractional parts and the denominator as the number of equal parts the whole has been divided into, for example:</w:t>
            </w:r>
          </w:p>
          <w:p w14:paraId="6D8A5ABE" w14:textId="769FDB96" w:rsidR="00BC36A0" w:rsidRPr="00BC4D9B" w:rsidRDefault="000941BA" w:rsidP="00BC36A0">
            <w:pPr>
              <w:pStyle w:val="DoEtablelist2bullet"/>
            </w:pPr>
            <m:oMath>
              <m:f>
                <m:fPr>
                  <m:ctrlPr>
                    <w:rPr>
                      <w:rFonts w:ascii="Cambria Math" w:hAnsi="Cambria Math"/>
                      <w:i/>
                    </w:rPr>
                  </m:ctrlPr>
                </m:fPr>
                <m:num>
                  <m:r>
                    <w:rPr>
                      <w:rFonts w:ascii="Cambria Math" w:hAnsi="Cambria Math"/>
                    </w:rPr>
                    <m:t>3</m:t>
                  </m:r>
                </m:num>
                <m:den>
                  <m:r>
                    <w:rPr>
                      <w:rFonts w:ascii="Cambria Math" w:hAnsi="Cambria Math"/>
                    </w:rPr>
                    <m:t>4</m:t>
                  </m:r>
                </m:den>
              </m:f>
            </m:oMath>
            <w:r w:rsidR="00BC36A0">
              <w:rPr>
                <w:rFonts w:eastAsiaTheme="minorEastAsia"/>
              </w:rPr>
              <w:t xml:space="preserve"> means three out of four equal parts</w:t>
            </w:r>
          </w:p>
          <w:p w14:paraId="06ACD051" w14:textId="77777777" w:rsidR="00BC4D9B" w:rsidRDefault="00BC4D9B" w:rsidP="00BC4D9B">
            <w:pPr>
              <w:pStyle w:val="DoEtablelist1bullet"/>
            </w:pPr>
            <w:r>
              <w:t>Recognise basic fractions, for example:</w:t>
            </w:r>
          </w:p>
          <w:p w14:paraId="2EC06F38" w14:textId="77777777" w:rsidR="00BC4D9B" w:rsidRDefault="00BC4D9B" w:rsidP="00BC4D9B">
            <w:pPr>
              <w:pStyle w:val="DoEtablelist2bullet"/>
            </w:pPr>
            <w:r>
              <w:t>halves</w:t>
            </w:r>
          </w:p>
          <w:p w14:paraId="27778F3D" w14:textId="77777777" w:rsidR="00BC4D9B" w:rsidRDefault="00BC4D9B" w:rsidP="00BC4D9B">
            <w:pPr>
              <w:pStyle w:val="DoEtablelist2bullet"/>
            </w:pPr>
            <w:r>
              <w:t>quarters</w:t>
            </w:r>
          </w:p>
          <w:p w14:paraId="30BECD1C" w14:textId="77777777" w:rsidR="00BC4D9B" w:rsidRDefault="00BC4D9B" w:rsidP="00BC4D9B">
            <w:pPr>
              <w:pStyle w:val="DoEtablelist2bullet"/>
            </w:pPr>
            <w:r>
              <w:t xml:space="preserve">thirds </w:t>
            </w:r>
            <w:r>
              <w:rPr>
                <w:noProof/>
                <w:lang w:eastAsia="en-AU"/>
              </w:rPr>
              <w:drawing>
                <wp:inline distT="0" distB="0" distL="0" distR="0" wp14:anchorId="22CF7C9F" wp14:editId="0CECA440">
                  <wp:extent cx="133350" cy="104775"/>
                  <wp:effectExtent l="0" t="0" r="0" b="9525"/>
                  <wp:docPr id="5"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665" name="image138.png" descr="Literacy icon" title="Literacy icon"/>
                          <pic:cNvPicPr/>
                        </pic:nvPicPr>
                        <pic:blipFill>
                          <a:blip r:embed="rId13"/>
                          <a:srcRect/>
                          <a:stretch>
                            <a:fillRect/>
                          </a:stretch>
                        </pic:blipFill>
                        <pic:spPr>
                          <a:xfrm>
                            <a:off x="0" y="0"/>
                            <a:ext cx="133350" cy="104775"/>
                          </a:xfrm>
                          <a:prstGeom prst="rect">
                            <a:avLst/>
                          </a:prstGeom>
                          <a:ln/>
                        </pic:spPr>
                      </pic:pic>
                    </a:graphicData>
                  </a:graphic>
                </wp:inline>
              </w:drawing>
            </w:r>
          </w:p>
          <w:p w14:paraId="295FBA0A" w14:textId="65E994B3" w:rsidR="00970E68" w:rsidRDefault="00970E68" w:rsidP="00BC4D9B">
            <w:pPr>
              <w:pStyle w:val="DoEtablelist1bullet"/>
              <w:numPr>
                <w:ilvl w:val="0"/>
                <w:numId w:val="0"/>
              </w:numPr>
            </w:pPr>
          </w:p>
        </w:tc>
        <w:tc>
          <w:tcPr>
            <w:tcW w:w="2245" w:type="pct"/>
          </w:tcPr>
          <w:p w14:paraId="6BA00887" w14:textId="02E7B03B" w:rsidR="00A97808" w:rsidRDefault="00BC4D9B" w:rsidP="00BC4D9B">
            <w:pPr>
              <w:pStyle w:val="DoETableHeading"/>
              <w:rPr>
                <w:rStyle w:val="normaltextrun"/>
              </w:rPr>
            </w:pPr>
            <w:r>
              <w:rPr>
                <w:rStyle w:val="normaltextrun"/>
              </w:rPr>
              <w:lastRenderedPageBreak/>
              <w:t>Introducing fractions</w:t>
            </w:r>
            <w:r w:rsidR="00A97808">
              <w:rPr>
                <w:rStyle w:val="normaltextrun"/>
              </w:rPr>
              <w:t xml:space="preserve"> </w:t>
            </w:r>
          </w:p>
          <w:p w14:paraId="5778379E" w14:textId="77777777" w:rsidR="003F53FC" w:rsidRDefault="00A97808" w:rsidP="003F53FC">
            <w:pPr>
              <w:pStyle w:val="DoEtablelist1bullet"/>
              <w:rPr>
                <w:rStyle w:val="normaltextrun"/>
              </w:rPr>
            </w:pPr>
            <w:r>
              <w:rPr>
                <w:rStyle w:val="normaltextrun"/>
              </w:rPr>
              <w:t>Teacher to</w:t>
            </w:r>
            <w:r w:rsidR="00BC4D9B">
              <w:rPr>
                <w:rStyle w:val="normaltextrun"/>
              </w:rPr>
              <w:t xml:space="preserve"> facilitate a discussion drawing upon students prior understanding of what they believe fractions are. Teacher may like to ask the students to explain what they believe fractions are and where they have seen fractions being used</w:t>
            </w:r>
            <w:r w:rsidR="005A4B2B">
              <w:rPr>
                <w:rStyle w:val="normaltextrun"/>
              </w:rPr>
              <w:t xml:space="preserve"> before</w:t>
            </w:r>
            <w:r w:rsidR="00BC4D9B">
              <w:rPr>
                <w:rStyle w:val="normaltextrun"/>
              </w:rPr>
              <w:t>.</w:t>
            </w:r>
            <w:r w:rsidR="008F05C3">
              <w:rPr>
                <w:rStyle w:val="normaltextrun"/>
              </w:rPr>
              <w:t xml:space="preserve"> Some response may include cutting their sandwich in half, slices of cake or pizza and they may link fractions to sales in stores.</w:t>
            </w:r>
          </w:p>
          <w:p w14:paraId="50701B7C" w14:textId="518787F9" w:rsidR="00BC4D9B" w:rsidRDefault="00BC4D9B" w:rsidP="003F53FC">
            <w:pPr>
              <w:pStyle w:val="DoEtablelist1bullet"/>
              <w:numPr>
                <w:ilvl w:val="0"/>
                <w:numId w:val="0"/>
              </w:numPr>
              <w:ind w:left="340"/>
              <w:rPr>
                <w:rStyle w:val="normaltextrun"/>
              </w:rPr>
            </w:pPr>
            <w:r>
              <w:rPr>
                <w:rStyle w:val="normaltextrun"/>
              </w:rPr>
              <w:t xml:space="preserve"> </w:t>
            </w:r>
          </w:p>
          <w:p w14:paraId="24E8D623" w14:textId="2AB68E3B" w:rsidR="002E7383" w:rsidRDefault="002E7383" w:rsidP="00A97808">
            <w:pPr>
              <w:pStyle w:val="DoEtablelist1bullet"/>
              <w:rPr>
                <w:rStyle w:val="eop"/>
              </w:rPr>
            </w:pPr>
            <w:r w:rsidRPr="00A97808">
              <w:rPr>
                <w:rStyle w:val="normaltextrun"/>
              </w:rPr>
              <w:t xml:space="preserve">Students to engage in the online </w:t>
            </w:r>
            <w:r w:rsidR="00D44190">
              <w:rPr>
                <w:rStyle w:val="normaltextrun"/>
              </w:rPr>
              <w:t xml:space="preserve">Desmos </w:t>
            </w:r>
            <w:r w:rsidRPr="00A97808">
              <w:rPr>
                <w:rStyle w:val="normaltextrun"/>
              </w:rPr>
              <w:t>learning activity </w:t>
            </w:r>
            <w:hyperlink r:id="rId14" w:history="1">
              <w:r w:rsidR="00D44190" w:rsidRPr="00A97808">
                <w:rPr>
                  <w:rStyle w:val="Hyperlink"/>
                  <w:sz w:val="20"/>
                </w:rPr>
                <w:t>Recognising fractions</w:t>
              </w:r>
            </w:hyperlink>
            <w:r w:rsidRPr="00A97808">
              <w:rPr>
                <w:rStyle w:val="normaltextrun"/>
              </w:rPr>
              <w:t>. This activity is scaffolded and designed for students to independently</w:t>
            </w:r>
            <w:r w:rsidR="00A97808">
              <w:rPr>
                <w:rStyle w:val="normaltextrun"/>
              </w:rPr>
              <w:t xml:space="preserve"> uncover what fractions are and how they represent parts of wholes</w:t>
            </w:r>
            <w:r w:rsidRPr="00A97808">
              <w:rPr>
                <w:rStyle w:val="normaltextrun"/>
              </w:rPr>
              <w:t>.</w:t>
            </w:r>
            <w:r w:rsidRPr="00A97808">
              <w:rPr>
                <w:rStyle w:val="eop"/>
              </w:rPr>
              <w:t> </w:t>
            </w:r>
          </w:p>
          <w:p w14:paraId="396B8D8F" w14:textId="77777777" w:rsidR="00D44190" w:rsidRDefault="00D44190" w:rsidP="00D44190">
            <w:pPr>
              <w:pStyle w:val="DoEtablelist1bullet"/>
              <w:numPr>
                <w:ilvl w:val="0"/>
                <w:numId w:val="0"/>
              </w:numPr>
              <w:rPr>
                <w:rStyle w:val="eop"/>
              </w:rPr>
            </w:pPr>
          </w:p>
          <w:p w14:paraId="00A1191B" w14:textId="4FE982CF" w:rsidR="00A73517" w:rsidRDefault="00A73517" w:rsidP="00072861">
            <w:pPr>
              <w:pStyle w:val="DoEtablelist1bullet"/>
            </w:pPr>
            <w:r>
              <w:lastRenderedPageBreak/>
              <w:t>Teacher to guide students through the</w:t>
            </w:r>
            <w:r w:rsidR="00D44190">
              <w:t xml:space="preserve"> nzmaths</w:t>
            </w:r>
            <w:r w:rsidR="00FF6F70">
              <w:t>.co.nz website</w:t>
            </w:r>
            <w:r>
              <w:t xml:space="preserve"> </w:t>
            </w:r>
            <w:hyperlink r:id="rId15" w:history="1">
              <w:r w:rsidR="00D44190" w:rsidRPr="00D44190">
                <w:rPr>
                  <w:rStyle w:val="Hyperlink"/>
                  <w:sz w:val="20"/>
                </w:rPr>
                <w:t xml:space="preserve">Paper Folding Fractions </w:t>
              </w:r>
            </w:hyperlink>
            <w:r>
              <w:t>activity. In this activity students fold shapes to form halves, quarters and thirds.</w:t>
            </w:r>
          </w:p>
          <w:p w14:paraId="3BC94B52" w14:textId="77777777" w:rsidR="00072861" w:rsidRDefault="00072861" w:rsidP="00072861">
            <w:pPr>
              <w:pStyle w:val="DoEtablelist1bullet"/>
              <w:numPr>
                <w:ilvl w:val="0"/>
                <w:numId w:val="0"/>
              </w:numPr>
              <w:ind w:left="340"/>
            </w:pPr>
          </w:p>
          <w:p w14:paraId="5870D032" w14:textId="28B3A7FC" w:rsidR="00B16591" w:rsidRDefault="0078035B" w:rsidP="00FF6F70">
            <w:pPr>
              <w:pStyle w:val="DoEtablelist1bullet"/>
            </w:pPr>
            <w:r>
              <w:t>To summarise the basics of what fractions are</w:t>
            </w:r>
            <w:r w:rsidR="000A23E3">
              <w:t>,</w:t>
            </w:r>
            <w:r>
              <w:t xml:space="preserve"> students may like to watch the short YouTube video </w:t>
            </w:r>
            <w:hyperlink r:id="rId16" w:history="1">
              <w:r w:rsidRPr="00683495">
                <w:rPr>
                  <w:rStyle w:val="Hyperlink"/>
                  <w:sz w:val="20"/>
                </w:rPr>
                <w:t>Math Antics – fractions are parts</w:t>
              </w:r>
            </w:hyperlink>
            <w:r>
              <w:t>.</w:t>
            </w:r>
          </w:p>
        </w:tc>
        <w:tc>
          <w:tcPr>
            <w:tcW w:w="1311" w:type="pct"/>
          </w:tcPr>
          <w:p w14:paraId="655F7AA4" w14:textId="77777777" w:rsidR="00970E68" w:rsidRDefault="00970E68" w:rsidP="00953CC1">
            <w:pPr>
              <w:pStyle w:val="DoEtabletext"/>
            </w:pPr>
          </w:p>
        </w:tc>
        <w:tc>
          <w:tcPr>
            <w:tcW w:w="388" w:type="pct"/>
          </w:tcPr>
          <w:p w14:paraId="5891533B" w14:textId="58C053E6" w:rsidR="00970E68" w:rsidRDefault="00970E68" w:rsidP="00953CC1">
            <w:pPr>
              <w:pStyle w:val="DoEtabletext"/>
            </w:pPr>
          </w:p>
        </w:tc>
      </w:tr>
      <w:tr w:rsidR="00E66882" w14:paraId="7A80F224" w14:textId="77777777" w:rsidTr="2EB92FC1">
        <w:tc>
          <w:tcPr>
            <w:tcW w:w="1056" w:type="pct"/>
          </w:tcPr>
          <w:p w14:paraId="4A483201" w14:textId="77777777" w:rsidR="002E4A9B" w:rsidRDefault="002E4A9B" w:rsidP="002E4A9B">
            <w:pPr>
              <w:pStyle w:val="DoEtablelist1bullet"/>
            </w:pPr>
            <w:r>
              <w:t>Recognise how many parts are needed to make a whole or 100%, for example:</w:t>
            </w:r>
          </w:p>
          <w:p w14:paraId="4EB33FA2" w14:textId="42541A40" w:rsidR="002E4A9B" w:rsidRDefault="002E4A9B" w:rsidP="002E4A9B">
            <w:pPr>
              <w:pStyle w:val="DoEtablelist2bullet"/>
            </w:pPr>
            <w:r>
              <w:t>Four quarters = one whole</w:t>
            </w:r>
          </w:p>
          <w:p w14:paraId="760E0B7F" w14:textId="77777777" w:rsidR="00D14F57" w:rsidRDefault="00D14F57" w:rsidP="00D14F57">
            <w:pPr>
              <w:pStyle w:val="DoEtablelist1bullet"/>
            </w:pPr>
            <w:r>
              <w:t>Divide diagrams, objects, groups of objects or numbers into fractional parts, for example:</w:t>
            </w:r>
          </w:p>
          <w:p w14:paraId="13DC00F9" w14:textId="77777777" w:rsidR="00D14F57" w:rsidRDefault="00D14F57" w:rsidP="00D14F57">
            <w:pPr>
              <w:pStyle w:val="DoEtablelist2bullet"/>
            </w:pPr>
            <w:r>
              <w:lastRenderedPageBreak/>
              <w:t>Divide a group of objects into thirds</w:t>
            </w:r>
          </w:p>
          <w:p w14:paraId="7A1E116B" w14:textId="77777777" w:rsidR="00D14F57" w:rsidRDefault="00D14F57" w:rsidP="00D14F57">
            <w:pPr>
              <w:pStyle w:val="DoEtablelist2bullet"/>
            </w:pPr>
            <w:r>
              <w:t>Cut a cake in half</w:t>
            </w:r>
          </w:p>
          <w:p w14:paraId="79158D37" w14:textId="5DE1F02C" w:rsidR="005C67A5" w:rsidRDefault="00D14F57" w:rsidP="006A78B3">
            <w:pPr>
              <w:pStyle w:val="DoEtablelist2bullet"/>
            </w:pPr>
            <w:r>
              <w:t xml:space="preserve">Calculate a quarter of $20 </w:t>
            </w:r>
            <w:r>
              <w:rPr>
                <w:noProof/>
                <w:lang w:eastAsia="en-AU"/>
              </w:rPr>
              <w:drawing>
                <wp:inline distT="0" distB="0" distL="0" distR="0" wp14:anchorId="04208B00" wp14:editId="6F812B94">
                  <wp:extent cx="95250" cy="104775"/>
                  <wp:effectExtent l="0" t="0" r="0" b="9525"/>
                  <wp:docPr id="6"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669" name="image181.png" descr="Personal and social capability icon" title="Personal and social capability icon"/>
                          <pic:cNvPicPr/>
                        </pic:nvPicPr>
                        <pic:blipFill>
                          <a:blip r:embed="rId17"/>
                          <a:srcRect/>
                          <a:stretch>
                            <a:fillRect/>
                          </a:stretch>
                        </pic:blipFill>
                        <pic:spPr>
                          <a:xfrm>
                            <a:off x="0" y="0"/>
                            <a:ext cx="95250" cy="104775"/>
                          </a:xfrm>
                          <a:prstGeom prst="rect">
                            <a:avLst/>
                          </a:prstGeom>
                          <a:ln/>
                        </pic:spPr>
                      </pic:pic>
                    </a:graphicData>
                  </a:graphic>
                </wp:inline>
              </w:drawing>
            </w:r>
          </w:p>
        </w:tc>
        <w:tc>
          <w:tcPr>
            <w:tcW w:w="2245" w:type="pct"/>
          </w:tcPr>
          <w:p w14:paraId="02AF27C1" w14:textId="2E0BF057" w:rsidR="00A73517" w:rsidRDefault="00DE3CB3" w:rsidP="00DE3CB3">
            <w:pPr>
              <w:pStyle w:val="DoETableHeading"/>
            </w:pPr>
            <w:r>
              <w:lastRenderedPageBreak/>
              <w:t>Recognising how many parts form a whole</w:t>
            </w:r>
          </w:p>
          <w:p w14:paraId="70C72BF9" w14:textId="30211F1A" w:rsidR="00BF272A" w:rsidRDefault="00BF272A" w:rsidP="00BF272A">
            <w:pPr>
              <w:pStyle w:val="DoEtablelist1bullet"/>
              <w:rPr>
                <w:rStyle w:val="eop"/>
              </w:rPr>
            </w:pPr>
            <w:r w:rsidRPr="00A97808">
              <w:rPr>
                <w:rStyle w:val="normaltextrun"/>
              </w:rPr>
              <w:t>Students to engage in the online</w:t>
            </w:r>
            <w:r w:rsidR="00D44190">
              <w:rPr>
                <w:rStyle w:val="normaltextrun"/>
              </w:rPr>
              <w:t xml:space="preserve"> Desmos</w:t>
            </w:r>
            <w:r w:rsidRPr="00A97808">
              <w:rPr>
                <w:rStyle w:val="normaltextrun"/>
              </w:rPr>
              <w:t xml:space="preserve"> learning activity </w:t>
            </w:r>
            <w:hyperlink r:id="rId18" w:history="1">
              <w:r w:rsidR="00D44190" w:rsidRPr="00C10996">
                <w:rPr>
                  <w:rStyle w:val="Hyperlink"/>
                  <w:sz w:val="20"/>
                </w:rPr>
                <w:t>Dividing into fractional parts</w:t>
              </w:r>
            </w:hyperlink>
            <w:r>
              <w:rPr>
                <w:rStyle w:val="normaltextrun"/>
              </w:rPr>
              <w:t xml:space="preserve">. </w:t>
            </w:r>
            <w:r w:rsidRPr="00A97808">
              <w:rPr>
                <w:rStyle w:val="normaltextrun"/>
              </w:rPr>
              <w:t>This activity is scaffolded and designed for students to independently</w:t>
            </w:r>
            <w:r>
              <w:rPr>
                <w:rStyle w:val="normaltextrun"/>
              </w:rPr>
              <w:t xml:space="preserve"> discover how to divide diagrams, objects, groups of objects or numbers into fractional parts</w:t>
            </w:r>
            <w:r w:rsidRPr="00A97808">
              <w:rPr>
                <w:rStyle w:val="normaltextrun"/>
              </w:rPr>
              <w:t>.</w:t>
            </w:r>
            <w:r>
              <w:rPr>
                <w:rStyle w:val="normaltextrun"/>
              </w:rPr>
              <w:t xml:space="preserve"> </w:t>
            </w:r>
          </w:p>
          <w:p w14:paraId="4B567BF1" w14:textId="77777777" w:rsidR="00BF272A" w:rsidRPr="00BF272A" w:rsidRDefault="00BF272A" w:rsidP="00BF272A">
            <w:pPr>
              <w:pStyle w:val="DoEtablelist1bullet"/>
              <w:numPr>
                <w:ilvl w:val="0"/>
                <w:numId w:val="0"/>
              </w:numPr>
              <w:ind w:left="340"/>
              <w:rPr>
                <w:highlight w:val="yellow"/>
              </w:rPr>
            </w:pPr>
          </w:p>
          <w:p w14:paraId="29D286CD" w14:textId="3A73C511" w:rsidR="005C67A5" w:rsidRDefault="00DE3CB3" w:rsidP="00AC56B8">
            <w:pPr>
              <w:pStyle w:val="DoEtablelist1bullet"/>
            </w:pPr>
            <w:r>
              <w:t>Students</w:t>
            </w:r>
            <w:r w:rsidR="00A73517">
              <w:t xml:space="preserve"> to watch the video </w:t>
            </w:r>
            <w:hyperlink r:id="rId19" w:history="1">
              <w:r w:rsidR="00A73517" w:rsidRPr="00DE3CB3">
                <w:rPr>
                  <w:rStyle w:val="Hyperlink"/>
                  <w:sz w:val="20"/>
                </w:rPr>
                <w:t>Imagining Fractions</w:t>
              </w:r>
            </w:hyperlink>
            <w:r w:rsidR="00A73517">
              <w:t xml:space="preserve">. In this video students </w:t>
            </w:r>
            <w:r>
              <w:t>are</w:t>
            </w:r>
            <w:r w:rsidR="00A73517">
              <w:t xml:space="preserve"> introduced to a problem</w:t>
            </w:r>
            <w:r>
              <w:t xml:space="preserve"> where they need to calculate how many whole lemon slices are needed to recreate an image. </w:t>
            </w:r>
            <w:r>
              <w:lastRenderedPageBreak/>
              <w:t>Student</w:t>
            </w:r>
            <w:r w:rsidR="00D44190">
              <w:t>s</w:t>
            </w:r>
            <w:r>
              <w:t xml:space="preserve"> to then brainstorm other ways of solving the problem</w:t>
            </w:r>
            <w:r w:rsidR="00072861">
              <w:t xml:space="preserve"> and complete the associated works</w:t>
            </w:r>
            <w:r w:rsidR="00666D4F">
              <w:t>heet.</w:t>
            </w:r>
          </w:p>
          <w:p w14:paraId="2AB6A296" w14:textId="77777777" w:rsidR="00DC180B" w:rsidRDefault="00666D4F" w:rsidP="00BF272A">
            <w:pPr>
              <w:pStyle w:val="DoEtablelist1bullet"/>
              <w:numPr>
                <w:ilvl w:val="0"/>
                <w:numId w:val="0"/>
              </w:numPr>
              <w:ind w:left="340"/>
            </w:pPr>
            <w:r w:rsidRPr="00666D4F">
              <w:rPr>
                <w:b/>
              </w:rPr>
              <w:t>Resource:</w:t>
            </w:r>
            <w:r>
              <w:t xml:space="preserve"> imagining-fractions-worksheet.DOCX</w:t>
            </w:r>
          </w:p>
          <w:p w14:paraId="7143F19C" w14:textId="77777777" w:rsidR="00C85E5B" w:rsidRDefault="00C85E5B" w:rsidP="00BF272A">
            <w:pPr>
              <w:pStyle w:val="DoEtablelist1bullet"/>
              <w:numPr>
                <w:ilvl w:val="0"/>
                <w:numId w:val="0"/>
              </w:numPr>
              <w:ind w:left="340"/>
            </w:pPr>
          </w:p>
          <w:p w14:paraId="4AD75FCE" w14:textId="461B5620" w:rsidR="00C85E5B" w:rsidRDefault="00C85E5B" w:rsidP="00247F4B">
            <w:pPr>
              <w:pStyle w:val="DoEtablelist1bullet"/>
            </w:pPr>
            <w:r w:rsidRPr="00247F4B">
              <w:t>Students</w:t>
            </w:r>
            <w:r>
              <w:t xml:space="preserve"> use Minecraft to create a </w:t>
            </w:r>
            <w:hyperlink r:id="rId20" w:history="1">
              <w:r w:rsidRPr="00C85E5B">
                <w:rPr>
                  <w:rStyle w:val="Hyperlink"/>
                  <w:sz w:val="20"/>
                </w:rPr>
                <w:t>fraction story</w:t>
              </w:r>
            </w:hyperlink>
            <w:r w:rsidR="00247F4B">
              <w:t xml:space="preserve"> to demonstrate their understanding of how fractions are used in their everyday life and language.</w:t>
            </w:r>
          </w:p>
        </w:tc>
        <w:tc>
          <w:tcPr>
            <w:tcW w:w="1311" w:type="pct"/>
          </w:tcPr>
          <w:p w14:paraId="4383402C" w14:textId="77777777" w:rsidR="005C67A5" w:rsidRDefault="005C67A5" w:rsidP="00953CC1">
            <w:pPr>
              <w:pStyle w:val="DoEtabletext"/>
            </w:pPr>
          </w:p>
        </w:tc>
        <w:tc>
          <w:tcPr>
            <w:tcW w:w="388" w:type="pct"/>
          </w:tcPr>
          <w:p w14:paraId="1D41A5C3" w14:textId="77777777" w:rsidR="005C67A5" w:rsidRDefault="005C67A5" w:rsidP="00953CC1">
            <w:pPr>
              <w:pStyle w:val="DoEtabletext"/>
            </w:pPr>
          </w:p>
        </w:tc>
      </w:tr>
      <w:tr w:rsidR="00E66882" w14:paraId="3828C17D" w14:textId="77777777" w:rsidTr="2EB92FC1">
        <w:tc>
          <w:tcPr>
            <w:tcW w:w="1056" w:type="pct"/>
          </w:tcPr>
          <w:p w14:paraId="049F4C3D" w14:textId="08DC0EF4" w:rsidR="002E4A9B" w:rsidRDefault="002E4A9B" w:rsidP="002E4A9B">
            <w:pPr>
              <w:pStyle w:val="DoEtablelist1bullet"/>
            </w:pPr>
            <w:r>
              <w:t>Represent fractions using a variety of strategies, including concrete materials, diagrams and numerals as appropriate</w:t>
            </w:r>
          </w:p>
          <w:p w14:paraId="355D7D3B" w14:textId="77777777" w:rsidR="00CA5C77" w:rsidRDefault="00CA5C77" w:rsidP="00CA5C77">
            <w:pPr>
              <w:pStyle w:val="DoEtablelist1bullet"/>
            </w:pPr>
            <w:r>
              <w:t>Represent fractions for given situations, for example:</w:t>
            </w:r>
          </w:p>
          <w:p w14:paraId="5E9A0C56" w14:textId="77777777" w:rsidR="00CA5C77" w:rsidRPr="002B0F21" w:rsidRDefault="00CA5C77" w:rsidP="00CA5C77">
            <w:pPr>
              <w:pStyle w:val="DoEtablelist2bullet"/>
            </w:pPr>
            <w:r>
              <w:t xml:space="preserve">Write the fraction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when they eat a quarter of an apple</w:t>
            </w:r>
          </w:p>
          <w:p w14:paraId="56D81928" w14:textId="77777777" w:rsidR="00CA5C77" w:rsidRDefault="00CA5C77" w:rsidP="00CA5C77">
            <w:pPr>
              <w:pStyle w:val="DoEtablelist2bullet"/>
            </w:pPr>
            <w:r>
              <w:t xml:space="preserve">Express 50c as </w:t>
            </w:r>
            <m:oMath>
              <m:f>
                <m:fPr>
                  <m:ctrlPr>
                    <w:rPr>
                      <w:rFonts w:ascii="Cambria Math" w:hAnsi="Cambria Math"/>
                      <w:i/>
                    </w:rPr>
                  </m:ctrlPr>
                </m:fPr>
                <m:num>
                  <m:r>
                    <w:rPr>
                      <w:rFonts w:ascii="Cambria Math" w:hAnsi="Cambria Math"/>
                    </w:rPr>
                    <m:t>1</m:t>
                  </m:r>
                </m:num>
                <m:den>
                  <m:r>
                    <w:rPr>
                      <w:rFonts w:ascii="Cambria Math" w:hAnsi="Cambria Math"/>
                    </w:rPr>
                    <m:t>2</m:t>
                  </m:r>
                </m:den>
              </m:f>
            </m:oMath>
            <w:r w:rsidRPr="2EB92FC1">
              <w:rPr>
                <w:rFonts w:eastAsiaTheme="minorEastAsia"/>
              </w:rPr>
              <w:t xml:space="preserve"> of a dollar </w:t>
            </w:r>
            <w:r>
              <w:rPr>
                <w:noProof/>
                <w:lang w:eastAsia="en-AU"/>
              </w:rPr>
              <w:drawing>
                <wp:inline distT="0" distB="0" distL="0" distR="0" wp14:anchorId="3B49EC2C" wp14:editId="1DF62941">
                  <wp:extent cx="95250" cy="104775"/>
                  <wp:effectExtent l="0" t="0" r="0" b="9525"/>
                  <wp:docPr id="667"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667" name="image181.png" descr="Personal and social capability icon" title="Personal and social capability icon"/>
                          <pic:cNvPicPr/>
                        </pic:nvPicPr>
                        <pic:blipFill>
                          <a:blip r:embed="rId17"/>
                          <a:srcRect/>
                          <a:stretch>
                            <a:fillRect/>
                          </a:stretch>
                        </pic:blipFill>
                        <pic:spPr>
                          <a:xfrm>
                            <a:off x="0" y="0"/>
                            <a:ext cx="95250" cy="104775"/>
                          </a:xfrm>
                          <a:prstGeom prst="rect">
                            <a:avLst/>
                          </a:prstGeom>
                          <a:ln/>
                        </pic:spPr>
                      </pic:pic>
                    </a:graphicData>
                  </a:graphic>
                </wp:inline>
              </w:drawing>
            </w:r>
          </w:p>
          <w:p w14:paraId="7EC0CC14" w14:textId="6EE63413" w:rsidR="005C67A5" w:rsidRDefault="005C67A5" w:rsidP="00CF4152">
            <w:pPr>
              <w:pStyle w:val="DoEtablelist2bullet"/>
              <w:numPr>
                <w:ilvl w:val="0"/>
                <w:numId w:val="0"/>
              </w:numPr>
              <w:ind w:left="596"/>
            </w:pPr>
          </w:p>
        </w:tc>
        <w:tc>
          <w:tcPr>
            <w:tcW w:w="2245" w:type="pct"/>
          </w:tcPr>
          <w:p w14:paraId="31437E7D" w14:textId="77777777" w:rsidR="005C67A5" w:rsidRDefault="00DE3CB3" w:rsidP="00DE3CB3">
            <w:pPr>
              <w:pStyle w:val="DoETableHeading"/>
            </w:pPr>
            <w:r>
              <w:t>Representing fractions</w:t>
            </w:r>
          </w:p>
          <w:p w14:paraId="06767DCC" w14:textId="5CF0C64B" w:rsidR="00CF4152" w:rsidRPr="00CF4152" w:rsidRDefault="00CF4152" w:rsidP="00DE3CB3">
            <w:pPr>
              <w:pStyle w:val="DoEtablelist1bullet"/>
            </w:pPr>
            <w:r>
              <w:t>Students are to complete the Fraction Roll activity. In this activity students roll two dice and use the numbers from the dice to create fractions. Students are to record their results on the Fraction Roll worksheet and complete a table containing different representations of the fractions. Teachers may choose to allow students to use manipulates such as different colour blocks or counters to also represent the fractions.</w:t>
            </w:r>
          </w:p>
          <w:p w14:paraId="511F61B0" w14:textId="77777777" w:rsidR="00DE3CB3" w:rsidRDefault="00CA5C77" w:rsidP="00CF4152">
            <w:pPr>
              <w:pStyle w:val="DoEtablelist1bullet"/>
              <w:numPr>
                <w:ilvl w:val="0"/>
                <w:numId w:val="0"/>
              </w:numPr>
              <w:ind w:left="340"/>
            </w:pPr>
            <w:r w:rsidRPr="00494686">
              <w:rPr>
                <w:b/>
              </w:rPr>
              <w:t>Resource:</w:t>
            </w:r>
            <w:r w:rsidRPr="00494686">
              <w:t xml:space="preserve"> fraction-roll-worksheet.DOCX</w:t>
            </w:r>
          </w:p>
          <w:p w14:paraId="34B2B5F4" w14:textId="77777777" w:rsidR="00CF4152" w:rsidRDefault="00CF4152" w:rsidP="00CF4152">
            <w:pPr>
              <w:pStyle w:val="DoEtablelist1bullet"/>
              <w:numPr>
                <w:ilvl w:val="0"/>
                <w:numId w:val="0"/>
              </w:numPr>
              <w:ind w:left="340"/>
            </w:pPr>
          </w:p>
          <w:p w14:paraId="22E3AEF4" w14:textId="46FB1560" w:rsidR="00CF4152" w:rsidRDefault="00CF4152" w:rsidP="00DE3CB3">
            <w:pPr>
              <w:pStyle w:val="DoEtablelist1bullet"/>
            </w:pPr>
            <w:r>
              <w:t>Students to attempt the “Money in a cash register problem”. In this problem they are to make up a cash register that contains $300, one third of which needs to be coins. Teachers could adapt this task by coming up with different amounts and/or changing the restrictions. For example, the teacher may like to change it to one quarter coins and three quarters notes or half coins and half notes.</w:t>
            </w:r>
          </w:p>
          <w:p w14:paraId="030DC89E" w14:textId="1C489E00" w:rsidR="00CF4152" w:rsidRPr="00494686" w:rsidRDefault="00CF4152" w:rsidP="00CF4152">
            <w:pPr>
              <w:pStyle w:val="DoEtablelist1bullet"/>
              <w:numPr>
                <w:ilvl w:val="0"/>
                <w:numId w:val="0"/>
              </w:numPr>
              <w:ind w:left="340"/>
            </w:pPr>
            <w:r w:rsidRPr="00F40D29">
              <w:rPr>
                <w:b/>
              </w:rPr>
              <w:t>Resource:</w:t>
            </w:r>
            <w:r w:rsidRPr="00F40D29">
              <w:t xml:space="preserve"> money-in-a-cash-register-problem.DOCX</w:t>
            </w:r>
          </w:p>
          <w:p w14:paraId="743EEF49" w14:textId="77777777" w:rsidR="001A0B8D" w:rsidRDefault="001A0B8D" w:rsidP="00494686">
            <w:pPr>
              <w:pStyle w:val="DoEtablelist1bullet"/>
              <w:numPr>
                <w:ilvl w:val="0"/>
                <w:numId w:val="0"/>
              </w:numPr>
              <w:ind w:left="340"/>
            </w:pPr>
          </w:p>
          <w:p w14:paraId="4562225D" w14:textId="0DCBD289" w:rsidR="00247F4B" w:rsidRDefault="00247F4B" w:rsidP="00247F4B">
            <w:pPr>
              <w:pStyle w:val="DoEtablelist1bullet"/>
            </w:pPr>
            <w:r w:rsidRPr="00247F4B">
              <w:t>Students</w:t>
            </w:r>
            <w:r>
              <w:t xml:space="preserve"> complete the </w:t>
            </w:r>
            <w:hyperlink r:id="rId21" w:history="1">
              <w:r w:rsidRPr="00247F4B">
                <w:rPr>
                  <w:rStyle w:val="Hyperlink"/>
                  <w:sz w:val="20"/>
                </w:rPr>
                <w:t>Minecraft Pixel Art</w:t>
              </w:r>
            </w:hyperlink>
            <w:r>
              <w:t xml:space="preserve"> </w:t>
            </w:r>
            <w:r w:rsidR="00D44190">
              <w:t xml:space="preserve">activity </w:t>
            </w:r>
            <w:r>
              <w:t>to practise calculat</w:t>
            </w:r>
            <w:r w:rsidR="00D44190">
              <w:t>ing</w:t>
            </w:r>
            <w:r>
              <w:t xml:space="preserve"> the fraction of each colour in an artwork.</w:t>
            </w:r>
          </w:p>
        </w:tc>
        <w:tc>
          <w:tcPr>
            <w:tcW w:w="1311" w:type="pct"/>
          </w:tcPr>
          <w:p w14:paraId="60CD1071" w14:textId="77777777" w:rsidR="005C67A5" w:rsidRDefault="005C67A5" w:rsidP="00953CC1">
            <w:pPr>
              <w:pStyle w:val="DoEtabletext"/>
            </w:pPr>
          </w:p>
        </w:tc>
        <w:tc>
          <w:tcPr>
            <w:tcW w:w="388" w:type="pct"/>
          </w:tcPr>
          <w:p w14:paraId="35FCA3E8" w14:textId="77777777" w:rsidR="005C67A5" w:rsidRDefault="005C67A5" w:rsidP="00953CC1">
            <w:pPr>
              <w:pStyle w:val="DoEtabletext"/>
            </w:pPr>
          </w:p>
        </w:tc>
      </w:tr>
      <w:tr w:rsidR="00045020" w14:paraId="7ABF93B6" w14:textId="77777777" w:rsidTr="2EB92FC1">
        <w:tc>
          <w:tcPr>
            <w:tcW w:w="1056" w:type="pct"/>
          </w:tcPr>
          <w:p w14:paraId="409D4E4F" w14:textId="77777777" w:rsidR="00045020" w:rsidRDefault="00045020" w:rsidP="00045020">
            <w:pPr>
              <w:pStyle w:val="DoEtablelist1bullet"/>
            </w:pPr>
            <w:r>
              <w:lastRenderedPageBreak/>
              <w:t>Identify fractions in everyday contexts, for example:</w:t>
            </w:r>
          </w:p>
          <w:p w14:paraId="6DD20D81" w14:textId="77777777" w:rsidR="00045020" w:rsidRDefault="00045020" w:rsidP="00045020">
            <w:pPr>
              <w:pStyle w:val="DoEtablelist2bullet"/>
            </w:pPr>
            <w:r>
              <w:t>Walking a third of the way up the street</w:t>
            </w:r>
          </w:p>
          <w:p w14:paraId="2E5D01C7" w14:textId="77777777" w:rsidR="00045020" w:rsidRDefault="00045020" w:rsidP="00045020">
            <w:pPr>
              <w:pStyle w:val="DoEtablelist2bullet"/>
            </w:pPr>
            <w:r>
              <w:t>Going to a half-price sale</w:t>
            </w:r>
          </w:p>
          <w:p w14:paraId="52DED39E" w14:textId="411A0922" w:rsidR="00045020" w:rsidRDefault="00045020" w:rsidP="00045020">
            <w:pPr>
              <w:pStyle w:val="DoEtablelist2bullet"/>
            </w:pPr>
            <w:r>
              <w:t xml:space="preserve">Buying half a dozen eggs </w:t>
            </w:r>
            <w:r>
              <w:rPr>
                <w:noProof/>
                <w:lang w:eastAsia="en-AU"/>
              </w:rPr>
              <w:drawing>
                <wp:inline distT="0" distB="0" distL="0" distR="0" wp14:anchorId="1EDD2F07" wp14:editId="2661D292">
                  <wp:extent cx="95250" cy="104775"/>
                  <wp:effectExtent l="0" t="0" r="0" b="9525"/>
                  <wp:docPr id="669"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669" name="image181.png" descr="Personal and social capability icon" title="Personal and social capability icon"/>
                          <pic:cNvPicPr/>
                        </pic:nvPicPr>
                        <pic:blipFill>
                          <a:blip r:embed="rId17"/>
                          <a:srcRect/>
                          <a:stretch>
                            <a:fillRect/>
                          </a:stretch>
                        </pic:blipFill>
                        <pic:spPr>
                          <a:xfrm>
                            <a:off x="0" y="0"/>
                            <a:ext cx="95250" cy="104775"/>
                          </a:xfrm>
                          <a:prstGeom prst="rect">
                            <a:avLst/>
                          </a:prstGeom>
                          <a:ln/>
                        </pic:spPr>
                      </pic:pic>
                    </a:graphicData>
                  </a:graphic>
                </wp:inline>
              </w:drawing>
            </w:r>
          </w:p>
        </w:tc>
        <w:tc>
          <w:tcPr>
            <w:tcW w:w="2245" w:type="pct"/>
          </w:tcPr>
          <w:p w14:paraId="4963B47E" w14:textId="77777777" w:rsidR="00045020" w:rsidRDefault="00045020" w:rsidP="00DE3CB3">
            <w:pPr>
              <w:pStyle w:val="DoETableHeading"/>
            </w:pPr>
            <w:r>
              <w:t>Identifying fractions in everyday contexts</w:t>
            </w:r>
          </w:p>
          <w:p w14:paraId="000F3511" w14:textId="06EF2C0F" w:rsidR="00045020" w:rsidRDefault="00045020" w:rsidP="00045020">
            <w:pPr>
              <w:pStyle w:val="DoEtablelist1bullet"/>
            </w:pPr>
            <w:r>
              <w:t xml:space="preserve">Students to watch </w:t>
            </w:r>
            <w:r w:rsidR="00291316">
              <w:t xml:space="preserve">the </w:t>
            </w:r>
            <w:r w:rsidR="000A23E3">
              <w:t>2-minute</w:t>
            </w:r>
            <w:r w:rsidR="00291316">
              <w:t xml:space="preserve"> YouTube video </w:t>
            </w:r>
            <w:hyperlink r:id="rId22" w:history="1">
              <w:r w:rsidR="00291316" w:rsidRPr="00291316">
                <w:rPr>
                  <w:rStyle w:val="Hyperlink"/>
                  <w:sz w:val="20"/>
                </w:rPr>
                <w:t>How to create a healthy plate</w:t>
              </w:r>
            </w:hyperlink>
            <w:r w:rsidR="00291316">
              <w:t xml:space="preserve"> and complete the Fraction Plate worksheet. The video shows students that a healthy meal should include half a plate of vegetables, a quarter of a plate of protein and the remaining quarter grains or starches. </w:t>
            </w:r>
          </w:p>
          <w:p w14:paraId="05341D2E" w14:textId="77777777" w:rsidR="00291316" w:rsidRDefault="00291316" w:rsidP="00291316">
            <w:pPr>
              <w:pStyle w:val="DoEtablelist1bullet"/>
              <w:numPr>
                <w:ilvl w:val="0"/>
                <w:numId w:val="0"/>
              </w:numPr>
              <w:ind w:left="340"/>
              <w:rPr>
                <w:highlight w:val="yellow"/>
              </w:rPr>
            </w:pPr>
            <w:r w:rsidRPr="00494686">
              <w:rPr>
                <w:b/>
              </w:rPr>
              <w:t>Resource:</w:t>
            </w:r>
            <w:r>
              <w:t xml:space="preserve"> </w:t>
            </w:r>
            <w:r w:rsidRPr="00B5460F">
              <w:t>healthy-</w:t>
            </w:r>
            <w:r w:rsidR="00494686" w:rsidRPr="00B5460F">
              <w:t>plate-fraction-worksheet.DOCX</w:t>
            </w:r>
          </w:p>
          <w:p w14:paraId="49693189" w14:textId="1E5EF170" w:rsidR="00F80313" w:rsidRDefault="00F80313" w:rsidP="00F17684">
            <w:pPr>
              <w:pStyle w:val="DoEtablelist1bullet"/>
              <w:numPr>
                <w:ilvl w:val="0"/>
                <w:numId w:val="0"/>
              </w:numPr>
              <w:ind w:left="340"/>
            </w:pPr>
          </w:p>
        </w:tc>
        <w:tc>
          <w:tcPr>
            <w:tcW w:w="1311" w:type="pct"/>
          </w:tcPr>
          <w:p w14:paraId="639E2624" w14:textId="77777777" w:rsidR="00045020" w:rsidRDefault="00045020" w:rsidP="00953CC1">
            <w:pPr>
              <w:pStyle w:val="DoEtabletext"/>
            </w:pPr>
          </w:p>
        </w:tc>
        <w:tc>
          <w:tcPr>
            <w:tcW w:w="388" w:type="pct"/>
          </w:tcPr>
          <w:p w14:paraId="452A16F5" w14:textId="77777777" w:rsidR="00045020" w:rsidRDefault="00045020" w:rsidP="00953CC1">
            <w:pPr>
              <w:pStyle w:val="DoEtabletext"/>
            </w:pPr>
          </w:p>
        </w:tc>
      </w:tr>
      <w:tr w:rsidR="00E66882" w14:paraId="27C40FE3" w14:textId="77777777" w:rsidTr="2EB92FC1">
        <w:tc>
          <w:tcPr>
            <w:tcW w:w="1056" w:type="pct"/>
          </w:tcPr>
          <w:p w14:paraId="708CADCA" w14:textId="77777777" w:rsidR="002E4A9B" w:rsidRDefault="002E4A9B" w:rsidP="002E4A9B">
            <w:pPr>
              <w:pStyle w:val="DoEtablelist1bullet"/>
            </w:pPr>
            <w:r>
              <w:t>Compare fractions, for example:</w:t>
            </w:r>
          </w:p>
          <w:p w14:paraId="555601CD" w14:textId="4DDAA019" w:rsidR="005C67A5" w:rsidRDefault="002E4A9B" w:rsidP="00D14F57">
            <w:pPr>
              <w:pStyle w:val="DoEtablelist2bullet"/>
            </w:pPr>
            <w:r>
              <w:t xml:space="preserve">Recognise that half of something is more than a quarter of it </w:t>
            </w:r>
            <w:r>
              <w:rPr>
                <w:noProof/>
                <w:lang w:eastAsia="en-AU"/>
              </w:rPr>
              <w:drawing>
                <wp:inline distT="0" distB="0" distL="0" distR="0" wp14:anchorId="783C1CAA" wp14:editId="35249ED8">
                  <wp:extent cx="123825" cy="104775"/>
                  <wp:effectExtent l="0" t="0" r="9525" b="9525"/>
                  <wp:docPr id="668"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668" name="image264.png" descr="Critical and creative thinking icon" title="Critical and creative thinking icon"/>
                          <pic:cNvPicPr/>
                        </pic:nvPicPr>
                        <pic:blipFill>
                          <a:blip r:embed="rId23"/>
                          <a:srcRect/>
                          <a:stretch>
                            <a:fillRect/>
                          </a:stretch>
                        </pic:blipFill>
                        <pic:spPr>
                          <a:xfrm>
                            <a:off x="0" y="0"/>
                            <a:ext cx="123825" cy="104775"/>
                          </a:xfrm>
                          <a:prstGeom prst="rect">
                            <a:avLst/>
                          </a:prstGeom>
                          <a:ln/>
                        </pic:spPr>
                      </pic:pic>
                    </a:graphicData>
                  </a:graphic>
                </wp:inline>
              </w:drawing>
            </w:r>
          </w:p>
        </w:tc>
        <w:tc>
          <w:tcPr>
            <w:tcW w:w="2245" w:type="pct"/>
          </w:tcPr>
          <w:p w14:paraId="6DE76569" w14:textId="0738CADD" w:rsidR="005C67A5" w:rsidRDefault="00DE3CB3" w:rsidP="00DE3CB3">
            <w:pPr>
              <w:pStyle w:val="DoETableHeading"/>
            </w:pPr>
            <w:r>
              <w:t>Comparing fractions</w:t>
            </w:r>
          </w:p>
          <w:p w14:paraId="4E8FBE93" w14:textId="01B5C16D" w:rsidR="00AD23D0" w:rsidRDefault="00AD23D0" w:rsidP="00AD23D0">
            <w:pPr>
              <w:pStyle w:val="DoEtablelist1bullet"/>
              <w:rPr>
                <w:rStyle w:val="normaltextrun"/>
              </w:rPr>
            </w:pPr>
            <w:r>
              <w:rPr>
                <w:rStyle w:val="normaltextrun"/>
              </w:rPr>
              <w:t>S</w:t>
            </w:r>
            <w:r w:rsidRPr="00A97808">
              <w:rPr>
                <w:rStyle w:val="normaltextrun"/>
              </w:rPr>
              <w:t>tudents to engage in the online learning activity </w:t>
            </w:r>
            <w:hyperlink r:id="rId24">
              <w:r w:rsidR="00D44190" w:rsidRPr="20349B22">
                <w:rPr>
                  <w:rStyle w:val="Hyperlink"/>
                  <w:sz w:val="20"/>
                  <w:szCs w:val="20"/>
                </w:rPr>
                <w:t>Comparing fractions</w:t>
              </w:r>
            </w:hyperlink>
            <w:r>
              <w:rPr>
                <w:rStyle w:val="normaltextrun"/>
              </w:rPr>
              <w:t xml:space="preserve">. </w:t>
            </w:r>
            <w:r w:rsidRPr="00A97808">
              <w:rPr>
                <w:rStyle w:val="normaltextrun"/>
              </w:rPr>
              <w:t>This activity is scaffolded and designed for students to independently</w:t>
            </w:r>
            <w:r>
              <w:rPr>
                <w:rStyle w:val="normaltextrun"/>
              </w:rPr>
              <w:t xml:space="preserve"> </w:t>
            </w:r>
            <w:r w:rsidR="00D10D2D">
              <w:rPr>
                <w:rStyle w:val="normaltextrun"/>
              </w:rPr>
              <w:t xml:space="preserve">compare fractions using </w:t>
            </w:r>
            <w:r w:rsidR="00D44190">
              <w:rPr>
                <w:rStyle w:val="normaltextrun"/>
              </w:rPr>
              <w:t xml:space="preserve">both </w:t>
            </w:r>
            <w:r w:rsidR="00D10D2D">
              <w:rPr>
                <w:rStyle w:val="normaltextrun"/>
              </w:rPr>
              <w:t>numerals and images</w:t>
            </w:r>
            <w:r w:rsidRPr="00A97808">
              <w:rPr>
                <w:rStyle w:val="normaltextrun"/>
              </w:rPr>
              <w:t>.</w:t>
            </w:r>
            <w:r>
              <w:rPr>
                <w:rStyle w:val="normaltextrun"/>
              </w:rPr>
              <w:t xml:space="preserve"> </w:t>
            </w:r>
          </w:p>
          <w:p w14:paraId="5F8FF814" w14:textId="6E06757C" w:rsidR="00D10D2D" w:rsidRDefault="00D10D2D" w:rsidP="00D44190">
            <w:pPr>
              <w:pStyle w:val="DoEtablelist1bullet"/>
              <w:numPr>
                <w:ilvl w:val="0"/>
                <w:numId w:val="0"/>
              </w:numPr>
              <w:ind w:left="340"/>
            </w:pPr>
          </w:p>
        </w:tc>
        <w:tc>
          <w:tcPr>
            <w:tcW w:w="1311" w:type="pct"/>
          </w:tcPr>
          <w:p w14:paraId="312CF29B" w14:textId="77777777" w:rsidR="005C67A5" w:rsidRDefault="005C67A5" w:rsidP="00953CC1">
            <w:pPr>
              <w:pStyle w:val="DoEtabletext"/>
            </w:pPr>
          </w:p>
        </w:tc>
        <w:tc>
          <w:tcPr>
            <w:tcW w:w="388" w:type="pct"/>
          </w:tcPr>
          <w:p w14:paraId="2463E7E5" w14:textId="77777777" w:rsidR="005C67A5" w:rsidRDefault="005C67A5" w:rsidP="00953CC1">
            <w:pPr>
              <w:pStyle w:val="DoEtabletext"/>
            </w:pPr>
          </w:p>
        </w:tc>
      </w:tr>
      <w:tr w:rsidR="00DE3CB3" w14:paraId="36D34406" w14:textId="77777777" w:rsidTr="006745CA">
        <w:trPr>
          <w:trHeight w:val="5744"/>
        </w:trPr>
        <w:tc>
          <w:tcPr>
            <w:tcW w:w="1056" w:type="pct"/>
          </w:tcPr>
          <w:p w14:paraId="7548AB5A" w14:textId="0539BA90" w:rsidR="00DE3CB3" w:rsidRDefault="00DE3CB3" w:rsidP="00DE3CB3">
            <w:pPr>
              <w:pStyle w:val="DoEtablelist1bullet"/>
            </w:pPr>
            <w:r>
              <w:lastRenderedPageBreak/>
              <w:t xml:space="preserve">Calculate simple fraction additions and subtractions using concrete materials, diagrams, formal recording methods or calculators </w:t>
            </w:r>
            <w:r>
              <w:rPr>
                <w:noProof/>
                <w:lang w:eastAsia="en-AU"/>
              </w:rPr>
              <w:drawing>
                <wp:inline distT="0" distB="0" distL="0" distR="0" wp14:anchorId="7A9EC057" wp14:editId="3745C816">
                  <wp:extent cx="133350" cy="104775"/>
                  <wp:effectExtent l="0" t="0" r="0" b="9525"/>
                  <wp:docPr id="671"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71" name="image255.png" descr=" Information and communication technology capability icon" title=" Information and communication technology capability icon"/>
                          <pic:cNvPicPr/>
                        </pic:nvPicPr>
                        <pic:blipFill>
                          <a:blip r:embed="rId25"/>
                          <a:srcRect/>
                          <a:stretch>
                            <a:fillRect/>
                          </a:stretch>
                        </pic:blipFill>
                        <pic:spPr>
                          <a:xfrm>
                            <a:off x="0" y="0"/>
                            <a:ext cx="133350" cy="104775"/>
                          </a:xfrm>
                          <a:prstGeom prst="rect">
                            <a:avLst/>
                          </a:prstGeom>
                          <a:ln/>
                        </pic:spPr>
                      </pic:pic>
                    </a:graphicData>
                  </a:graphic>
                </wp:inline>
              </w:drawing>
            </w:r>
          </w:p>
        </w:tc>
        <w:tc>
          <w:tcPr>
            <w:tcW w:w="2245" w:type="pct"/>
          </w:tcPr>
          <w:p w14:paraId="5DE89BAD" w14:textId="77777777" w:rsidR="00DE3CB3" w:rsidRDefault="00DE3CB3" w:rsidP="00DE3CB3">
            <w:pPr>
              <w:pStyle w:val="DoETableHeading"/>
            </w:pPr>
            <w:r>
              <w:t>Calculating with fractions</w:t>
            </w:r>
          </w:p>
          <w:p w14:paraId="6D8F063A" w14:textId="181DB63A" w:rsidR="007B0028" w:rsidRDefault="00547F7B" w:rsidP="00DE3CB3">
            <w:pPr>
              <w:pStyle w:val="DoEtablelist1bullet"/>
            </w:pPr>
            <w:r>
              <w:t xml:space="preserve">Teacher to </w:t>
            </w:r>
            <w:r w:rsidR="00152A04">
              <w:t>facilitate a discussion around what student</w:t>
            </w:r>
            <w:r w:rsidR="00D44190">
              <w:t>s</w:t>
            </w:r>
            <w:r w:rsidR="00152A04">
              <w:t xml:space="preserve"> believe</w:t>
            </w:r>
            <w:r>
              <w:t xml:space="preserve"> </w:t>
            </w:r>
            <w:r w:rsidR="00152A04">
              <w:t>one fifth plus one fifth would equal. Teacher to use tone to emphasis</w:t>
            </w:r>
            <w:r w:rsidR="00D44190">
              <w:t>e</w:t>
            </w:r>
            <w:r w:rsidR="00152A04">
              <w:t xml:space="preserve"> the ‘one’ in each of the fractions. If students are having difficulties understanding th</w:t>
            </w:r>
            <w:r w:rsidR="00D44190">
              <w:t>e</w:t>
            </w:r>
            <w:r w:rsidR="00152A04">
              <w:t>n</w:t>
            </w:r>
            <w:r w:rsidR="00D44190">
              <w:t xml:space="preserve"> the</w:t>
            </w:r>
            <w:r w:rsidR="00152A04">
              <w:t xml:space="preserve"> teacher should link to </w:t>
            </w:r>
            <w:r w:rsidR="003F53FC">
              <w:t>student’s</w:t>
            </w:r>
            <w:r w:rsidR="00152A04">
              <w:t xml:space="preserve"> prior knowledge of what they know one plus one is and then extend into fractions with the same denominator. Repeat this process with subtraction. Students can then complete the worksheets ‘Adding and subtracting fractions’ and ‘Double batch’. Double batch shows students how to double a recipe by adding fractions. This activity could be done </w:t>
            </w:r>
            <w:r w:rsidR="0058441A">
              <w:t>as a practical activity in the kitchen.</w:t>
            </w:r>
          </w:p>
          <w:p w14:paraId="18112ED5" w14:textId="5C20B365" w:rsidR="007B0028" w:rsidRDefault="007B0028" w:rsidP="0058441A">
            <w:pPr>
              <w:pStyle w:val="DoEtablelist1bullet"/>
              <w:numPr>
                <w:ilvl w:val="0"/>
                <w:numId w:val="0"/>
              </w:numPr>
              <w:ind w:left="340"/>
            </w:pPr>
            <w:r w:rsidRPr="004803DC">
              <w:rPr>
                <w:b/>
              </w:rPr>
              <w:t>Resource:</w:t>
            </w:r>
            <w:r>
              <w:t xml:space="preserve"> adding-and-subtracting-fractions-worksheet.DOCX</w:t>
            </w:r>
          </w:p>
          <w:p w14:paraId="73F2B554" w14:textId="77777777" w:rsidR="00F17684" w:rsidRDefault="007B0028" w:rsidP="0058441A">
            <w:pPr>
              <w:pStyle w:val="DoEtablelist1bullet"/>
              <w:numPr>
                <w:ilvl w:val="0"/>
                <w:numId w:val="0"/>
              </w:numPr>
              <w:ind w:left="340"/>
            </w:pPr>
            <w:r w:rsidRPr="004803DC">
              <w:rPr>
                <w:b/>
              </w:rPr>
              <w:t>Resource:</w:t>
            </w:r>
            <w:r>
              <w:t xml:space="preserve"> </w:t>
            </w:r>
            <w:r w:rsidRPr="003F53FC">
              <w:t>double-batch-worksheet.DOCX</w:t>
            </w:r>
          </w:p>
          <w:p w14:paraId="7FE2856A" w14:textId="75ACC435" w:rsidR="0058441A" w:rsidRDefault="00154AF9" w:rsidP="00323B45">
            <w:pPr>
              <w:pStyle w:val="DoEtablelist1bullet"/>
            </w:pPr>
            <w:r w:rsidRPr="00323B45">
              <w:t>Students</w:t>
            </w:r>
            <w:r>
              <w:t xml:space="preserve"> can also practise adding and subtracting fractions using the online Desmos activity </w:t>
            </w:r>
            <w:hyperlink r:id="rId26" w:history="1">
              <w:r w:rsidR="00323B45" w:rsidRPr="00323B45">
                <w:rPr>
                  <w:rStyle w:val="Hyperlink"/>
                  <w:sz w:val="20"/>
                </w:rPr>
                <w:t>Adding and Subtracting fractions</w:t>
              </w:r>
            </w:hyperlink>
            <w:r w:rsidR="00323B45">
              <w:t>. This activity begins with a visual means of adding fractions with common denominators and then moves onto more challenging questions with different denominators</w:t>
            </w:r>
            <w:r w:rsidR="006745CA">
              <w:t>,</w:t>
            </w:r>
            <w:r w:rsidR="00323B45">
              <w:t xml:space="preserve"> </w:t>
            </w:r>
            <w:r w:rsidR="006745CA">
              <w:t xml:space="preserve">while </w:t>
            </w:r>
            <w:r w:rsidR="00323B45">
              <w:t>still using visuals</w:t>
            </w:r>
            <w:r w:rsidR="006745CA">
              <w:t>.</w:t>
            </w:r>
          </w:p>
        </w:tc>
        <w:tc>
          <w:tcPr>
            <w:tcW w:w="1311" w:type="pct"/>
          </w:tcPr>
          <w:p w14:paraId="30253F1A" w14:textId="77777777" w:rsidR="00DE3CB3" w:rsidRDefault="00DE3CB3" w:rsidP="00DE3CB3">
            <w:pPr>
              <w:pStyle w:val="DoEtabletext"/>
            </w:pPr>
          </w:p>
        </w:tc>
        <w:tc>
          <w:tcPr>
            <w:tcW w:w="388" w:type="pct"/>
          </w:tcPr>
          <w:p w14:paraId="1FF28B35" w14:textId="77777777" w:rsidR="00DE3CB3" w:rsidRDefault="00DE3CB3" w:rsidP="00DE3CB3">
            <w:pPr>
              <w:pStyle w:val="DoEtabletext"/>
            </w:pPr>
          </w:p>
        </w:tc>
      </w:tr>
      <w:tr w:rsidR="00DE3CB3" w14:paraId="4C4602E4" w14:textId="77777777" w:rsidTr="00091650">
        <w:trPr>
          <w:trHeight w:val="4142"/>
        </w:trPr>
        <w:tc>
          <w:tcPr>
            <w:tcW w:w="1056" w:type="pct"/>
          </w:tcPr>
          <w:p w14:paraId="7731D0FE" w14:textId="77777777" w:rsidR="00DE3CB3" w:rsidRDefault="00DE3CB3" w:rsidP="00DE3CB3">
            <w:pPr>
              <w:pStyle w:val="DoEtablelist1bullet"/>
            </w:pPr>
            <w:r>
              <w:lastRenderedPageBreak/>
              <w:t>Represent decimals as fractions of 10, 100, etc, for example:</w:t>
            </w:r>
          </w:p>
          <w:p w14:paraId="4D2B971C" w14:textId="77777777" w:rsidR="00DE3CB3" w:rsidRDefault="00DE3CB3" w:rsidP="00DE3CB3">
            <w:pPr>
              <w:pStyle w:val="DoEtablelist2bullet"/>
            </w:pPr>
            <w:r>
              <w:t xml:space="preserve">0.3 = </w:t>
            </w:r>
            <m:oMath>
              <m:f>
                <m:fPr>
                  <m:ctrlPr>
                    <w:rPr>
                      <w:rFonts w:ascii="Cambria Math" w:hAnsi="Cambria Math"/>
                      <w:i/>
                    </w:rPr>
                  </m:ctrlPr>
                </m:fPr>
                <m:num>
                  <m:r>
                    <w:rPr>
                      <w:rFonts w:ascii="Cambria Math" w:hAnsi="Cambria Math"/>
                    </w:rPr>
                    <m:t>3</m:t>
                  </m:r>
                </m:num>
                <m:den>
                  <m:r>
                    <w:rPr>
                      <w:rFonts w:ascii="Cambria Math" w:hAnsi="Cambria Math"/>
                    </w:rPr>
                    <m:t>10</m:t>
                  </m:r>
                </m:den>
              </m:f>
            </m:oMath>
          </w:p>
          <w:p w14:paraId="1C50EA4F" w14:textId="77777777" w:rsidR="00DE3CB3" w:rsidRDefault="00DE3CB3" w:rsidP="00DE3CB3">
            <w:pPr>
              <w:pStyle w:val="DoEtablelist1bullet"/>
            </w:pPr>
            <w:r>
              <w:t>Represent percentages as fractions of 100, for example:</w:t>
            </w:r>
          </w:p>
          <w:p w14:paraId="01B0AAAB" w14:textId="494B16D1" w:rsidR="00DE3CB3" w:rsidRDefault="00DE3CB3" w:rsidP="00DE3CB3">
            <w:pPr>
              <w:pStyle w:val="DoEtablelist2bullet"/>
            </w:pPr>
            <w:r>
              <w:t xml:space="preserve">40% = </w:t>
            </w:r>
            <m:oMath>
              <m:f>
                <m:fPr>
                  <m:ctrlPr>
                    <w:rPr>
                      <w:rFonts w:ascii="Cambria Math" w:hAnsi="Cambria Math"/>
                      <w:i/>
                    </w:rPr>
                  </m:ctrlPr>
                </m:fPr>
                <m:num>
                  <m:r>
                    <w:rPr>
                      <w:rFonts w:ascii="Cambria Math" w:hAnsi="Cambria Math"/>
                    </w:rPr>
                    <m:t>40</m:t>
                  </m:r>
                </m:num>
                <m:den>
                  <m:r>
                    <w:rPr>
                      <w:rFonts w:ascii="Cambria Math" w:hAnsi="Cambria Math"/>
                    </w:rPr>
                    <m:t>100</m:t>
                  </m:r>
                </m:den>
              </m:f>
            </m:oMath>
          </w:p>
        </w:tc>
        <w:tc>
          <w:tcPr>
            <w:tcW w:w="2245" w:type="pct"/>
          </w:tcPr>
          <w:p w14:paraId="7C4BA972" w14:textId="77777777" w:rsidR="00DE3CB3" w:rsidRDefault="00DE3CB3" w:rsidP="00DE3CB3">
            <w:pPr>
              <w:pStyle w:val="DoETableHeading"/>
            </w:pPr>
            <w:r>
              <w:t>Converting between fractions, decimals and percentages</w:t>
            </w:r>
          </w:p>
          <w:p w14:paraId="03024BE5" w14:textId="7FF016C4" w:rsidR="00363698" w:rsidRDefault="00363698" w:rsidP="00363698">
            <w:pPr>
              <w:pStyle w:val="DoEtablelist1bullet"/>
              <w:rPr>
                <w:rStyle w:val="normaltextrun"/>
              </w:rPr>
            </w:pPr>
            <w:r>
              <w:rPr>
                <w:rStyle w:val="normaltextrun"/>
              </w:rPr>
              <w:t>S</w:t>
            </w:r>
            <w:r w:rsidRPr="00A97808">
              <w:rPr>
                <w:rStyle w:val="normaltextrun"/>
              </w:rPr>
              <w:t>tudents to engage in the online learning activity </w:t>
            </w:r>
            <w:hyperlink r:id="rId27" w:history="1">
              <w:r w:rsidR="003F53FC">
                <w:rPr>
                  <w:rStyle w:val="Hyperlink"/>
                  <w:sz w:val="20"/>
                </w:rPr>
                <w:t>Fractions, decimals and percentages</w:t>
              </w:r>
            </w:hyperlink>
            <w:r w:rsidR="0036434A" w:rsidRPr="04951AFA">
              <w:rPr>
                <w:rStyle w:val="normaltextrun"/>
              </w:rPr>
              <w:t>.</w:t>
            </w:r>
            <w:r w:rsidR="0036434A">
              <w:rPr>
                <w:rStyle w:val="normaltextrun"/>
              </w:rPr>
              <w:t xml:space="preserve"> </w:t>
            </w:r>
            <w:r w:rsidRPr="00A97808">
              <w:rPr>
                <w:rStyle w:val="normaltextrun"/>
              </w:rPr>
              <w:t>This activity is scaffolded and designed for students to independently</w:t>
            </w:r>
            <w:r>
              <w:rPr>
                <w:rStyle w:val="normaltextrun"/>
              </w:rPr>
              <w:t xml:space="preserve"> </w:t>
            </w:r>
            <w:r w:rsidR="0036434A">
              <w:rPr>
                <w:rStyle w:val="normaltextrun"/>
              </w:rPr>
              <w:t xml:space="preserve">convert basic fractions into </w:t>
            </w:r>
            <w:r w:rsidR="2C20E45E" w:rsidRPr="04951AFA">
              <w:rPr>
                <w:rStyle w:val="normaltextrun"/>
              </w:rPr>
              <w:t xml:space="preserve">decimals and </w:t>
            </w:r>
            <w:r w:rsidR="0036434A">
              <w:rPr>
                <w:rStyle w:val="normaltextrun"/>
              </w:rPr>
              <w:t>percentages and vice versa.</w:t>
            </w:r>
          </w:p>
          <w:p w14:paraId="38A66499" w14:textId="77777777" w:rsidR="006745CA" w:rsidRDefault="006745CA" w:rsidP="006745CA">
            <w:pPr>
              <w:pStyle w:val="DoEtablelist1bullet"/>
              <w:numPr>
                <w:ilvl w:val="0"/>
                <w:numId w:val="0"/>
              </w:numPr>
              <w:rPr>
                <w:rStyle w:val="normaltextrun"/>
              </w:rPr>
            </w:pPr>
          </w:p>
          <w:p w14:paraId="719013CC" w14:textId="694F7980" w:rsidR="00B46F7D" w:rsidRDefault="00154AF9" w:rsidP="00154AF9">
            <w:pPr>
              <w:pStyle w:val="DoEtablelist1bullet"/>
            </w:pPr>
            <w:r>
              <w:t xml:space="preserve">Students </w:t>
            </w:r>
            <w:r w:rsidRPr="00154AF9">
              <w:t>complete</w:t>
            </w:r>
            <w:r>
              <w:t xml:space="preserve"> the online Desmos activity </w:t>
            </w:r>
            <w:hyperlink r:id="rId28" w:history="1">
              <w:r w:rsidRPr="00154AF9">
                <w:rPr>
                  <w:rStyle w:val="Hyperlink"/>
                  <w:sz w:val="20"/>
                </w:rPr>
                <w:t>Battery-Percents, decimals, fractions</w:t>
              </w:r>
            </w:hyperlink>
            <w:r>
              <w:t>. In this activity students describe the amount of charge on a mobile phone battery using fractions, decimals and percentages.</w:t>
            </w:r>
          </w:p>
        </w:tc>
        <w:tc>
          <w:tcPr>
            <w:tcW w:w="1311" w:type="pct"/>
          </w:tcPr>
          <w:p w14:paraId="3F54635C" w14:textId="77777777" w:rsidR="00DE3CB3" w:rsidRDefault="00DE3CB3" w:rsidP="00DE3CB3">
            <w:pPr>
              <w:pStyle w:val="DoEtabletext"/>
            </w:pPr>
          </w:p>
        </w:tc>
        <w:tc>
          <w:tcPr>
            <w:tcW w:w="388" w:type="pct"/>
          </w:tcPr>
          <w:p w14:paraId="2374A0B5" w14:textId="77777777" w:rsidR="00DE3CB3" w:rsidRDefault="00DE3CB3" w:rsidP="00DE3CB3">
            <w:pPr>
              <w:pStyle w:val="DoEtabletext"/>
            </w:pPr>
          </w:p>
        </w:tc>
      </w:tr>
      <w:tr w:rsidR="00DE3CB3" w14:paraId="3E6DA997" w14:textId="77777777" w:rsidTr="2EB92FC1">
        <w:tc>
          <w:tcPr>
            <w:tcW w:w="1056" w:type="pct"/>
          </w:tcPr>
          <w:p w14:paraId="2DC9A3B9" w14:textId="77777777" w:rsidR="00DE3CB3" w:rsidRDefault="00DE3CB3" w:rsidP="00DE3CB3">
            <w:pPr>
              <w:pStyle w:val="DoETableHeading"/>
            </w:pPr>
            <w:r w:rsidRPr="00E7503C">
              <w:t>S2.2: Probability</w:t>
            </w:r>
          </w:p>
          <w:p w14:paraId="3BBAB72C" w14:textId="77777777" w:rsidR="00DE3CB3" w:rsidRDefault="00DE3CB3" w:rsidP="00DE3CB3">
            <w:pPr>
              <w:pStyle w:val="DoEtabletext"/>
            </w:pPr>
            <w:r>
              <w:t>Students:</w:t>
            </w:r>
          </w:p>
          <w:p w14:paraId="4DD46FAB" w14:textId="6500E96C" w:rsidR="00DE3CB3" w:rsidRDefault="00DE3CB3" w:rsidP="00DE3CB3">
            <w:pPr>
              <w:pStyle w:val="DoEtablelist1bullet"/>
            </w:pPr>
            <w:r>
              <w:t>Recognise language related to chance and probability, for example:</w:t>
            </w:r>
          </w:p>
          <w:p w14:paraId="6F07C706" w14:textId="28F9D116" w:rsidR="00DE3CB3" w:rsidRDefault="00DE3CB3" w:rsidP="00DE3CB3">
            <w:pPr>
              <w:pStyle w:val="DoEtablelist2bullet"/>
            </w:pPr>
            <w:r>
              <w:t>Certain</w:t>
            </w:r>
          </w:p>
          <w:p w14:paraId="3E42B028" w14:textId="0894D418" w:rsidR="00DE3CB3" w:rsidRDefault="00DE3CB3" w:rsidP="00DE3CB3">
            <w:pPr>
              <w:pStyle w:val="DoEtablelist2bullet"/>
            </w:pPr>
            <w:r>
              <w:t>Likely</w:t>
            </w:r>
          </w:p>
          <w:p w14:paraId="04F3702E" w14:textId="12E2B2A8" w:rsidR="00DE3CB3" w:rsidRDefault="00DE3CB3" w:rsidP="00DE3CB3">
            <w:pPr>
              <w:pStyle w:val="DoEtablelist2bullet"/>
            </w:pPr>
            <w:r>
              <w:t>Probably</w:t>
            </w:r>
          </w:p>
          <w:p w14:paraId="63C6B0C3" w14:textId="217706D4" w:rsidR="00DE3CB3" w:rsidRDefault="00DE3CB3" w:rsidP="00DE3CB3">
            <w:pPr>
              <w:pStyle w:val="DoEtablelist2bullet"/>
            </w:pPr>
            <w:r>
              <w:t>Unlikely</w:t>
            </w:r>
          </w:p>
          <w:p w14:paraId="71D76301" w14:textId="66F8FD3B" w:rsidR="00DE3CB3" w:rsidRDefault="00DE3CB3" w:rsidP="00DE3CB3">
            <w:pPr>
              <w:pStyle w:val="DoEtablelist2bullet"/>
            </w:pPr>
            <w:r>
              <w:t xml:space="preserve">50:50 </w:t>
            </w:r>
            <w:r>
              <w:rPr>
                <w:noProof/>
                <w:lang w:eastAsia="en-AU"/>
              </w:rPr>
              <w:drawing>
                <wp:inline distT="0" distB="0" distL="0" distR="0" wp14:anchorId="7917B7DE" wp14:editId="1DF5AE05">
                  <wp:extent cx="133350" cy="104775"/>
                  <wp:effectExtent l="0" t="0" r="0" b="9525"/>
                  <wp:docPr id="672"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672" name="image138.png" descr="Literacy icon" title="Literacy icon"/>
                          <pic:cNvPicPr/>
                        </pic:nvPicPr>
                        <pic:blipFill>
                          <a:blip r:embed="rId13"/>
                          <a:srcRect/>
                          <a:stretch>
                            <a:fillRect/>
                          </a:stretch>
                        </pic:blipFill>
                        <pic:spPr>
                          <a:xfrm>
                            <a:off x="0" y="0"/>
                            <a:ext cx="133350" cy="104775"/>
                          </a:xfrm>
                          <a:prstGeom prst="rect">
                            <a:avLst/>
                          </a:prstGeom>
                          <a:ln/>
                        </pic:spPr>
                      </pic:pic>
                    </a:graphicData>
                  </a:graphic>
                </wp:inline>
              </w:drawing>
            </w:r>
          </w:p>
          <w:p w14:paraId="2A9E8EEF" w14:textId="77777777" w:rsidR="00DE3CB3" w:rsidRDefault="00DE3CB3" w:rsidP="00DE3CB3">
            <w:pPr>
              <w:pStyle w:val="DoEtablelist1bullet"/>
            </w:pPr>
            <w:r>
              <w:t>Recognise the elements of chance in everyday events</w:t>
            </w:r>
          </w:p>
          <w:p w14:paraId="510EC8A0" w14:textId="5F39AC35" w:rsidR="00DE3CB3" w:rsidRDefault="00DE3CB3" w:rsidP="00DE3CB3">
            <w:pPr>
              <w:pStyle w:val="DoEtablelist1bullet"/>
            </w:pPr>
            <w:r>
              <w:lastRenderedPageBreak/>
              <w:t>Recognise that some events are entirely related to chance, for example:</w:t>
            </w:r>
          </w:p>
          <w:p w14:paraId="15CF2FA5" w14:textId="77777777" w:rsidR="00DE3CB3" w:rsidRDefault="00DE3CB3" w:rsidP="00DE3CB3">
            <w:pPr>
              <w:pStyle w:val="DoEtablelist2bullet"/>
            </w:pPr>
            <w:r>
              <w:t xml:space="preserve">whether the bus will be late or on time </w:t>
            </w:r>
          </w:p>
          <w:p w14:paraId="672EBBB6" w14:textId="500CE9CA" w:rsidR="00DE3CB3" w:rsidRDefault="00DE3CB3" w:rsidP="00DE3CB3">
            <w:pPr>
              <w:pStyle w:val="DoEtablelist1bullet"/>
            </w:pPr>
            <w:r>
              <w:t xml:space="preserve">describe the likelihood of familiar events </w:t>
            </w:r>
            <w:r>
              <w:rPr>
                <w:noProof/>
                <w:lang w:eastAsia="en-AU"/>
              </w:rPr>
              <w:drawing>
                <wp:inline distT="0" distB="0" distL="0" distR="0" wp14:anchorId="76ECD32E" wp14:editId="766E73C9">
                  <wp:extent cx="133350" cy="104775"/>
                  <wp:effectExtent l="0" t="0" r="0" b="9525"/>
                  <wp:docPr id="7"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673" name="image138.png" descr="Literacy icon" title="Literacy icon"/>
                          <pic:cNvPicPr/>
                        </pic:nvPicPr>
                        <pic:blipFill>
                          <a:blip r:embed="rId13"/>
                          <a:srcRect/>
                          <a:stretch>
                            <a:fillRect/>
                          </a:stretch>
                        </pic:blipFill>
                        <pic:spPr>
                          <a:xfrm>
                            <a:off x="0" y="0"/>
                            <a:ext cx="133350" cy="104775"/>
                          </a:xfrm>
                          <a:prstGeom prst="rect">
                            <a:avLst/>
                          </a:prstGeom>
                          <a:ln/>
                        </pic:spPr>
                      </pic:pic>
                    </a:graphicData>
                  </a:graphic>
                </wp:inline>
              </w:drawing>
            </w:r>
          </w:p>
        </w:tc>
        <w:tc>
          <w:tcPr>
            <w:tcW w:w="2245" w:type="pct"/>
          </w:tcPr>
          <w:p w14:paraId="46F98C39" w14:textId="5C025FF5" w:rsidR="00807EC1" w:rsidRDefault="00807EC1" w:rsidP="00807EC1">
            <w:pPr>
              <w:pStyle w:val="DoETableHeading"/>
            </w:pPr>
            <w:r>
              <w:lastRenderedPageBreak/>
              <w:t>Recognising the language related to chance and probability</w:t>
            </w:r>
          </w:p>
          <w:p w14:paraId="23ADBE70" w14:textId="599E0DB3" w:rsidR="0028776A" w:rsidRDefault="005E1A35" w:rsidP="00DE3CB3">
            <w:pPr>
              <w:pStyle w:val="DoEtablelist1bullet"/>
            </w:pPr>
            <w:r>
              <w:t xml:space="preserve">Students to watch the </w:t>
            </w:r>
            <w:hyperlink r:id="rId29" w:history="1">
              <w:r w:rsidR="0028776A" w:rsidRPr="005E1A35">
                <w:rPr>
                  <w:rStyle w:val="Hyperlink"/>
                  <w:sz w:val="20"/>
                </w:rPr>
                <w:t>Unbelievable Highway Accident</w:t>
              </w:r>
            </w:hyperlink>
            <w:r w:rsidR="0028776A">
              <w:t xml:space="preserve"> video to introduce probability. </w:t>
            </w:r>
            <w:r>
              <w:t>Teacher should s</w:t>
            </w:r>
            <w:r w:rsidR="0028776A">
              <w:t>top</w:t>
            </w:r>
            <w:r>
              <w:t xml:space="preserve"> the video</w:t>
            </w:r>
            <w:r w:rsidR="0028776A">
              <w:t xml:space="preserve"> just before the </w:t>
            </w:r>
            <w:r w:rsidR="005F7E0E">
              <w:t>probability is shown</w:t>
            </w:r>
            <w:r w:rsidR="0028776A">
              <w:t xml:space="preserve"> and ask students what they thin</w:t>
            </w:r>
            <w:r w:rsidR="005F7E0E">
              <w:t>k</w:t>
            </w:r>
            <w:r w:rsidR="0028776A">
              <w:t xml:space="preserve"> the </w:t>
            </w:r>
            <w:r w:rsidR="00E7503C">
              <w:t>chance</w:t>
            </w:r>
            <w:r w:rsidR="0028776A">
              <w:t xml:space="preserve"> of this happening would be</w:t>
            </w:r>
            <w:r w:rsidR="005F7E0E">
              <w:t>?</w:t>
            </w:r>
          </w:p>
          <w:p w14:paraId="1F8067BE" w14:textId="77777777" w:rsidR="00E7503C" w:rsidRDefault="00E7503C" w:rsidP="00E7503C">
            <w:pPr>
              <w:pStyle w:val="DoEtablelist1bullet"/>
              <w:numPr>
                <w:ilvl w:val="0"/>
                <w:numId w:val="0"/>
              </w:numPr>
              <w:ind w:left="340"/>
            </w:pPr>
          </w:p>
          <w:p w14:paraId="2CB9B621" w14:textId="1C18A417" w:rsidR="00DE3CB3" w:rsidRDefault="00E7503C" w:rsidP="00DE3CB3">
            <w:pPr>
              <w:pStyle w:val="DoEtablelist1bullet"/>
            </w:pPr>
            <w:r>
              <w:t xml:space="preserve">Students use </w:t>
            </w:r>
            <w:r w:rsidR="00DE3CB3">
              <w:t>THINK PAIR SHARE</w:t>
            </w:r>
            <w:r>
              <w:t xml:space="preserve"> to b</w:t>
            </w:r>
            <w:r w:rsidR="00DE3CB3">
              <w:t>rainstorm words associated with probability.</w:t>
            </w:r>
          </w:p>
          <w:p w14:paraId="785BC571" w14:textId="77777777" w:rsidR="00E7503C" w:rsidRDefault="00E7503C" w:rsidP="00E7503C">
            <w:pPr>
              <w:pStyle w:val="DoEtablelist1bullet"/>
              <w:numPr>
                <w:ilvl w:val="0"/>
                <w:numId w:val="0"/>
              </w:numPr>
            </w:pPr>
          </w:p>
          <w:p w14:paraId="1A73A5C7" w14:textId="7CE6E5A6" w:rsidR="00DE3CB3" w:rsidRPr="00E7503C" w:rsidRDefault="00E7503C" w:rsidP="00DE3CB3">
            <w:pPr>
              <w:pStyle w:val="DoEtablelist1bullet"/>
              <w:rPr>
                <w:rFonts w:asciiTheme="minorHAnsi" w:eastAsiaTheme="minorEastAsia" w:hAnsiTheme="minorHAnsi"/>
                <w:szCs w:val="20"/>
              </w:rPr>
            </w:pPr>
            <w:r>
              <w:t xml:space="preserve">Students could watch the </w:t>
            </w:r>
            <w:hyperlink r:id="rId30" w:history="1">
              <w:r w:rsidRPr="00E7503C">
                <w:rPr>
                  <w:rStyle w:val="Hyperlink"/>
                  <w:sz w:val="20"/>
                </w:rPr>
                <w:t>Basic probability</w:t>
              </w:r>
            </w:hyperlink>
            <w:r>
              <w:t xml:space="preserve"> </w:t>
            </w:r>
            <w:r w:rsidR="00091650">
              <w:t xml:space="preserve">Youtube </w:t>
            </w:r>
            <w:r>
              <w:t>video</w:t>
            </w:r>
            <w:r w:rsidR="00DE3CB3">
              <w:t xml:space="preserve"> </w:t>
            </w:r>
            <w:r w:rsidR="00091650">
              <w:t xml:space="preserve">from </w:t>
            </w:r>
            <w:r w:rsidR="00DE3CB3">
              <w:t>Math Antics</w:t>
            </w:r>
            <w:r>
              <w:t xml:space="preserve"> as an introduction to the concepts they will cover in this topic.</w:t>
            </w:r>
            <w:r w:rsidR="00DE3CB3">
              <w:t xml:space="preserve"> </w:t>
            </w:r>
          </w:p>
          <w:p w14:paraId="2D927236" w14:textId="77777777" w:rsidR="00E7503C" w:rsidRDefault="00E7503C" w:rsidP="00E7503C">
            <w:pPr>
              <w:pStyle w:val="DoEtablelist1bullet"/>
              <w:numPr>
                <w:ilvl w:val="0"/>
                <w:numId w:val="0"/>
              </w:numPr>
              <w:rPr>
                <w:rFonts w:asciiTheme="minorHAnsi" w:eastAsiaTheme="minorEastAsia" w:hAnsiTheme="minorHAnsi"/>
                <w:szCs w:val="20"/>
              </w:rPr>
            </w:pPr>
          </w:p>
          <w:p w14:paraId="69DE3F76" w14:textId="242D7E4C" w:rsidR="00DE3CB3" w:rsidRDefault="001130CB" w:rsidP="00DE3CB3">
            <w:pPr>
              <w:pStyle w:val="DoEtablelist1bullet"/>
            </w:pPr>
            <w:r>
              <w:lastRenderedPageBreak/>
              <w:t xml:space="preserve">Students </w:t>
            </w:r>
            <w:r w:rsidR="00DE3CB3">
              <w:t xml:space="preserve">match key vocabulary terms related to probability </w:t>
            </w:r>
            <w:r>
              <w:t xml:space="preserve">to </w:t>
            </w:r>
            <w:r w:rsidR="00DE3CB3">
              <w:t>the statement that best suits</w:t>
            </w:r>
            <w:r>
              <w:t xml:space="preserve"> in this online interactive </w:t>
            </w:r>
            <w:hyperlink r:id="rId31">
              <w:r w:rsidR="00DE3CB3" w:rsidRPr="00E7503C">
                <w:rPr>
                  <w:rStyle w:val="Hyperlink"/>
                  <w:sz w:val="20"/>
                  <w:szCs w:val="20"/>
                </w:rPr>
                <w:t>Probability Terminology</w:t>
              </w:r>
            </w:hyperlink>
            <w:r>
              <w:t xml:space="preserve"> activity</w:t>
            </w:r>
            <w:r w:rsidR="00091650">
              <w:t>, developed in Desmos</w:t>
            </w:r>
            <w:r w:rsidR="00DE3CB3">
              <w:t>. As an extension students’ can go on to write two examples of their own for each category.</w:t>
            </w:r>
          </w:p>
          <w:p w14:paraId="00530028" w14:textId="77777777" w:rsidR="00091650" w:rsidRDefault="00091650" w:rsidP="00091650">
            <w:pPr>
              <w:pStyle w:val="DoEtablelist1bullet"/>
              <w:numPr>
                <w:ilvl w:val="0"/>
                <w:numId w:val="0"/>
              </w:numPr>
            </w:pPr>
          </w:p>
          <w:p w14:paraId="130B9C54" w14:textId="2DBC34C0" w:rsidR="005048F7" w:rsidRDefault="00EB7D4C" w:rsidP="005048F7">
            <w:pPr>
              <w:pStyle w:val="DoEtablelist1bullet"/>
            </w:pPr>
            <w:r>
              <w:t xml:space="preserve">Students complete the </w:t>
            </w:r>
            <w:r w:rsidR="00DE3CB3">
              <w:t xml:space="preserve">Probability </w:t>
            </w:r>
            <w:r>
              <w:t xml:space="preserve">scenario activity either </w:t>
            </w:r>
            <w:r w:rsidR="00DE3CB3">
              <w:t>as a class, in small groups or individually</w:t>
            </w:r>
            <w:r w:rsidR="005048F7">
              <w:t>. They must match the scenarios to the terms certain, likely, unlikely etc</w:t>
            </w:r>
            <w:r w:rsidR="005048F7">
              <w:br/>
            </w:r>
            <w:r w:rsidR="005048F7" w:rsidRPr="005048F7">
              <w:rPr>
                <w:b/>
              </w:rPr>
              <w:t xml:space="preserve">Resource: </w:t>
            </w:r>
            <w:r w:rsidR="005048F7">
              <w:t>probability-scenarios.DOCX</w:t>
            </w:r>
          </w:p>
          <w:p w14:paraId="7BE79B1E" w14:textId="77777777" w:rsidR="005048F7" w:rsidRDefault="005048F7" w:rsidP="005048F7">
            <w:pPr>
              <w:pStyle w:val="DoEtablelist1bullet"/>
              <w:numPr>
                <w:ilvl w:val="0"/>
                <w:numId w:val="0"/>
              </w:numPr>
            </w:pPr>
          </w:p>
          <w:p w14:paraId="2D5CADC9" w14:textId="1A0B9831" w:rsidR="002C1F2C" w:rsidRPr="000462DC" w:rsidRDefault="002B76B4" w:rsidP="004870FF">
            <w:pPr>
              <w:pStyle w:val="DoEtablelist1bullet"/>
              <w:rPr>
                <w:color w:val="000000" w:themeColor="text1"/>
                <w:sz w:val="21"/>
                <w:szCs w:val="21"/>
                <w:lang w:val="en-US"/>
              </w:rPr>
            </w:pPr>
            <w:r>
              <w:t>Teacher to ask the class</w:t>
            </w:r>
            <w:r w:rsidR="565DDE37" w:rsidRPr="00B073B9">
              <w:rPr>
                <w:lang w:val="en-US"/>
              </w:rPr>
              <w:t xml:space="preserve"> </w:t>
            </w:r>
            <w:r w:rsidRPr="00B073B9">
              <w:rPr>
                <w:lang w:val="en-US"/>
              </w:rPr>
              <w:t>“</w:t>
            </w:r>
            <w:r w:rsidR="405DA826" w:rsidRPr="00B073B9">
              <w:rPr>
                <w:lang w:val="en-US"/>
              </w:rPr>
              <w:t>What will the weather be like today?</w:t>
            </w:r>
            <w:r w:rsidRPr="00B073B9">
              <w:rPr>
                <w:lang w:val="en-US"/>
              </w:rPr>
              <w:t>”</w:t>
            </w:r>
            <w:r w:rsidR="00091650">
              <w:rPr>
                <w:lang w:val="en-US"/>
              </w:rPr>
              <w:t>.</w:t>
            </w:r>
            <w:r w:rsidR="08A1535B" w:rsidRPr="00B073B9">
              <w:rPr>
                <w:lang w:val="en-US"/>
              </w:rPr>
              <w:t xml:space="preserve"> </w:t>
            </w:r>
            <w:r w:rsidR="405DA826" w:rsidRPr="00B073B9">
              <w:rPr>
                <w:lang w:val="en-US"/>
              </w:rPr>
              <w:t>As a class</w:t>
            </w:r>
            <w:r w:rsidR="00091650">
              <w:rPr>
                <w:lang w:val="en-US"/>
              </w:rPr>
              <w:t>,</w:t>
            </w:r>
            <w:r w:rsidR="405DA826" w:rsidRPr="00B073B9">
              <w:rPr>
                <w:lang w:val="en-US"/>
              </w:rPr>
              <w:t xml:space="preserve"> discuss and review weather </w:t>
            </w:r>
            <w:r w:rsidR="00091650">
              <w:rPr>
                <w:lang w:val="en-US"/>
              </w:rPr>
              <w:t>patterns from</w:t>
            </w:r>
            <w:r w:rsidR="405DA826" w:rsidRPr="00B073B9">
              <w:rPr>
                <w:lang w:val="en-US"/>
              </w:rPr>
              <w:t xml:space="preserve"> previous years</w:t>
            </w:r>
            <w:r w:rsidR="00E04325" w:rsidRPr="00B073B9">
              <w:rPr>
                <w:lang w:val="en-US"/>
              </w:rPr>
              <w:t xml:space="preserve">. Students are to test their predictions by predicting the forecast for the upcoming week. </w:t>
            </w:r>
            <w:r w:rsidR="000462DC">
              <w:rPr>
                <w:lang w:val="en-US"/>
              </w:rPr>
              <w:br/>
            </w:r>
            <w:r w:rsidR="000462DC">
              <w:rPr>
                <w:b/>
                <w:color w:val="000000" w:themeColor="text1"/>
                <w:szCs w:val="21"/>
                <w:lang w:val="en-US"/>
              </w:rPr>
              <w:t>Resource:</w:t>
            </w:r>
            <w:r w:rsidR="000462DC">
              <w:rPr>
                <w:color w:val="000000" w:themeColor="text1"/>
                <w:szCs w:val="21"/>
                <w:lang w:val="en-US"/>
              </w:rPr>
              <w:t xml:space="preserve"> </w:t>
            </w:r>
            <w:r w:rsidR="004870FF">
              <w:rPr>
                <w:color w:val="000000" w:themeColor="text1"/>
                <w:szCs w:val="21"/>
                <w:lang w:val="en-US"/>
              </w:rPr>
              <w:t>predicting-the-weather.DOCX</w:t>
            </w:r>
          </w:p>
          <w:p w14:paraId="06E41C7C" w14:textId="77BD6F17" w:rsidR="00DE3CB3" w:rsidRDefault="00DE3CB3" w:rsidP="2EB92FC1">
            <w:pPr>
              <w:pStyle w:val="DoEtablelist1bullet"/>
              <w:numPr>
                <w:ilvl w:val="0"/>
                <w:numId w:val="0"/>
              </w:numPr>
              <w:rPr>
                <w:color w:val="000000" w:themeColor="text1"/>
                <w:sz w:val="21"/>
                <w:szCs w:val="21"/>
                <w:lang w:val="en-US"/>
              </w:rPr>
            </w:pPr>
          </w:p>
        </w:tc>
        <w:tc>
          <w:tcPr>
            <w:tcW w:w="1311" w:type="pct"/>
          </w:tcPr>
          <w:p w14:paraId="4AAF7939" w14:textId="77777777" w:rsidR="00DE3CB3" w:rsidRDefault="00DE3CB3" w:rsidP="00DE3CB3">
            <w:pPr>
              <w:pStyle w:val="DoEtabletext"/>
            </w:pPr>
          </w:p>
        </w:tc>
        <w:tc>
          <w:tcPr>
            <w:tcW w:w="388" w:type="pct"/>
          </w:tcPr>
          <w:p w14:paraId="506B461D" w14:textId="4149E3A8" w:rsidR="00DE3CB3" w:rsidRDefault="00DE3CB3" w:rsidP="00DE3CB3">
            <w:pPr>
              <w:pStyle w:val="DoEtabletext"/>
            </w:pPr>
          </w:p>
        </w:tc>
      </w:tr>
      <w:tr w:rsidR="00DE3CB3" w14:paraId="1C5ABA68" w14:textId="77777777" w:rsidTr="00091650">
        <w:trPr>
          <w:trHeight w:val="3370"/>
        </w:trPr>
        <w:tc>
          <w:tcPr>
            <w:tcW w:w="1056" w:type="pct"/>
          </w:tcPr>
          <w:p w14:paraId="75A2BBDB" w14:textId="77777777" w:rsidR="00DE3CB3" w:rsidRDefault="00DE3CB3" w:rsidP="00DE3CB3">
            <w:pPr>
              <w:pStyle w:val="DoEtablelist1bullet"/>
            </w:pPr>
            <w:r>
              <w:t>Recognise that the range of probabilities is from 0 to 1, or from 0% to 100% in percentage terms</w:t>
            </w:r>
          </w:p>
          <w:p w14:paraId="6DF71324" w14:textId="77777777" w:rsidR="00DE3CB3" w:rsidRDefault="00DE3CB3" w:rsidP="00DE3CB3">
            <w:pPr>
              <w:pStyle w:val="DoEtablelist1bullet"/>
            </w:pPr>
            <w:r>
              <w:t>order events based on their probability</w:t>
            </w:r>
          </w:p>
          <w:p w14:paraId="58AB2B7E" w14:textId="7E2E6458" w:rsidR="00DE3CB3" w:rsidRDefault="00DE3CB3" w:rsidP="00DE3CB3">
            <w:pPr>
              <w:pStyle w:val="DoEtabletext"/>
            </w:pPr>
          </w:p>
        </w:tc>
        <w:tc>
          <w:tcPr>
            <w:tcW w:w="2245" w:type="pct"/>
          </w:tcPr>
          <w:p w14:paraId="0E468165" w14:textId="451761A9" w:rsidR="00807EC1" w:rsidRPr="00807EC1" w:rsidRDefault="00807EC1" w:rsidP="00807EC1">
            <w:pPr>
              <w:pStyle w:val="DoETableHeading"/>
            </w:pPr>
            <w:r w:rsidRPr="00807EC1">
              <w:t xml:space="preserve">Recognising </w:t>
            </w:r>
            <w:r>
              <w:t>the range of probabilities</w:t>
            </w:r>
          </w:p>
          <w:p w14:paraId="39B07656" w14:textId="14424A16" w:rsidR="00DE3CB3" w:rsidRDefault="006836DA" w:rsidP="00807EC1">
            <w:pPr>
              <w:pStyle w:val="DoEtablelist1bullet"/>
              <w:rPr>
                <w:rFonts w:asciiTheme="minorHAnsi" w:eastAsiaTheme="minorEastAsia" w:hAnsiTheme="minorHAnsi"/>
                <w:szCs w:val="20"/>
              </w:rPr>
            </w:pPr>
            <w:r w:rsidRPr="006836DA">
              <w:t xml:space="preserve">Students to complete the online Desmos activity </w:t>
            </w:r>
            <w:hyperlink r:id="rId32" w:history="1">
              <w:r w:rsidRPr="00F52D9C">
                <w:rPr>
                  <w:rStyle w:val="Hyperlink"/>
                  <w:sz w:val="20"/>
                </w:rPr>
                <w:t>Ordering events</w:t>
              </w:r>
            </w:hyperlink>
            <w:r w:rsidRPr="006836DA">
              <w:t xml:space="preserve">. Students must place events on a </w:t>
            </w:r>
            <w:r w:rsidR="000A23E3" w:rsidRPr="006836DA">
              <w:t>number</w:t>
            </w:r>
            <w:r w:rsidR="000A23E3">
              <w:t>-</w:t>
            </w:r>
            <w:r w:rsidR="000A23E3" w:rsidRPr="006836DA">
              <w:t>line</w:t>
            </w:r>
            <w:r w:rsidRPr="006836DA">
              <w:t xml:space="preserve"> to indicate their chance of occurring. They must also order events from Certain to Impossible. This is a good chance for teachers to discuss how difficult it is to determine if one event is more likely than another, without assigning a numeric probability.</w:t>
            </w:r>
          </w:p>
        </w:tc>
        <w:tc>
          <w:tcPr>
            <w:tcW w:w="1311" w:type="pct"/>
          </w:tcPr>
          <w:p w14:paraId="55A46E34" w14:textId="77777777" w:rsidR="00DE3CB3" w:rsidRDefault="00DE3CB3" w:rsidP="00DE3CB3">
            <w:pPr>
              <w:pStyle w:val="DoEtabletext"/>
            </w:pPr>
          </w:p>
        </w:tc>
        <w:tc>
          <w:tcPr>
            <w:tcW w:w="388" w:type="pct"/>
          </w:tcPr>
          <w:p w14:paraId="0D1C93B2" w14:textId="1AE17078" w:rsidR="00DE3CB3" w:rsidRDefault="00DE3CB3" w:rsidP="00DE3CB3">
            <w:pPr>
              <w:pStyle w:val="DoEtabletext"/>
            </w:pPr>
          </w:p>
        </w:tc>
      </w:tr>
      <w:tr w:rsidR="00DE3CB3" w14:paraId="0538397F" w14:textId="77777777" w:rsidTr="00091650">
        <w:trPr>
          <w:trHeight w:val="3149"/>
        </w:trPr>
        <w:tc>
          <w:tcPr>
            <w:tcW w:w="1056" w:type="pct"/>
          </w:tcPr>
          <w:p w14:paraId="74FCA574" w14:textId="77777777" w:rsidR="00DE3CB3" w:rsidRDefault="00DE3CB3" w:rsidP="00DE3CB3">
            <w:pPr>
              <w:pStyle w:val="DoEtablelist1bullet"/>
            </w:pPr>
            <w:r>
              <w:lastRenderedPageBreak/>
              <w:t>recognise equally likely events, for example:</w:t>
            </w:r>
          </w:p>
          <w:p w14:paraId="1B64506C" w14:textId="77777777" w:rsidR="00DE3CB3" w:rsidRDefault="00DE3CB3" w:rsidP="00DE3CB3">
            <w:pPr>
              <w:pStyle w:val="DoEtablelist2bullet"/>
            </w:pPr>
            <w:r>
              <w:t>getting heads or tails on a coin</w:t>
            </w:r>
          </w:p>
          <w:p w14:paraId="726E0DAE" w14:textId="77777777" w:rsidR="00DE3CB3" w:rsidRDefault="00DE3CB3" w:rsidP="00DE3CB3">
            <w:pPr>
              <w:pStyle w:val="DoEtablelist1bullet"/>
            </w:pPr>
            <w:r>
              <w:t>recognise non-equally likely events, for example:</w:t>
            </w:r>
          </w:p>
          <w:p w14:paraId="08336674" w14:textId="1D09C294" w:rsidR="00807EC1" w:rsidRDefault="00DE3CB3" w:rsidP="00807EC1">
            <w:pPr>
              <w:pStyle w:val="DoEtablelist2bullet"/>
            </w:pPr>
            <w:r>
              <w:t>randomly selecting your favourite candy from a bag with unequal numbers of a variety of flavours</w:t>
            </w:r>
          </w:p>
        </w:tc>
        <w:tc>
          <w:tcPr>
            <w:tcW w:w="2245" w:type="pct"/>
          </w:tcPr>
          <w:p w14:paraId="40243E02" w14:textId="27655894" w:rsidR="00DE3CB3" w:rsidRDefault="00807EC1" w:rsidP="00807EC1">
            <w:pPr>
              <w:pStyle w:val="DoETableHeading"/>
            </w:pPr>
            <w:r>
              <w:t>Recognising equally likely and non-equally likely events</w:t>
            </w:r>
          </w:p>
          <w:p w14:paraId="7A3F0952" w14:textId="3D1E8603" w:rsidR="00810EC0" w:rsidRDefault="004C4A92" w:rsidP="00A53243">
            <w:pPr>
              <w:pStyle w:val="DoEtablelist1bullet"/>
            </w:pPr>
            <w:r>
              <w:t xml:space="preserve">Students play this interactive, online </w:t>
            </w:r>
            <w:hyperlink r:id="rId33" w:history="1">
              <w:r w:rsidR="00810EC0" w:rsidRPr="004C4A92">
                <w:rPr>
                  <w:rStyle w:val="Hyperlink"/>
                  <w:sz w:val="20"/>
                </w:rPr>
                <w:t>Higher or lower card game</w:t>
              </w:r>
            </w:hyperlink>
            <w:r w:rsidR="00810EC0">
              <w:t xml:space="preserve"> </w:t>
            </w:r>
            <w:r>
              <w:t xml:space="preserve">to </w:t>
            </w:r>
            <w:r w:rsidR="00224C6E">
              <w:t xml:space="preserve">use their prior knowledge of probability to recognise that some events have a higher or lower chance of </w:t>
            </w:r>
            <w:r w:rsidR="00BC1422">
              <w:t>occurring</w:t>
            </w:r>
            <w:r w:rsidR="00224C6E">
              <w:t xml:space="preserve"> than others</w:t>
            </w:r>
          </w:p>
          <w:p w14:paraId="57080245" w14:textId="77777777" w:rsidR="00E7503C" w:rsidRDefault="00E7503C" w:rsidP="00091650">
            <w:pPr>
              <w:pStyle w:val="DoEtablelist1bullet"/>
              <w:numPr>
                <w:ilvl w:val="0"/>
                <w:numId w:val="0"/>
              </w:numPr>
            </w:pPr>
          </w:p>
          <w:p w14:paraId="1911CFD7" w14:textId="02BFC620" w:rsidR="00BC1422" w:rsidRDefault="00EB2218" w:rsidP="00BC1422">
            <w:pPr>
              <w:pStyle w:val="DoEtablelist1bullet"/>
            </w:pPr>
            <w:r>
              <w:t xml:space="preserve">Normal dice are considered ‘fair’ because each number has an equal chance of occurring. Students watch the video </w:t>
            </w:r>
            <w:hyperlink r:id="rId34" w:history="1">
              <w:r w:rsidR="00BC1422" w:rsidRPr="00EB2218">
                <w:rPr>
                  <w:rStyle w:val="Hyperlink"/>
                  <w:sz w:val="20"/>
                </w:rPr>
                <w:t>Weird but fair dice</w:t>
              </w:r>
            </w:hyperlink>
            <w:r>
              <w:t xml:space="preserve"> to see other examples of fair dice.</w:t>
            </w:r>
            <w:r w:rsidR="00BC1422">
              <w:t xml:space="preserve"> </w:t>
            </w:r>
          </w:p>
          <w:p w14:paraId="36EE1E4C" w14:textId="44BF59AE" w:rsidR="00807EC1" w:rsidRDefault="00BC1422" w:rsidP="00091650">
            <w:pPr>
              <w:pStyle w:val="DoEtablelist2bullet"/>
            </w:pPr>
            <w:r>
              <w:t>If students have access to a 3D printer they could design and print their own weird dice and test whether they are fair</w:t>
            </w:r>
          </w:p>
        </w:tc>
        <w:tc>
          <w:tcPr>
            <w:tcW w:w="1311" w:type="pct"/>
          </w:tcPr>
          <w:p w14:paraId="03F01AEF" w14:textId="77777777" w:rsidR="00DE3CB3" w:rsidRDefault="00DE3CB3" w:rsidP="00DE3CB3">
            <w:pPr>
              <w:pStyle w:val="DoEtabletext"/>
            </w:pPr>
          </w:p>
        </w:tc>
        <w:tc>
          <w:tcPr>
            <w:tcW w:w="388" w:type="pct"/>
          </w:tcPr>
          <w:p w14:paraId="4DB71F4A" w14:textId="3AB66FE9" w:rsidR="00DE3CB3" w:rsidRDefault="00DE3CB3" w:rsidP="00DE3CB3">
            <w:pPr>
              <w:pStyle w:val="DoEtabletext"/>
            </w:pPr>
          </w:p>
        </w:tc>
      </w:tr>
      <w:tr w:rsidR="00DE3CB3" w14:paraId="2766545D" w14:textId="77777777" w:rsidTr="2EB92FC1">
        <w:tc>
          <w:tcPr>
            <w:tcW w:w="1056" w:type="pct"/>
          </w:tcPr>
          <w:p w14:paraId="37DAF069" w14:textId="77777777" w:rsidR="00DE3CB3" w:rsidRDefault="00DE3CB3" w:rsidP="00DE3CB3">
            <w:pPr>
              <w:pStyle w:val="DoEtablelist1bullet"/>
            </w:pPr>
            <w:r>
              <w:t>understand the term ‘random’ as applied to probability, for example:</w:t>
            </w:r>
          </w:p>
          <w:p w14:paraId="6545C762" w14:textId="77777777" w:rsidR="00DE3CB3" w:rsidRDefault="00DE3CB3" w:rsidP="00DE3CB3">
            <w:pPr>
              <w:pStyle w:val="DoEtablelist2bullet"/>
            </w:pPr>
            <w:r>
              <w:t xml:space="preserve">‘a person is selected at random’ </w:t>
            </w:r>
            <w:r>
              <w:rPr>
                <w:noProof/>
                <w:lang w:eastAsia="en-AU"/>
              </w:rPr>
              <w:drawing>
                <wp:inline distT="0" distB="0" distL="0" distR="0" wp14:anchorId="7686C433" wp14:editId="2B21C22E">
                  <wp:extent cx="133350" cy="104775"/>
                  <wp:effectExtent l="0" t="0" r="0" b="9525"/>
                  <wp:docPr id="673"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673" name="image138.png" descr="Literacy icon" title="Literacy icon"/>
                          <pic:cNvPicPr/>
                        </pic:nvPicPr>
                        <pic:blipFill>
                          <a:blip r:embed="rId13"/>
                          <a:srcRect/>
                          <a:stretch>
                            <a:fillRect/>
                          </a:stretch>
                        </pic:blipFill>
                        <pic:spPr>
                          <a:xfrm>
                            <a:off x="0" y="0"/>
                            <a:ext cx="133350" cy="104775"/>
                          </a:xfrm>
                          <a:prstGeom prst="rect">
                            <a:avLst/>
                          </a:prstGeom>
                          <a:ln/>
                        </pic:spPr>
                      </pic:pic>
                    </a:graphicData>
                  </a:graphic>
                </wp:inline>
              </w:drawing>
            </w:r>
          </w:p>
          <w:p w14:paraId="0E47E0C6" w14:textId="77777777" w:rsidR="00DE3CB3" w:rsidRDefault="00DE3CB3" w:rsidP="00DE3CB3">
            <w:pPr>
              <w:pStyle w:val="DoEtablelist1bullet"/>
            </w:pPr>
            <w:r>
              <w:t xml:space="preserve">identify possible causes of bias or inaccuracy in probability experiments </w:t>
            </w:r>
            <w:r>
              <w:rPr>
                <w:noProof/>
                <w:lang w:eastAsia="en-AU"/>
              </w:rPr>
              <w:drawing>
                <wp:inline distT="0" distB="0" distL="0" distR="0" wp14:anchorId="011C1601" wp14:editId="2D84E2B4">
                  <wp:extent cx="123825" cy="104775"/>
                  <wp:effectExtent l="0" t="0" r="9525" b="9525"/>
                  <wp:docPr id="675"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675" name="image264.png" descr="Critical and creative thinking icon" title="Critical and creative thinking icon"/>
                          <pic:cNvPicPr/>
                        </pic:nvPicPr>
                        <pic:blipFill>
                          <a:blip r:embed="rId23"/>
                          <a:srcRect/>
                          <a:stretch>
                            <a:fillRect/>
                          </a:stretch>
                        </pic:blipFill>
                        <pic:spPr>
                          <a:xfrm>
                            <a:off x="0" y="0"/>
                            <a:ext cx="123825" cy="104775"/>
                          </a:xfrm>
                          <a:prstGeom prst="rect">
                            <a:avLst/>
                          </a:prstGeom>
                          <a:ln/>
                        </pic:spPr>
                      </pic:pic>
                    </a:graphicData>
                  </a:graphic>
                </wp:inline>
              </w:drawing>
            </w:r>
            <w:r>
              <w:t xml:space="preserve"> </w:t>
            </w:r>
            <w:r>
              <w:rPr>
                <w:noProof/>
                <w:lang w:eastAsia="en-AU"/>
              </w:rPr>
              <w:drawing>
                <wp:inline distT="0" distB="0" distL="0" distR="0" wp14:anchorId="5DF9F206" wp14:editId="58C6C554">
                  <wp:extent cx="123825" cy="104775"/>
                  <wp:effectExtent l="0" t="0" r="9525" b="9525"/>
                  <wp:docPr id="676" name="image13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676" name="image133.png" descr="Ethical understanding icon" title="Ethical understanding icon"/>
                          <pic:cNvPicPr/>
                        </pic:nvPicPr>
                        <pic:blipFill>
                          <a:blip r:embed="rId35"/>
                          <a:srcRect/>
                          <a:stretch>
                            <a:fillRect/>
                          </a:stretch>
                        </pic:blipFill>
                        <pic:spPr>
                          <a:xfrm>
                            <a:off x="0" y="0"/>
                            <a:ext cx="123825" cy="104775"/>
                          </a:xfrm>
                          <a:prstGeom prst="rect">
                            <a:avLst/>
                          </a:prstGeom>
                          <a:ln/>
                        </pic:spPr>
                      </pic:pic>
                    </a:graphicData>
                  </a:graphic>
                </wp:inline>
              </w:drawing>
            </w:r>
          </w:p>
          <w:p w14:paraId="773C538D" w14:textId="7DB9A641" w:rsidR="00DE3CB3" w:rsidRDefault="00DE3CB3" w:rsidP="00DE3CB3">
            <w:pPr>
              <w:pStyle w:val="DoEtabletext"/>
            </w:pPr>
          </w:p>
        </w:tc>
        <w:tc>
          <w:tcPr>
            <w:tcW w:w="2245" w:type="pct"/>
          </w:tcPr>
          <w:p w14:paraId="23BD0F41" w14:textId="4BEC223D" w:rsidR="00DE3CB3" w:rsidRDefault="00807EC1" w:rsidP="00807EC1">
            <w:pPr>
              <w:pStyle w:val="DoETableHeading"/>
            </w:pPr>
            <w:r>
              <w:t>Understanding the terms ‘random’ and ‘bias’</w:t>
            </w:r>
          </w:p>
          <w:p w14:paraId="5002295E" w14:textId="12205F2B" w:rsidR="00807EC1" w:rsidRDefault="62CF4E9D" w:rsidP="00807EC1">
            <w:pPr>
              <w:pStyle w:val="DoEtablelist1bullet"/>
            </w:pPr>
            <w:r>
              <w:t>Discuss as a class what it means by ‘random’ in terms of probability.</w:t>
            </w:r>
            <w:r w:rsidR="197AF33C">
              <w:t xml:space="preserve"> When something is random there is an equal chance of </w:t>
            </w:r>
            <w:r w:rsidR="00282B86">
              <w:t xml:space="preserve">that event </w:t>
            </w:r>
            <w:r w:rsidR="0E2C23C0">
              <w:t>occurring</w:t>
            </w:r>
            <w:r w:rsidR="197AF33C">
              <w:t>.</w:t>
            </w:r>
            <w:r w:rsidR="1B8DE432">
              <w:t xml:space="preserve"> For example, put all </w:t>
            </w:r>
            <w:r w:rsidR="6794A4CE">
              <w:t>students'</w:t>
            </w:r>
            <w:r w:rsidR="1B8DE432">
              <w:t xml:space="preserve"> names into a hat and pull one out – a name is </w:t>
            </w:r>
            <w:r w:rsidR="22DC35C8">
              <w:t>selected</w:t>
            </w:r>
            <w:r w:rsidR="1B8DE432">
              <w:t xml:space="preserve"> at random.</w:t>
            </w:r>
          </w:p>
          <w:p w14:paraId="7EEFA82C" w14:textId="77777777" w:rsidR="00E7503C" w:rsidRDefault="00E7503C" w:rsidP="00E7503C">
            <w:pPr>
              <w:pStyle w:val="DoEtablelist1bullet"/>
              <w:numPr>
                <w:ilvl w:val="0"/>
                <w:numId w:val="0"/>
              </w:numPr>
              <w:ind w:left="340"/>
            </w:pPr>
          </w:p>
          <w:p w14:paraId="3880F656" w14:textId="1A2ED7E1" w:rsidR="00282B86" w:rsidRDefault="00282B86" w:rsidP="00807EC1">
            <w:pPr>
              <w:pStyle w:val="DoEtablelist1bullet"/>
            </w:pPr>
            <w:r>
              <w:t>Discuss ways of randomly choosing different items</w:t>
            </w:r>
            <w:r w:rsidR="003507E9">
              <w:t>, for example</w:t>
            </w:r>
            <w:r>
              <w:t xml:space="preserve"> students in the class, </w:t>
            </w:r>
            <w:r w:rsidR="00DE2A10">
              <w:t>winner for a prize, outfit for the day</w:t>
            </w:r>
          </w:p>
          <w:p w14:paraId="22308020" w14:textId="77777777" w:rsidR="00091650" w:rsidRDefault="00091650" w:rsidP="00091650">
            <w:pPr>
              <w:pStyle w:val="DoEtablelist1bullet"/>
              <w:numPr>
                <w:ilvl w:val="0"/>
                <w:numId w:val="0"/>
              </w:numPr>
            </w:pPr>
          </w:p>
          <w:p w14:paraId="0DE56B90" w14:textId="77777777" w:rsidR="00807EC1" w:rsidRPr="00D33523" w:rsidRDefault="007E3C78" w:rsidP="003507E9">
            <w:pPr>
              <w:pStyle w:val="DoEtablelist1bullet"/>
              <w:rPr>
                <w:rFonts w:eastAsia="Arial" w:cs="Arial"/>
                <w:color w:val="000000" w:themeColor="text1"/>
                <w:sz w:val="24"/>
                <w:lang w:val="en-US"/>
              </w:rPr>
            </w:pPr>
            <w:r w:rsidRPr="007E3C78">
              <w:t xml:space="preserve">Students can use </w:t>
            </w:r>
            <w:hyperlink r:id="rId36" w:history="1">
              <w:r w:rsidRPr="004611DC">
                <w:rPr>
                  <w:rStyle w:val="Hyperlink"/>
                  <w:sz w:val="20"/>
                </w:rPr>
                <w:t>Minecraft Sheepish probability</w:t>
              </w:r>
            </w:hyperlink>
            <w:r>
              <w:t xml:space="preserve"> activity </w:t>
            </w:r>
            <w:r w:rsidRPr="007E3C78">
              <w:t xml:space="preserve">to </w:t>
            </w:r>
            <w:r w:rsidR="004611DC">
              <w:t>explore the difference between theoretical and experimental probability; make predictions based on experimental results and design a fair probability experiment</w:t>
            </w:r>
          </w:p>
          <w:p w14:paraId="29EFF493" w14:textId="77777777" w:rsidR="00D33523" w:rsidRDefault="00D33523" w:rsidP="00D33523">
            <w:pPr>
              <w:pStyle w:val="DoEtablelist1bullet"/>
              <w:numPr>
                <w:ilvl w:val="0"/>
                <w:numId w:val="0"/>
              </w:numPr>
              <w:ind w:left="340" w:hanging="227"/>
              <w:rPr>
                <w:rFonts w:eastAsia="Arial" w:cs="Arial"/>
                <w:color w:val="000000" w:themeColor="text1"/>
                <w:sz w:val="24"/>
                <w:lang w:val="en-US"/>
              </w:rPr>
            </w:pPr>
          </w:p>
          <w:p w14:paraId="605E2CB3" w14:textId="10EA2E9A" w:rsidR="00D33523" w:rsidRDefault="001C63EE" w:rsidP="00D33523">
            <w:pPr>
              <w:pStyle w:val="DoEtablelist1bullet"/>
              <w:rPr>
                <w:lang w:val="en-US"/>
              </w:rPr>
            </w:pPr>
            <w:r>
              <w:rPr>
                <w:lang w:val="en-US"/>
              </w:rPr>
              <w:t xml:space="preserve">Students can complete the </w:t>
            </w:r>
            <w:hyperlink r:id="rId37" w:history="1">
              <w:r w:rsidRPr="001C63EE">
                <w:rPr>
                  <w:rStyle w:val="Hyperlink"/>
                  <w:sz w:val="20"/>
                  <w:lang w:val="en-US"/>
                </w:rPr>
                <w:t>Investigation of random processes</w:t>
              </w:r>
            </w:hyperlink>
            <w:r>
              <w:rPr>
                <w:lang w:val="en-US"/>
              </w:rPr>
              <w:t xml:space="preserve"> activity where they are provided with experiences of randomness through tossing coins, random walks and Pascal’s Triangle.</w:t>
            </w:r>
          </w:p>
        </w:tc>
        <w:tc>
          <w:tcPr>
            <w:tcW w:w="1311" w:type="pct"/>
          </w:tcPr>
          <w:p w14:paraId="6F31120E" w14:textId="77777777" w:rsidR="00DE3CB3" w:rsidRDefault="00DE3CB3" w:rsidP="00DE3CB3">
            <w:pPr>
              <w:pStyle w:val="DoEtabletext"/>
            </w:pPr>
          </w:p>
        </w:tc>
        <w:tc>
          <w:tcPr>
            <w:tcW w:w="388" w:type="pct"/>
          </w:tcPr>
          <w:p w14:paraId="586B4C98" w14:textId="3F20FA5A" w:rsidR="00DE3CB3" w:rsidRDefault="00DE3CB3" w:rsidP="00DE3CB3">
            <w:pPr>
              <w:pStyle w:val="DoEtabletext"/>
            </w:pPr>
          </w:p>
        </w:tc>
      </w:tr>
      <w:tr w:rsidR="00DE3CB3" w14:paraId="410CDD5E" w14:textId="77777777" w:rsidTr="003507E9">
        <w:trPr>
          <w:trHeight w:val="3291"/>
        </w:trPr>
        <w:tc>
          <w:tcPr>
            <w:tcW w:w="1056" w:type="pct"/>
          </w:tcPr>
          <w:p w14:paraId="6CE109D1" w14:textId="77777777" w:rsidR="00DE3CB3" w:rsidRDefault="00DE3CB3" w:rsidP="00DE3CB3">
            <w:pPr>
              <w:pStyle w:val="DoEtablelist1bullet"/>
            </w:pPr>
            <w:r>
              <w:lastRenderedPageBreak/>
              <w:t>represent probabilities using a range of notations, for example:</w:t>
            </w:r>
          </w:p>
          <w:p w14:paraId="1042860C" w14:textId="77777777" w:rsidR="00DE3CB3" w:rsidRDefault="00DE3CB3" w:rsidP="00DE3CB3">
            <w:pPr>
              <w:pStyle w:val="DoEtablelist2bullet"/>
            </w:pPr>
            <w:r>
              <w:t>words</w:t>
            </w:r>
          </w:p>
          <w:p w14:paraId="631D3C38" w14:textId="77777777" w:rsidR="00DE3CB3" w:rsidRDefault="00DE3CB3" w:rsidP="00DE3CB3">
            <w:pPr>
              <w:pStyle w:val="DoEtablelist2bullet"/>
            </w:pPr>
            <w:r>
              <w:t>fractions</w:t>
            </w:r>
          </w:p>
          <w:p w14:paraId="739C2395" w14:textId="77777777" w:rsidR="00DE3CB3" w:rsidRDefault="00DE3CB3" w:rsidP="00DE3CB3">
            <w:pPr>
              <w:pStyle w:val="DoEtablelist2bullet"/>
            </w:pPr>
            <w:r>
              <w:t>ratios</w:t>
            </w:r>
          </w:p>
          <w:p w14:paraId="480DF2E8" w14:textId="77777777" w:rsidR="00DE3CB3" w:rsidRDefault="00DE3CB3" w:rsidP="00DE3CB3">
            <w:pPr>
              <w:pStyle w:val="DoEtablelist2bullet"/>
            </w:pPr>
            <w:r>
              <w:t xml:space="preserve">percentages </w:t>
            </w:r>
            <w:r>
              <w:rPr>
                <w:noProof/>
                <w:lang w:eastAsia="en-AU"/>
              </w:rPr>
              <w:drawing>
                <wp:inline distT="0" distB="0" distL="0" distR="0" wp14:anchorId="5A2C77C9" wp14:editId="76FC3B20">
                  <wp:extent cx="133350" cy="104775"/>
                  <wp:effectExtent l="0" t="0" r="0" b="9525"/>
                  <wp:docPr id="677"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677" name="image138.png" descr="Literacy icon" title="Literacy icon"/>
                          <pic:cNvPicPr/>
                        </pic:nvPicPr>
                        <pic:blipFill>
                          <a:blip r:embed="rId13"/>
                          <a:srcRect/>
                          <a:stretch>
                            <a:fillRect/>
                          </a:stretch>
                        </pic:blipFill>
                        <pic:spPr>
                          <a:xfrm>
                            <a:off x="0" y="0"/>
                            <a:ext cx="133350" cy="104775"/>
                          </a:xfrm>
                          <a:prstGeom prst="rect">
                            <a:avLst/>
                          </a:prstGeom>
                          <a:ln/>
                        </pic:spPr>
                      </pic:pic>
                    </a:graphicData>
                  </a:graphic>
                </wp:inline>
              </w:drawing>
            </w:r>
          </w:p>
          <w:p w14:paraId="3AAB7B4E" w14:textId="3B6D07BC" w:rsidR="00DE3CB3" w:rsidRDefault="00DE3CB3" w:rsidP="00DE3CB3">
            <w:pPr>
              <w:pStyle w:val="DoEtabletext"/>
            </w:pPr>
          </w:p>
        </w:tc>
        <w:tc>
          <w:tcPr>
            <w:tcW w:w="2245" w:type="pct"/>
          </w:tcPr>
          <w:p w14:paraId="45919817" w14:textId="77777777" w:rsidR="00DE3CB3" w:rsidRDefault="00807EC1" w:rsidP="00807EC1">
            <w:pPr>
              <w:pStyle w:val="DoETableHeading"/>
            </w:pPr>
            <w:r>
              <w:t>Representing probabilities</w:t>
            </w:r>
          </w:p>
          <w:p w14:paraId="0F738EFC" w14:textId="121C99EC" w:rsidR="00807EC1" w:rsidRDefault="000941BA" w:rsidP="00807EC1">
            <w:pPr>
              <w:pStyle w:val="DoEtablelist1bullet"/>
            </w:pPr>
            <w:hyperlink r:id="rId38">
              <w:r w:rsidR="765E08BE" w:rsidRPr="00DE2A10">
                <w:rPr>
                  <w:rStyle w:val="Hyperlink"/>
                  <w:sz w:val="20"/>
                  <w:szCs w:val="20"/>
                </w:rPr>
                <w:t>Probability Fair Game</w:t>
              </w:r>
            </w:hyperlink>
            <w:r w:rsidR="765E08BE">
              <w:t xml:space="preserve"> - this </w:t>
            </w:r>
            <w:r w:rsidR="00803B7C">
              <w:t xml:space="preserve">online, interactive </w:t>
            </w:r>
            <w:r w:rsidR="765E08BE">
              <w:t>game is designed to show students all the different ways probability is used and allows students to play fun games to teach them about probability.</w:t>
            </w:r>
          </w:p>
          <w:p w14:paraId="6E49BBA3" w14:textId="77777777" w:rsidR="003507E9" w:rsidRDefault="003507E9" w:rsidP="003507E9">
            <w:pPr>
              <w:pStyle w:val="DoEtablelist1bullet"/>
              <w:numPr>
                <w:ilvl w:val="0"/>
                <w:numId w:val="0"/>
              </w:numPr>
            </w:pPr>
          </w:p>
          <w:p w14:paraId="5FA6229F" w14:textId="43C067B8" w:rsidR="004611DC" w:rsidRDefault="004611DC" w:rsidP="00807EC1">
            <w:pPr>
              <w:pStyle w:val="DoEtablelist1bullet"/>
            </w:pPr>
            <w:r>
              <w:t xml:space="preserve">Students complete the </w:t>
            </w:r>
            <w:hyperlink r:id="rId39" w:history="1">
              <w:r w:rsidRPr="004611DC">
                <w:rPr>
                  <w:rStyle w:val="Hyperlink"/>
                  <w:sz w:val="20"/>
                </w:rPr>
                <w:t>Minecraft activity Gone Fishing</w:t>
              </w:r>
            </w:hyperlink>
            <w:r>
              <w:t xml:space="preserve"> to practise expressing probability numerically as a fraction, decimal or percentage. Students track the number of fish, junk or treasures they catch and then combine their results with others to determine the probability of catching each.</w:t>
            </w:r>
          </w:p>
        </w:tc>
        <w:tc>
          <w:tcPr>
            <w:tcW w:w="1311" w:type="pct"/>
          </w:tcPr>
          <w:p w14:paraId="7475F6A0" w14:textId="77777777" w:rsidR="00DE3CB3" w:rsidRDefault="00DE3CB3" w:rsidP="00DE3CB3">
            <w:pPr>
              <w:pStyle w:val="DoEtabletext"/>
            </w:pPr>
          </w:p>
        </w:tc>
        <w:tc>
          <w:tcPr>
            <w:tcW w:w="388" w:type="pct"/>
          </w:tcPr>
          <w:p w14:paraId="6C743472" w14:textId="6150D130" w:rsidR="00DE3CB3" w:rsidRDefault="00DE3CB3" w:rsidP="00DE3CB3">
            <w:pPr>
              <w:pStyle w:val="DoEtabletext"/>
            </w:pPr>
          </w:p>
        </w:tc>
      </w:tr>
      <w:tr w:rsidR="00DE3CB3" w14:paraId="7A219767" w14:textId="77777777" w:rsidTr="00091650">
        <w:trPr>
          <w:trHeight w:val="4947"/>
        </w:trPr>
        <w:tc>
          <w:tcPr>
            <w:tcW w:w="1056" w:type="pct"/>
          </w:tcPr>
          <w:p w14:paraId="46FF57D5" w14:textId="77777777" w:rsidR="00DE3CB3" w:rsidRDefault="00DE3CB3" w:rsidP="00DE3CB3">
            <w:pPr>
              <w:pStyle w:val="DoEtablelist1bullet"/>
            </w:pPr>
            <w:r>
              <w:lastRenderedPageBreak/>
              <w:t>compare the likelihood of events based on their frequency, for example:</w:t>
            </w:r>
          </w:p>
          <w:p w14:paraId="4CD9671C" w14:textId="77777777" w:rsidR="00DE3CB3" w:rsidRDefault="00DE3CB3" w:rsidP="00DE3CB3">
            <w:pPr>
              <w:pStyle w:val="DoEtablelist2bullet"/>
            </w:pPr>
            <w:r>
              <w:t xml:space="preserve">selecting a heart (13 hearts) from a pack of cards is less likely than selecting a black card (26 black cards) </w:t>
            </w:r>
            <w:r>
              <w:rPr>
                <w:noProof/>
                <w:lang w:eastAsia="en-AU"/>
              </w:rPr>
              <w:drawing>
                <wp:inline distT="0" distB="0" distL="0" distR="0" wp14:anchorId="4B558A1E" wp14:editId="2BA07EC9">
                  <wp:extent cx="123825" cy="104775"/>
                  <wp:effectExtent l="0" t="0" r="9525" b="9525"/>
                  <wp:docPr id="678"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678" name="image264.png" descr="Critical and creative thinking icon" title="Critical and creative thinking icon"/>
                          <pic:cNvPicPr/>
                        </pic:nvPicPr>
                        <pic:blipFill>
                          <a:blip r:embed="rId23"/>
                          <a:srcRect/>
                          <a:stretch>
                            <a:fillRect/>
                          </a:stretch>
                        </pic:blipFill>
                        <pic:spPr>
                          <a:xfrm>
                            <a:off x="0" y="0"/>
                            <a:ext cx="123825" cy="104775"/>
                          </a:xfrm>
                          <a:prstGeom prst="rect">
                            <a:avLst/>
                          </a:prstGeom>
                          <a:ln/>
                        </pic:spPr>
                      </pic:pic>
                    </a:graphicData>
                  </a:graphic>
                </wp:inline>
              </w:drawing>
            </w:r>
          </w:p>
          <w:p w14:paraId="1859B2E4" w14:textId="23D488B8" w:rsidR="00DE3CB3" w:rsidRDefault="00DE3CB3" w:rsidP="00DE3CB3">
            <w:pPr>
              <w:pStyle w:val="DoEtabletext"/>
            </w:pPr>
          </w:p>
        </w:tc>
        <w:tc>
          <w:tcPr>
            <w:tcW w:w="2245" w:type="pct"/>
          </w:tcPr>
          <w:p w14:paraId="5EA2716A" w14:textId="33D1C46C" w:rsidR="00807EC1" w:rsidRDefault="00807EC1" w:rsidP="00807EC1">
            <w:pPr>
              <w:pStyle w:val="DoETableHeading"/>
            </w:pPr>
            <w:r>
              <w:t>Comparing the likelihood of events</w:t>
            </w:r>
          </w:p>
          <w:p w14:paraId="6282CB03" w14:textId="77777777" w:rsidR="00DE3CB3" w:rsidRDefault="00E726E9" w:rsidP="00D1170E">
            <w:pPr>
              <w:pStyle w:val="DoEtablelist1bullet"/>
            </w:pPr>
            <w:r>
              <w:t xml:space="preserve">Probability </w:t>
            </w:r>
            <w:r w:rsidRPr="00E726E9">
              <w:t>Prediction</w:t>
            </w:r>
            <w:r>
              <w:t>: Teacher to place counters, marbles or small items into a bag. Students are to identify their prediction of the colour that the teacher will pull out of the bag. Predictions can be written on a white board</w:t>
            </w:r>
            <w:r w:rsidR="009E7517">
              <w:t>,</w:t>
            </w:r>
            <w:r>
              <w:t xml:space="preserve"> or poster cards can be placed around the room and students are to go their chosen colour of choice (location of room). Students can visually see other students’ predictions and they can engage in the lesson by moving around. Anyone who answered correctly can put a tally mark against their name on the whiteboard to see how made the most correct predictions.</w:t>
            </w:r>
          </w:p>
          <w:p w14:paraId="48A93AEE" w14:textId="77777777" w:rsidR="00137E28" w:rsidRDefault="00137E28" w:rsidP="00137E28">
            <w:pPr>
              <w:pStyle w:val="DoEtablelist1bullet"/>
              <w:numPr>
                <w:ilvl w:val="0"/>
                <w:numId w:val="0"/>
              </w:numPr>
              <w:ind w:left="340" w:hanging="227"/>
            </w:pPr>
          </w:p>
          <w:p w14:paraId="1F469F85" w14:textId="31C779D1" w:rsidR="00137E28" w:rsidRPr="00137E28" w:rsidRDefault="00137E28" w:rsidP="00137E28">
            <w:pPr>
              <w:pStyle w:val="DoEtablelist1bullet"/>
            </w:pPr>
            <w:r>
              <w:t xml:space="preserve">This </w:t>
            </w:r>
            <w:hyperlink r:id="rId40" w:history="1">
              <w:r w:rsidRPr="00E66882">
                <w:rPr>
                  <w:rStyle w:val="Hyperlink"/>
                  <w:sz w:val="20"/>
                </w:rPr>
                <w:t>Chance Experiments</w:t>
              </w:r>
            </w:hyperlink>
            <w:r>
              <w:t xml:space="preserve"> </w:t>
            </w:r>
            <w:r>
              <w:rPr>
                <w:shd w:val="clear" w:color="auto" w:fill="FFFFFF"/>
              </w:rPr>
              <w:t>activity</w:t>
            </w:r>
            <w:r w:rsidR="003507E9">
              <w:rPr>
                <w:shd w:val="clear" w:color="auto" w:fill="FFFFFF"/>
              </w:rPr>
              <w:t>, developed in Desmos,</w:t>
            </w:r>
            <w:r>
              <w:rPr>
                <w:shd w:val="clear" w:color="auto" w:fill="FFFFFF"/>
              </w:rPr>
              <w:t xml:space="preserve"> introduces students to probability through a spinner game. Which result is more likely—red or blue? Students answer this question by gathering and analyzing class data and then apply what they've learned to consider the likelihood of other chance experiments.</w:t>
            </w:r>
          </w:p>
          <w:p w14:paraId="443092DE" w14:textId="4EB31E96" w:rsidR="00137E28" w:rsidRDefault="00137E28" w:rsidP="00137E28">
            <w:pPr>
              <w:pStyle w:val="DoEtablelist1bullet"/>
              <w:numPr>
                <w:ilvl w:val="0"/>
                <w:numId w:val="0"/>
              </w:numPr>
              <w:ind w:left="340" w:hanging="227"/>
            </w:pPr>
          </w:p>
        </w:tc>
        <w:tc>
          <w:tcPr>
            <w:tcW w:w="1311" w:type="pct"/>
          </w:tcPr>
          <w:p w14:paraId="6E18EF6A" w14:textId="77777777" w:rsidR="00DE3CB3" w:rsidRDefault="00DE3CB3" w:rsidP="00DE3CB3">
            <w:pPr>
              <w:pStyle w:val="DoEtabletext"/>
            </w:pPr>
          </w:p>
        </w:tc>
        <w:tc>
          <w:tcPr>
            <w:tcW w:w="388" w:type="pct"/>
          </w:tcPr>
          <w:p w14:paraId="66EF01B6" w14:textId="7468A899" w:rsidR="00DE3CB3" w:rsidRDefault="00DE3CB3" w:rsidP="00DE3CB3">
            <w:pPr>
              <w:pStyle w:val="DoEtabletext"/>
            </w:pPr>
          </w:p>
        </w:tc>
      </w:tr>
      <w:tr w:rsidR="00DE3CB3" w14:paraId="30B8E6C7" w14:textId="77777777" w:rsidTr="2EB92FC1">
        <w:tc>
          <w:tcPr>
            <w:tcW w:w="1056" w:type="pct"/>
          </w:tcPr>
          <w:p w14:paraId="5C6B8F65" w14:textId="77777777" w:rsidR="00DE3CB3" w:rsidRDefault="00DE3CB3" w:rsidP="00DE3CB3">
            <w:pPr>
              <w:pStyle w:val="DoEtablelist1bullet"/>
            </w:pPr>
            <w:r>
              <w:t>compare the likelihood of events based on their numerical probability, for example:</w:t>
            </w:r>
          </w:p>
          <w:p w14:paraId="2568EB90" w14:textId="77777777" w:rsidR="00DE3CB3" w:rsidRDefault="00DE3CB3" w:rsidP="00DE3CB3">
            <w:pPr>
              <w:pStyle w:val="DoEtablelist2bullet"/>
            </w:pPr>
            <w:r>
              <w:t xml:space="preserve">rolling a six on a dice (one out of six) is less likely than rolling an odd number (one out of two) </w:t>
            </w:r>
            <w:r>
              <w:rPr>
                <w:noProof/>
                <w:lang w:eastAsia="en-AU"/>
              </w:rPr>
              <w:drawing>
                <wp:inline distT="0" distB="0" distL="0" distR="0" wp14:anchorId="2AA78E83" wp14:editId="7912FE2B">
                  <wp:extent cx="123825" cy="104775"/>
                  <wp:effectExtent l="0" t="0" r="9525" b="9525"/>
                  <wp:docPr id="679"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679" name="image264.png" descr="Critical and creative thinking icon" title="Critical and creative thinking icon"/>
                          <pic:cNvPicPr/>
                        </pic:nvPicPr>
                        <pic:blipFill>
                          <a:blip r:embed="rId23"/>
                          <a:srcRect/>
                          <a:stretch>
                            <a:fillRect/>
                          </a:stretch>
                        </pic:blipFill>
                        <pic:spPr>
                          <a:xfrm>
                            <a:off x="0" y="0"/>
                            <a:ext cx="123825" cy="104775"/>
                          </a:xfrm>
                          <a:prstGeom prst="rect">
                            <a:avLst/>
                          </a:prstGeom>
                          <a:ln/>
                        </pic:spPr>
                      </pic:pic>
                    </a:graphicData>
                  </a:graphic>
                </wp:inline>
              </w:drawing>
            </w:r>
          </w:p>
          <w:p w14:paraId="4521ACEF" w14:textId="77777777" w:rsidR="00DE3CB3" w:rsidRDefault="00DE3CB3" w:rsidP="00DE3CB3">
            <w:pPr>
              <w:pStyle w:val="DoEtablelist1bullet"/>
            </w:pPr>
            <w:r>
              <w:lastRenderedPageBreak/>
              <w:t>engage with simple theoretical probabilities for events, for example:</w:t>
            </w:r>
          </w:p>
          <w:p w14:paraId="37F41A73" w14:textId="77777777" w:rsidR="00DE3CB3" w:rsidRDefault="00DE3CB3" w:rsidP="00DE3CB3">
            <w:pPr>
              <w:pStyle w:val="DoEtablelist2bullet"/>
            </w:pPr>
            <w:r>
              <w:t>recognise that rolling a dice gives a 1 in 6 chance of getting a 5, or there is a 50% chance of getting heads when tossing a coin</w:t>
            </w:r>
          </w:p>
          <w:p w14:paraId="3A959645" w14:textId="5CDD891A" w:rsidR="00DE3CB3" w:rsidRDefault="00DE3CB3" w:rsidP="00DE3CB3">
            <w:pPr>
              <w:pStyle w:val="DoEtabletext"/>
            </w:pPr>
          </w:p>
        </w:tc>
        <w:tc>
          <w:tcPr>
            <w:tcW w:w="2245" w:type="pct"/>
          </w:tcPr>
          <w:p w14:paraId="39A7BC52" w14:textId="3C24418E" w:rsidR="00DE3CB3" w:rsidRPr="00E7503C" w:rsidRDefault="009F09A6" w:rsidP="009F09A6">
            <w:pPr>
              <w:pStyle w:val="DoEtablelist1bullet"/>
            </w:pPr>
            <w:r>
              <w:rPr>
                <w:lang w:val="en-US"/>
              </w:rPr>
              <w:lastRenderedPageBreak/>
              <w:t xml:space="preserve">Students watch the video </w:t>
            </w:r>
            <w:hyperlink r:id="rId41" w:anchor="watch" w:history="1">
              <w:r w:rsidR="00A53243" w:rsidRPr="00E7503C">
                <w:rPr>
                  <w:rStyle w:val="Hyperlink"/>
                  <w:sz w:val="20"/>
                  <w:szCs w:val="20"/>
                  <w:lang w:val="en-US"/>
                </w:rPr>
                <w:t>What happens when you guess</w:t>
              </w:r>
            </w:hyperlink>
            <w:r w:rsidRPr="00E7503C">
              <w:rPr>
                <w:szCs w:val="20"/>
                <w:lang w:val="en-US"/>
              </w:rPr>
              <w:t>.</w:t>
            </w:r>
            <w:r>
              <w:rPr>
                <w:lang w:val="en-US"/>
              </w:rPr>
              <w:t xml:space="preserve"> This website also has follow</w:t>
            </w:r>
            <w:r w:rsidR="00CF08E5">
              <w:rPr>
                <w:lang w:val="en-US"/>
              </w:rPr>
              <w:t>-</w:t>
            </w:r>
            <w:r>
              <w:rPr>
                <w:lang w:val="en-US"/>
              </w:rPr>
              <w:t>up questions for teachers to discuss with the class.</w:t>
            </w:r>
            <w:r w:rsidR="00A53243">
              <w:rPr>
                <w:lang w:val="en-US"/>
              </w:rPr>
              <w:t xml:space="preserve"> </w:t>
            </w:r>
          </w:p>
          <w:p w14:paraId="55F3CBB0" w14:textId="77777777" w:rsidR="00E7503C" w:rsidRPr="009F09A6" w:rsidRDefault="00E7503C" w:rsidP="00E7503C">
            <w:pPr>
              <w:pStyle w:val="DoEtablelist1bullet"/>
              <w:numPr>
                <w:ilvl w:val="0"/>
                <w:numId w:val="0"/>
              </w:numPr>
              <w:ind w:left="340"/>
            </w:pPr>
          </w:p>
          <w:p w14:paraId="6E0050F3" w14:textId="77777777" w:rsidR="00DE3CB3" w:rsidRDefault="009F09A6" w:rsidP="00137E28">
            <w:pPr>
              <w:pStyle w:val="DoEtablelist1bullet"/>
            </w:pPr>
            <w:r>
              <w:t>Students could then complete the activity dicey-test-taking where they investigate whether they would pass their Learners test if they guessed all of the answers to the questions.</w:t>
            </w:r>
            <w:r>
              <w:br/>
            </w:r>
            <w:r>
              <w:rPr>
                <w:b/>
              </w:rPr>
              <w:t>Resource:</w:t>
            </w:r>
            <w:r>
              <w:t xml:space="preserve"> dicey-test-taking.DOC</w:t>
            </w:r>
            <w:r w:rsidR="00063479">
              <w:t>X</w:t>
            </w:r>
          </w:p>
          <w:p w14:paraId="1D2E73F7" w14:textId="77777777" w:rsidR="00A102C0" w:rsidRDefault="00A102C0" w:rsidP="00A102C0">
            <w:pPr>
              <w:pStyle w:val="ListParagraph"/>
            </w:pPr>
          </w:p>
          <w:p w14:paraId="3BC30322" w14:textId="4C4A36C6" w:rsidR="00A102C0" w:rsidRDefault="00A102C0" w:rsidP="00A102C0">
            <w:pPr>
              <w:pStyle w:val="DoEtablelist1bullet"/>
            </w:pPr>
            <w:r>
              <w:lastRenderedPageBreak/>
              <w:t xml:space="preserve">Students to play the </w:t>
            </w:r>
            <w:hyperlink r:id="rId42" w:history="1">
              <w:r w:rsidRPr="00A102C0">
                <w:rPr>
                  <w:rStyle w:val="Hyperlink"/>
                  <w:sz w:val="20"/>
                </w:rPr>
                <w:t>Horse racing game</w:t>
              </w:r>
            </w:hyperlink>
            <w:r>
              <w:t xml:space="preserve"> to realise that when we work with two dice, the totals are not equally likely. </w:t>
            </w:r>
          </w:p>
          <w:p w14:paraId="3495CD14" w14:textId="77777777" w:rsidR="00A102C0" w:rsidRDefault="00A102C0" w:rsidP="00A102C0">
            <w:pPr>
              <w:pStyle w:val="DoEtablelist2bullet"/>
            </w:pPr>
            <w:r>
              <w:t>Students can then use the sample space worksheet to calculate which total is most likely</w:t>
            </w:r>
            <w:r>
              <w:br/>
            </w:r>
            <w:r>
              <w:rPr>
                <w:b/>
              </w:rPr>
              <w:t>Resource:</w:t>
            </w:r>
            <w:r>
              <w:t xml:space="preserve"> sample-space.DOCX</w:t>
            </w:r>
          </w:p>
          <w:p w14:paraId="1FD17E0B" w14:textId="77777777" w:rsidR="00F52D9C" w:rsidRDefault="00F52D9C" w:rsidP="00F52D9C">
            <w:pPr>
              <w:pStyle w:val="DoEtablelist2bullet"/>
              <w:numPr>
                <w:ilvl w:val="0"/>
                <w:numId w:val="0"/>
              </w:numPr>
              <w:ind w:left="596" w:hanging="284"/>
            </w:pPr>
          </w:p>
          <w:p w14:paraId="64271CDA" w14:textId="7D631814" w:rsidR="00F52D9C" w:rsidRDefault="00F52D9C" w:rsidP="00F52D9C">
            <w:pPr>
              <w:pStyle w:val="DoEtablelist1bullet"/>
            </w:pPr>
            <w:r>
              <w:t>Students to complete the Open Middle problem</w:t>
            </w:r>
            <w:r w:rsidR="003507E9">
              <w:t>,</w:t>
            </w:r>
            <w:r>
              <w:t xml:space="preserve"> </w:t>
            </w:r>
            <w:hyperlink r:id="rId43" w:history="1">
              <w:r w:rsidRPr="00F52D9C">
                <w:rPr>
                  <w:rStyle w:val="Hyperlink"/>
                  <w:sz w:val="20"/>
                </w:rPr>
                <w:t>Probability with Marbles</w:t>
              </w:r>
            </w:hyperlink>
            <w:r w:rsidR="003507E9">
              <w:rPr>
                <w:rStyle w:val="Hyperlink"/>
                <w:sz w:val="20"/>
              </w:rPr>
              <w:t>.</w:t>
            </w:r>
            <w:r>
              <w:t xml:space="preserve"> </w:t>
            </w:r>
          </w:p>
          <w:p w14:paraId="0CFE45F0" w14:textId="1DB92E04" w:rsidR="00F52D9C" w:rsidRPr="00F52D9C" w:rsidRDefault="00F52D9C" w:rsidP="00F52D9C">
            <w:pPr>
              <w:pStyle w:val="DoEtablelist2bullet"/>
            </w:pPr>
            <w:r w:rsidRPr="00F52D9C">
              <w:t>Directions: There are _____ red marbles and _____ blue marbles in Bag A. There are _____ red marbles and _____ green marbles in Bag B.</w:t>
            </w:r>
          </w:p>
          <w:p w14:paraId="11CDC2DC" w14:textId="77777777" w:rsidR="00F52D9C" w:rsidRPr="00F52D9C" w:rsidRDefault="00F52D9C" w:rsidP="00F52D9C">
            <w:pPr>
              <w:pStyle w:val="DoEtablelist2bullet"/>
            </w:pPr>
            <w:r w:rsidRPr="00F52D9C">
              <w:t>Using the digits 1 to 9 at most one time each, fill in the boxes to make the probability of drawing a red marble from either bag the same.</w:t>
            </w:r>
          </w:p>
          <w:p w14:paraId="17B29881" w14:textId="4BF12F87" w:rsidR="00F52D9C" w:rsidRDefault="00F52D9C" w:rsidP="00F52D9C">
            <w:pPr>
              <w:pStyle w:val="DoEtablelist2bullet"/>
              <w:numPr>
                <w:ilvl w:val="0"/>
                <w:numId w:val="0"/>
              </w:numPr>
              <w:ind w:left="596" w:hanging="284"/>
            </w:pPr>
          </w:p>
        </w:tc>
        <w:tc>
          <w:tcPr>
            <w:tcW w:w="1311" w:type="pct"/>
          </w:tcPr>
          <w:p w14:paraId="44B05EBA" w14:textId="77777777" w:rsidR="00DE3CB3" w:rsidRDefault="00DE3CB3" w:rsidP="00DE3CB3">
            <w:pPr>
              <w:pStyle w:val="DoEtabletext"/>
            </w:pPr>
          </w:p>
        </w:tc>
        <w:tc>
          <w:tcPr>
            <w:tcW w:w="388" w:type="pct"/>
          </w:tcPr>
          <w:p w14:paraId="14663982" w14:textId="419322F1" w:rsidR="00DE3CB3" w:rsidRDefault="00DE3CB3" w:rsidP="00DE3CB3">
            <w:pPr>
              <w:pStyle w:val="DoEtabletext"/>
            </w:pPr>
          </w:p>
        </w:tc>
      </w:tr>
      <w:tr w:rsidR="00DE3CB3" w14:paraId="3CEA47E9" w14:textId="77777777" w:rsidTr="003507E9">
        <w:trPr>
          <w:trHeight w:val="740"/>
        </w:trPr>
        <w:tc>
          <w:tcPr>
            <w:tcW w:w="1056" w:type="pct"/>
          </w:tcPr>
          <w:p w14:paraId="6F49063D" w14:textId="77777777" w:rsidR="00DE3CB3" w:rsidRDefault="00DE3CB3" w:rsidP="00DE3CB3">
            <w:pPr>
              <w:pStyle w:val="DoEtablelist1bullet"/>
            </w:pPr>
            <w:r>
              <w:t>conduct experiments to determine the experimental probability of an event, for example:</w:t>
            </w:r>
          </w:p>
          <w:p w14:paraId="5F813357" w14:textId="77777777" w:rsidR="00DE3CB3" w:rsidRDefault="00DE3CB3" w:rsidP="00DE3CB3">
            <w:pPr>
              <w:pStyle w:val="DoEtablelist2bullet"/>
            </w:pPr>
            <w:r>
              <w:t>roll a dice 20 times and record and communicate the result using a suitable strategy (eg graph or table)</w:t>
            </w:r>
          </w:p>
          <w:p w14:paraId="7A9B8112" w14:textId="77777777" w:rsidR="00DE3CB3" w:rsidRDefault="00DE3CB3" w:rsidP="00DE3CB3">
            <w:pPr>
              <w:pStyle w:val="DoEtablelist1bullet"/>
            </w:pPr>
            <w:r>
              <w:t xml:space="preserve">draw conclusions or make predictions from the results of probability experiments </w:t>
            </w:r>
            <w:r>
              <w:rPr>
                <w:noProof/>
                <w:lang w:eastAsia="en-AU"/>
              </w:rPr>
              <w:drawing>
                <wp:inline distT="0" distB="0" distL="0" distR="0" wp14:anchorId="1390355D" wp14:editId="1E5BFD11">
                  <wp:extent cx="123825" cy="104775"/>
                  <wp:effectExtent l="0" t="0" r="9525" b="9525"/>
                  <wp:docPr id="8"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681" name="image264.png" descr="Critical and creative thinking icon" title="Critical and creative thinking icon"/>
                          <pic:cNvPicPr/>
                        </pic:nvPicPr>
                        <pic:blipFill>
                          <a:blip r:embed="rId23"/>
                          <a:srcRect/>
                          <a:stretch>
                            <a:fillRect/>
                          </a:stretch>
                        </pic:blipFill>
                        <pic:spPr>
                          <a:xfrm>
                            <a:off x="0" y="0"/>
                            <a:ext cx="123825" cy="104775"/>
                          </a:xfrm>
                          <a:prstGeom prst="rect">
                            <a:avLst/>
                          </a:prstGeom>
                          <a:ln/>
                        </pic:spPr>
                      </pic:pic>
                    </a:graphicData>
                  </a:graphic>
                </wp:inline>
              </w:drawing>
            </w:r>
          </w:p>
          <w:p w14:paraId="3AB38208" w14:textId="77777777" w:rsidR="00DE3CB3" w:rsidRDefault="00DE3CB3" w:rsidP="00DE3CB3">
            <w:pPr>
              <w:pStyle w:val="DoEtablelist1bullet"/>
            </w:pPr>
            <w:r>
              <w:lastRenderedPageBreak/>
              <w:t xml:space="preserve">compare theoretical probabilities with the results of experiments and discuss why the experimental results and theoretical results may not match </w:t>
            </w:r>
            <w:r>
              <w:rPr>
                <w:noProof/>
                <w:lang w:eastAsia="en-AU"/>
              </w:rPr>
              <w:drawing>
                <wp:inline distT="0" distB="0" distL="0" distR="0" wp14:anchorId="4A082534" wp14:editId="3588264A">
                  <wp:extent cx="123825" cy="104775"/>
                  <wp:effectExtent l="0" t="0" r="9525" b="9525"/>
                  <wp:docPr id="681"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681" name="image264.png" descr="Critical and creative thinking icon" title="Critical and creative thinking icon"/>
                          <pic:cNvPicPr/>
                        </pic:nvPicPr>
                        <pic:blipFill>
                          <a:blip r:embed="rId23"/>
                          <a:srcRect/>
                          <a:stretch>
                            <a:fillRect/>
                          </a:stretch>
                        </pic:blipFill>
                        <pic:spPr>
                          <a:xfrm>
                            <a:off x="0" y="0"/>
                            <a:ext cx="123825" cy="104775"/>
                          </a:xfrm>
                          <a:prstGeom prst="rect">
                            <a:avLst/>
                          </a:prstGeom>
                          <a:ln/>
                        </pic:spPr>
                      </pic:pic>
                    </a:graphicData>
                  </a:graphic>
                </wp:inline>
              </w:drawing>
            </w:r>
          </w:p>
          <w:p w14:paraId="0EB50BE5" w14:textId="1798605B" w:rsidR="00DE3CB3" w:rsidRDefault="00DE3CB3" w:rsidP="00DE3CB3">
            <w:pPr>
              <w:pStyle w:val="DoEtabletext"/>
            </w:pPr>
          </w:p>
        </w:tc>
        <w:tc>
          <w:tcPr>
            <w:tcW w:w="2245" w:type="pct"/>
          </w:tcPr>
          <w:p w14:paraId="35D1E6D3" w14:textId="21E36BFC" w:rsidR="00807EC1" w:rsidRDefault="00807EC1" w:rsidP="00807EC1">
            <w:pPr>
              <w:pStyle w:val="DoETableHeading"/>
            </w:pPr>
            <w:r>
              <w:lastRenderedPageBreak/>
              <w:t>Conducting experiments and making predictions</w:t>
            </w:r>
          </w:p>
          <w:p w14:paraId="4023FB36" w14:textId="0A061E2B" w:rsidR="007E1D1A" w:rsidRDefault="007E1D1A" w:rsidP="00DE3CB3">
            <w:pPr>
              <w:pStyle w:val="DoEtablelist1bullet"/>
            </w:pPr>
            <w:r>
              <w:t>Student</w:t>
            </w:r>
            <w:r w:rsidR="00137E28">
              <w:t>s</w:t>
            </w:r>
            <w:r>
              <w:t xml:space="preserve"> complete the coin flip investigation activity where they record the results of flipping a coin 20 times and compare their results with others in the class.</w:t>
            </w:r>
            <w:r>
              <w:br/>
            </w:r>
            <w:r>
              <w:rPr>
                <w:b/>
              </w:rPr>
              <w:t>Resource:</w:t>
            </w:r>
            <w:r>
              <w:t xml:space="preserve"> coin-flip-investigation.DOCX</w:t>
            </w:r>
          </w:p>
          <w:p w14:paraId="27C0093A" w14:textId="77777777" w:rsidR="00137E28" w:rsidRDefault="00137E28" w:rsidP="00137E28">
            <w:pPr>
              <w:pStyle w:val="DoEtablelist1bullet"/>
              <w:numPr>
                <w:ilvl w:val="0"/>
                <w:numId w:val="0"/>
              </w:numPr>
              <w:ind w:left="340"/>
            </w:pPr>
          </w:p>
          <w:p w14:paraId="5395613C" w14:textId="28546B7C" w:rsidR="00137E28" w:rsidRDefault="001C63EE" w:rsidP="001C63EE">
            <w:pPr>
              <w:pStyle w:val="DoEtablelist1bullet"/>
            </w:pPr>
            <w:r>
              <w:t xml:space="preserve">Students </w:t>
            </w:r>
            <w:r w:rsidRPr="001C63EE">
              <w:t>play</w:t>
            </w:r>
            <w:r>
              <w:t xml:space="preserve"> Rock, paper, scissors and complete the </w:t>
            </w:r>
            <w:hyperlink r:id="rId44" w:history="1">
              <w:r w:rsidRPr="001C63EE">
                <w:rPr>
                  <w:rStyle w:val="Hyperlink"/>
                  <w:sz w:val="20"/>
                </w:rPr>
                <w:t>resolve investigation</w:t>
              </w:r>
            </w:hyperlink>
            <w:r>
              <w:t xml:space="preserve"> on what a winning strategy would be. They then extend their investigation into rock, paper, scissors, lizard, Spock and compare it to the chances of winning the original game.</w:t>
            </w:r>
          </w:p>
          <w:p w14:paraId="72A63B7E" w14:textId="77777777" w:rsidR="001C63EE" w:rsidRDefault="001C63EE" w:rsidP="00137E28">
            <w:pPr>
              <w:pStyle w:val="DoEtablelist1bullet"/>
              <w:numPr>
                <w:ilvl w:val="0"/>
                <w:numId w:val="0"/>
              </w:numPr>
            </w:pPr>
          </w:p>
          <w:p w14:paraId="5DBE3216" w14:textId="3B4F6A5E" w:rsidR="00CB06A3" w:rsidRDefault="00137E28" w:rsidP="00DE3CB3">
            <w:pPr>
              <w:pStyle w:val="DoEtablelist1bullet"/>
            </w:pPr>
            <w:r>
              <w:lastRenderedPageBreak/>
              <w:t xml:space="preserve">Students </w:t>
            </w:r>
            <w:r w:rsidR="00C41394">
              <w:t xml:space="preserve">play a game to decide who gets the </w:t>
            </w:r>
            <w:hyperlink r:id="rId45" w:history="1">
              <w:r w:rsidR="00CB06A3" w:rsidRPr="003507E9">
                <w:rPr>
                  <w:rStyle w:val="Hyperlink"/>
                  <w:sz w:val="20"/>
                </w:rPr>
                <w:t>Last Taco</w:t>
              </w:r>
              <w:r w:rsidR="003507E9" w:rsidRPr="003507E9">
                <w:rPr>
                  <w:rStyle w:val="Hyperlink"/>
                  <w:sz w:val="20"/>
                </w:rPr>
                <w:t xml:space="preserve"> activity</w:t>
              </w:r>
            </w:hyperlink>
            <w:r w:rsidR="003507E9">
              <w:t xml:space="preserve">, developed in </w:t>
            </w:r>
            <w:r w:rsidR="00CB06A3" w:rsidRPr="003507E9">
              <w:t>D</w:t>
            </w:r>
            <w:r w:rsidR="003507E9">
              <w:t xml:space="preserve">esmos. </w:t>
            </w:r>
            <w:r w:rsidR="00C41394" w:rsidRPr="00C41394">
              <w:t>They compare experimental probability with a table showing the theoretical sample space.</w:t>
            </w:r>
          </w:p>
          <w:p w14:paraId="43846821" w14:textId="77777777" w:rsidR="00C41394" w:rsidRPr="00AC56B8" w:rsidRDefault="00C41394" w:rsidP="00C41394">
            <w:pPr>
              <w:pStyle w:val="DoEtablelist1bullet"/>
              <w:numPr>
                <w:ilvl w:val="0"/>
                <w:numId w:val="0"/>
              </w:numPr>
              <w:ind w:left="340"/>
              <w:rPr>
                <w:rStyle w:val="Hyperlink"/>
                <w:color w:val="auto"/>
                <w:sz w:val="20"/>
                <w:u w:val="none"/>
              </w:rPr>
            </w:pPr>
          </w:p>
          <w:p w14:paraId="1F907ED6" w14:textId="77777777" w:rsidR="00D1170E" w:rsidRDefault="00D1170E" w:rsidP="00D1170E">
            <w:pPr>
              <w:pStyle w:val="DoEtablelist1bullet"/>
            </w:pPr>
            <w:r>
              <w:t xml:space="preserve">Students play the game Greedy pig as a class or in small groups. Teacher can then discuss theoretical vs experimental probability. Students can share their winning strategies and teachers can discuss the Maths behind these strategies. There is an </w:t>
            </w:r>
            <w:hyperlink r:id="rId46" w:history="1">
              <w:r w:rsidRPr="00EC7BBB">
                <w:rPr>
                  <w:rStyle w:val="Hyperlink"/>
                  <w:sz w:val="20"/>
                </w:rPr>
                <w:t>online version</w:t>
              </w:r>
            </w:hyperlink>
            <w:r>
              <w:t xml:space="preserve"> of this game for students who want to play individually. </w:t>
            </w:r>
            <w:r>
              <w:br/>
            </w:r>
            <w:r>
              <w:rPr>
                <w:b/>
              </w:rPr>
              <w:t>Resource:</w:t>
            </w:r>
            <w:r>
              <w:t xml:space="preserve"> greedy-pig.DOCX</w:t>
            </w:r>
          </w:p>
          <w:p w14:paraId="613A95C5" w14:textId="77777777" w:rsidR="00D1170E" w:rsidRDefault="00D1170E" w:rsidP="1BA795DD">
            <w:pPr>
              <w:pStyle w:val="DoEtabletext"/>
            </w:pPr>
          </w:p>
          <w:p w14:paraId="7DD6AB57" w14:textId="5BF4F877" w:rsidR="1BA795DD" w:rsidRDefault="00D1170E" w:rsidP="009D65CD">
            <w:pPr>
              <w:pStyle w:val="DoEtablelist1bullet"/>
            </w:pPr>
            <w:r>
              <w:t xml:space="preserve">Students could also play the </w:t>
            </w:r>
            <w:r w:rsidR="00DE3CB3">
              <w:t>Chocolate game</w:t>
            </w:r>
            <w:r>
              <w:t xml:space="preserve"> to investigate</w:t>
            </w:r>
            <w:r w:rsidR="009D65CD">
              <w:t xml:space="preserve"> experimental vs theoretical probability.</w:t>
            </w:r>
            <w:r w:rsidR="009D65CD">
              <w:br/>
            </w:r>
            <w:r w:rsidR="009D65CD">
              <w:rPr>
                <w:b/>
              </w:rPr>
              <w:t>Resource:</w:t>
            </w:r>
            <w:r w:rsidR="009D65CD">
              <w:t xml:space="preserve"> chocolate-game.DOCX</w:t>
            </w:r>
          </w:p>
          <w:p w14:paraId="2BA235BF" w14:textId="77777777" w:rsidR="00E35892" w:rsidRPr="009D65CD" w:rsidRDefault="00E35892" w:rsidP="00E35892">
            <w:pPr>
              <w:pStyle w:val="DoEtablelist1bullet"/>
              <w:numPr>
                <w:ilvl w:val="0"/>
                <w:numId w:val="0"/>
              </w:numPr>
            </w:pPr>
          </w:p>
          <w:p w14:paraId="09BD30F7" w14:textId="6625C09C" w:rsidR="00DE3CB3" w:rsidRDefault="006B1EA7" w:rsidP="00E35892">
            <w:pPr>
              <w:pStyle w:val="DoEtablelist1bullet"/>
              <w:rPr>
                <w:rFonts w:asciiTheme="minorHAnsi" w:eastAsiaTheme="minorEastAsia" w:hAnsiTheme="minorHAnsi"/>
              </w:rPr>
            </w:pPr>
            <w:r>
              <w:t xml:space="preserve">Students conduct the </w:t>
            </w:r>
            <w:r w:rsidR="00DE3CB3">
              <w:t>M&amp;M colour comparison</w:t>
            </w:r>
            <w:r>
              <w:t xml:space="preserve"> where they record the colour of each M&amp;M in a typical bag and work out the probability of each colour</w:t>
            </w:r>
            <w:r w:rsidR="004B1154">
              <w:t>. Students then work out what the theoretical probability should be.</w:t>
            </w:r>
            <w:r w:rsidR="004B1154">
              <w:br/>
            </w:r>
            <w:r w:rsidR="004B1154">
              <w:rPr>
                <w:rFonts w:eastAsiaTheme="minorEastAsia"/>
                <w:b/>
              </w:rPr>
              <w:t>Resource:</w:t>
            </w:r>
            <w:r w:rsidR="004B1154">
              <w:rPr>
                <w:rFonts w:eastAsiaTheme="minorEastAsia"/>
              </w:rPr>
              <w:t xml:space="preserve"> M&amp;M</w:t>
            </w:r>
            <w:r w:rsidR="00E35892">
              <w:rPr>
                <w:rFonts w:eastAsiaTheme="minorEastAsia"/>
              </w:rPr>
              <w:t>-colour-comparison.DOCX</w:t>
            </w:r>
          </w:p>
          <w:p w14:paraId="45090193" w14:textId="77777777" w:rsidR="00E35892" w:rsidRPr="004B1154" w:rsidRDefault="00E35892" w:rsidP="00E35892">
            <w:pPr>
              <w:pStyle w:val="DoEtablelist1bullet"/>
              <w:numPr>
                <w:ilvl w:val="0"/>
                <w:numId w:val="0"/>
              </w:numPr>
              <w:rPr>
                <w:rFonts w:asciiTheme="minorHAnsi" w:eastAsiaTheme="minorEastAsia" w:hAnsiTheme="minorHAnsi"/>
              </w:rPr>
            </w:pPr>
          </w:p>
          <w:p w14:paraId="5296150D" w14:textId="3A7241F7" w:rsidR="001C63EE" w:rsidRPr="00C41394" w:rsidRDefault="00F821AC" w:rsidP="003507E9">
            <w:pPr>
              <w:pStyle w:val="DoEtablelist1bullet"/>
            </w:pPr>
            <w:r>
              <w:t xml:space="preserve">Students conduct a number of </w:t>
            </w:r>
            <w:r w:rsidR="78D5F283">
              <w:t xml:space="preserve">Probability </w:t>
            </w:r>
            <w:r>
              <w:t>i</w:t>
            </w:r>
            <w:r w:rsidR="78D5F283">
              <w:t>nvestigation</w:t>
            </w:r>
            <w:r>
              <w:t>s to compare theoretical vs experimental probability.</w:t>
            </w:r>
            <w:r>
              <w:br/>
            </w:r>
            <w:r>
              <w:rPr>
                <w:b/>
              </w:rPr>
              <w:t>Resource:</w:t>
            </w:r>
            <w:r>
              <w:t xml:space="preserve"> probability-investigation.DOCX</w:t>
            </w:r>
          </w:p>
        </w:tc>
        <w:tc>
          <w:tcPr>
            <w:tcW w:w="1311" w:type="pct"/>
          </w:tcPr>
          <w:p w14:paraId="7F5BBD04" w14:textId="77777777" w:rsidR="00DE3CB3" w:rsidRDefault="00DE3CB3" w:rsidP="00DE3CB3">
            <w:pPr>
              <w:pStyle w:val="DoEtabletext"/>
            </w:pPr>
          </w:p>
        </w:tc>
        <w:tc>
          <w:tcPr>
            <w:tcW w:w="388" w:type="pct"/>
          </w:tcPr>
          <w:p w14:paraId="2D1294FC" w14:textId="7DB0B6A4" w:rsidR="00DE3CB3" w:rsidRDefault="00DE3CB3" w:rsidP="00DE3CB3">
            <w:pPr>
              <w:pStyle w:val="DoEtabletext"/>
            </w:pPr>
          </w:p>
        </w:tc>
      </w:tr>
      <w:tr w:rsidR="00DE3CB3" w14:paraId="3FBC2EC2" w14:textId="77777777" w:rsidTr="2EB92FC1">
        <w:tc>
          <w:tcPr>
            <w:tcW w:w="1056" w:type="pct"/>
          </w:tcPr>
          <w:p w14:paraId="11BE0A35" w14:textId="77777777" w:rsidR="00DE3CB3" w:rsidRDefault="00DE3CB3" w:rsidP="00DE3CB3">
            <w:pPr>
              <w:pStyle w:val="DoEtablelist1bullet"/>
            </w:pPr>
            <w:r>
              <w:t xml:space="preserve">relate probability to gambling and discuss issues and potential problems related to gambling </w:t>
            </w:r>
            <w:r>
              <w:rPr>
                <w:noProof/>
                <w:lang w:eastAsia="en-AU"/>
              </w:rPr>
              <w:drawing>
                <wp:inline distT="0" distB="0" distL="0" distR="0" wp14:anchorId="12DC145D" wp14:editId="2005FAF8">
                  <wp:extent cx="95250" cy="104775"/>
                  <wp:effectExtent l="0" t="0" r="0" b="9525"/>
                  <wp:docPr id="682"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682" name="image181.png" descr="Personal and social capability icon" title="Personal and social capability icon"/>
                          <pic:cNvPicPr/>
                        </pic:nvPicPr>
                        <pic:blipFill>
                          <a:blip r:embed="rId17"/>
                          <a:srcRect/>
                          <a:stretch>
                            <a:fillRect/>
                          </a:stretch>
                        </pic:blipFill>
                        <pic:spPr>
                          <a:xfrm>
                            <a:off x="0" y="0"/>
                            <a:ext cx="95250" cy="104775"/>
                          </a:xfrm>
                          <a:prstGeom prst="rect">
                            <a:avLst/>
                          </a:prstGeom>
                          <a:ln/>
                        </pic:spPr>
                      </pic:pic>
                    </a:graphicData>
                  </a:graphic>
                </wp:inline>
              </w:drawing>
            </w:r>
          </w:p>
          <w:p w14:paraId="429A54AB" w14:textId="77777777" w:rsidR="00DE3CB3" w:rsidRDefault="00DE3CB3" w:rsidP="00DE3CB3">
            <w:pPr>
              <w:pStyle w:val="DoEtablelist1bullet"/>
            </w:pPr>
            <w:r>
              <w:lastRenderedPageBreak/>
              <w:t>research the actual probability of winning in common gambling scenarios in Australia using the internet, for example:</w:t>
            </w:r>
          </w:p>
          <w:p w14:paraId="7BFB18E9" w14:textId="35AEED8D" w:rsidR="00DE3CB3" w:rsidRDefault="00DE3CB3" w:rsidP="00DE3CB3">
            <w:pPr>
              <w:pStyle w:val="DoEtablelist2bullet"/>
            </w:pPr>
            <w:r>
              <w:t xml:space="preserve">instant lotteries </w:t>
            </w:r>
            <w:r>
              <w:rPr>
                <w:noProof/>
                <w:lang w:eastAsia="en-AU"/>
              </w:rPr>
              <w:drawing>
                <wp:inline distT="0" distB="0" distL="0" distR="0" wp14:anchorId="2079C500" wp14:editId="7A8760B8">
                  <wp:extent cx="133350" cy="104775"/>
                  <wp:effectExtent l="0" t="0" r="0" b="9525"/>
                  <wp:docPr id="683"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83" name="image255.png" descr=" Information and communication technology capability icon" title=" Information and communication technology capability icon"/>
                          <pic:cNvPicPr/>
                        </pic:nvPicPr>
                        <pic:blipFill>
                          <a:blip r:embed="rId25"/>
                          <a:srcRect/>
                          <a:stretch>
                            <a:fillRect/>
                          </a:stretch>
                        </pic:blipFill>
                        <pic:spPr>
                          <a:xfrm>
                            <a:off x="0" y="0"/>
                            <a:ext cx="133350" cy="104775"/>
                          </a:xfrm>
                          <a:prstGeom prst="rect">
                            <a:avLst/>
                          </a:prstGeom>
                          <a:ln/>
                        </pic:spPr>
                      </pic:pic>
                    </a:graphicData>
                  </a:graphic>
                </wp:inline>
              </w:drawing>
            </w:r>
            <w:r>
              <w:t xml:space="preserve"> </w:t>
            </w:r>
            <w:r>
              <w:rPr>
                <w:noProof/>
                <w:lang w:eastAsia="en-AU"/>
              </w:rPr>
              <w:drawing>
                <wp:inline distT="0" distB="0" distL="0" distR="0" wp14:anchorId="36967D3D" wp14:editId="464F5385">
                  <wp:extent cx="104775" cy="104775"/>
                  <wp:effectExtent l="0" t="0" r="9525" b="9525"/>
                  <wp:docPr id="684" name="image19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684" name="image194.png" descr="Civics and citizenship icon" title="Civics and citizenship icon"/>
                          <pic:cNvPicPr/>
                        </pic:nvPicPr>
                        <pic:blipFill>
                          <a:blip r:embed="rId47"/>
                          <a:srcRect/>
                          <a:stretch>
                            <a:fillRect/>
                          </a:stretch>
                        </pic:blipFill>
                        <pic:spPr>
                          <a:xfrm>
                            <a:off x="0" y="0"/>
                            <a:ext cx="104775" cy="104775"/>
                          </a:xfrm>
                          <a:prstGeom prst="rect">
                            <a:avLst/>
                          </a:prstGeom>
                          <a:ln/>
                        </pic:spPr>
                      </pic:pic>
                    </a:graphicData>
                  </a:graphic>
                </wp:inline>
              </w:drawing>
            </w:r>
          </w:p>
        </w:tc>
        <w:tc>
          <w:tcPr>
            <w:tcW w:w="2245" w:type="pct"/>
          </w:tcPr>
          <w:p w14:paraId="4CFD075E" w14:textId="77777777" w:rsidR="00DE3CB3" w:rsidRDefault="00807EC1" w:rsidP="00807EC1">
            <w:pPr>
              <w:pStyle w:val="DoETableHeading"/>
            </w:pPr>
            <w:r>
              <w:lastRenderedPageBreak/>
              <w:t>Understanding the relationship between probability and gambling</w:t>
            </w:r>
          </w:p>
          <w:p w14:paraId="0022FB79" w14:textId="463BBB31" w:rsidR="00807EC1" w:rsidRDefault="00C41394" w:rsidP="00807EC1">
            <w:pPr>
              <w:pStyle w:val="DoEtablelist1bullet"/>
            </w:pPr>
            <w:r>
              <w:t xml:space="preserve">Students use </w:t>
            </w:r>
            <w:r w:rsidR="03A6431C">
              <w:t>THINK PAIR SHARE</w:t>
            </w:r>
            <w:r>
              <w:t xml:space="preserve"> to start</w:t>
            </w:r>
            <w:r w:rsidR="03A6431C">
              <w:t xml:space="preserve"> a class discuss</w:t>
            </w:r>
            <w:r>
              <w:t>ion on</w:t>
            </w:r>
            <w:r w:rsidR="03A6431C">
              <w:t xml:space="preserve"> what they perceive gambling to be</w:t>
            </w:r>
            <w:r w:rsidR="042A753E">
              <w:t xml:space="preserve"> and discuss why it is designed to make people lose in the long run.</w:t>
            </w:r>
            <w:r w:rsidR="6701F121">
              <w:t xml:space="preserve"> </w:t>
            </w:r>
          </w:p>
          <w:p w14:paraId="7B2AADD9" w14:textId="4A8F149A" w:rsidR="00807EC1" w:rsidRDefault="042A753E" w:rsidP="00266530">
            <w:pPr>
              <w:pStyle w:val="DoEtablelist1bullet"/>
            </w:pPr>
            <w:r>
              <w:lastRenderedPageBreak/>
              <w:t>Guided question</w:t>
            </w:r>
            <w:r w:rsidR="03A6431C">
              <w:t xml:space="preserve">s: </w:t>
            </w:r>
          </w:p>
          <w:p w14:paraId="0E6500F7" w14:textId="1C6C3CB4" w:rsidR="00807EC1" w:rsidRDefault="104F2124" w:rsidP="00266530">
            <w:pPr>
              <w:pStyle w:val="DoEtablelist2bullet"/>
            </w:pPr>
            <w:r>
              <w:t xml:space="preserve">Gambling comes in many forms – list ideas (Lotto, </w:t>
            </w:r>
            <w:r w:rsidR="30F5A5CF">
              <w:t>Insta Scratch-Its</w:t>
            </w:r>
            <w:r>
              <w:t xml:space="preserve"> and/or card games.</w:t>
            </w:r>
          </w:p>
          <w:p w14:paraId="49C8ADB5" w14:textId="1A88B056" w:rsidR="00807EC1" w:rsidRDefault="08342DF1" w:rsidP="00D56B41">
            <w:pPr>
              <w:pStyle w:val="DoEtablelist2bullet"/>
            </w:pPr>
            <w:r>
              <w:t>What are the potential problems of gambling? (money loss, dependence to gambling, short- or long-term problems).</w:t>
            </w:r>
          </w:p>
          <w:p w14:paraId="7608F31E" w14:textId="4B10F8D7" w:rsidR="00807EC1" w:rsidRDefault="03A6431C" w:rsidP="00D56B41">
            <w:pPr>
              <w:pStyle w:val="DoEtablelist2bullet"/>
            </w:pPr>
            <w:r>
              <w:t>Lotto</w:t>
            </w:r>
            <w:r w:rsidR="008144D5">
              <w:t xml:space="preserve"> - </w:t>
            </w:r>
            <w:r>
              <w:t>Does any of their parents buy lotto tickets? Do th</w:t>
            </w:r>
            <w:r w:rsidR="7FFD12B2">
              <w:t>ey win much?</w:t>
            </w:r>
          </w:p>
          <w:p w14:paraId="6E1160ED" w14:textId="7C891912" w:rsidR="00807EC1" w:rsidRDefault="38BF93A2" w:rsidP="00807EC1">
            <w:pPr>
              <w:pStyle w:val="DoEtablelist1bullet"/>
            </w:pPr>
            <w:r>
              <w:t xml:space="preserve">Students research </w:t>
            </w:r>
            <w:r w:rsidR="4CB3C9C0">
              <w:t xml:space="preserve">the probability of winning in gambling such as </w:t>
            </w:r>
            <w:r>
              <w:t>the Lotto</w:t>
            </w:r>
            <w:r w:rsidR="3AF73382">
              <w:t xml:space="preserve"> in Australia. Research the statistics of winning and how common it is. Has anyone every won Lotto more than once?</w:t>
            </w:r>
          </w:p>
          <w:p w14:paraId="3293B250" w14:textId="77777777" w:rsidR="00C41394" w:rsidRDefault="00C41394" w:rsidP="00C41394">
            <w:pPr>
              <w:pStyle w:val="DoEtablelist1bullet"/>
              <w:numPr>
                <w:ilvl w:val="0"/>
                <w:numId w:val="0"/>
              </w:numPr>
              <w:ind w:left="340"/>
            </w:pPr>
          </w:p>
          <w:p w14:paraId="56857A75" w14:textId="07F7CBF4" w:rsidR="00807EC1" w:rsidRDefault="56B6EB6C" w:rsidP="00807EC1">
            <w:pPr>
              <w:pStyle w:val="DoEtablelist1bullet"/>
            </w:pPr>
            <w:r>
              <w:t xml:space="preserve">As a class, students </w:t>
            </w:r>
            <w:r w:rsidR="00C41394">
              <w:t>could</w:t>
            </w:r>
            <w:r>
              <w:t xml:space="preserve"> predict the cost of Lotto for an average year if they play once a week. Students are then to research the actual cost to play one game and work out the correct total. Compare total costs to student predictions.</w:t>
            </w:r>
            <w:r w:rsidR="3026F9C3">
              <w:t xml:space="preserve"> </w:t>
            </w:r>
            <w:r>
              <w:t>Discuss how playing</w:t>
            </w:r>
            <w:r w:rsidR="1B3E34E0">
              <w:t xml:space="preserve"> a simple game of Lotto would be considered gambling.</w:t>
            </w:r>
          </w:p>
          <w:p w14:paraId="4858079D" w14:textId="77777777" w:rsidR="00C41394" w:rsidRDefault="00C41394" w:rsidP="00C41394">
            <w:pPr>
              <w:pStyle w:val="DoEtablelist1bullet"/>
              <w:numPr>
                <w:ilvl w:val="0"/>
                <w:numId w:val="0"/>
              </w:numPr>
            </w:pPr>
          </w:p>
          <w:p w14:paraId="12F889BA" w14:textId="03B1C62E" w:rsidR="00D101C3" w:rsidRDefault="00C41394" w:rsidP="00C41394">
            <w:pPr>
              <w:pStyle w:val="DoEtablelist1bullet"/>
            </w:pPr>
            <w:r>
              <w:t xml:space="preserve">Teacher to introduce </w:t>
            </w:r>
            <w:r w:rsidRPr="00C41394">
              <w:t>students</w:t>
            </w:r>
            <w:r>
              <w:t xml:space="preserve"> to the </w:t>
            </w:r>
            <w:r w:rsidR="00D101C3">
              <w:t>Monty Hall problem</w:t>
            </w:r>
            <w:r>
              <w:t>. “</w:t>
            </w:r>
            <w:r>
              <w:rPr>
                <w:shd w:val="clear" w:color="auto" w:fill="FFFFFF"/>
              </w:rPr>
              <w:t>Suppose you're on a game show, and you're given the choice of three doors: Behind one door is a car; behind the others, goats. You pick a door, say No. 1, and the host, who knows what's behind the doors, opens another door, say No. 3, which has a goat. He then says to you, "Do you want to pick door No. 2?" Is it to your advantage to switch your choice?</w:t>
            </w:r>
            <w:r w:rsidR="00D101C3">
              <w:t xml:space="preserve"> </w:t>
            </w:r>
            <w:r>
              <w:t>“</w:t>
            </w:r>
          </w:p>
          <w:p w14:paraId="560C8CDB" w14:textId="49840B47" w:rsidR="00C41394" w:rsidRDefault="00C41394" w:rsidP="00C41394">
            <w:pPr>
              <w:pStyle w:val="DoEtablelist2bullet"/>
            </w:pPr>
            <w:r>
              <w:t xml:space="preserve">Students should play a few </w:t>
            </w:r>
            <w:r w:rsidR="00424FD2">
              <w:t xml:space="preserve">single </w:t>
            </w:r>
            <w:r>
              <w:t xml:space="preserve">rounds </w:t>
            </w:r>
            <w:r w:rsidR="00424FD2">
              <w:t xml:space="preserve">using the </w:t>
            </w:r>
            <w:hyperlink r:id="rId48" w:history="1">
              <w:r w:rsidR="00424FD2" w:rsidRPr="00424FD2">
                <w:rPr>
                  <w:rStyle w:val="Hyperlink"/>
                  <w:sz w:val="20"/>
                </w:rPr>
                <w:t>Monty Hall simulator</w:t>
              </w:r>
            </w:hyperlink>
            <w:r w:rsidR="00424FD2">
              <w:t xml:space="preserve"> </w:t>
            </w:r>
            <w:r>
              <w:t>to see how the problem works</w:t>
            </w:r>
            <w:r w:rsidR="00424FD2">
              <w:t xml:space="preserve"> before simulating multiple rounds </w:t>
            </w:r>
          </w:p>
          <w:p w14:paraId="69B188C5" w14:textId="431AB47A" w:rsidR="00424FD2" w:rsidRDefault="00424FD2" w:rsidP="00C41394">
            <w:pPr>
              <w:pStyle w:val="DoEtablelist2bullet"/>
            </w:pPr>
            <w:r>
              <w:t xml:space="preserve">Students can then watch this </w:t>
            </w:r>
            <w:r w:rsidR="003507E9">
              <w:t xml:space="preserve">Youtube video by </w:t>
            </w:r>
            <w:hyperlink r:id="rId49" w:history="1">
              <w:r w:rsidRPr="00424FD2">
                <w:rPr>
                  <w:rStyle w:val="Hyperlink"/>
                  <w:sz w:val="20"/>
                </w:rPr>
                <w:t>Numberphile</w:t>
              </w:r>
            </w:hyperlink>
            <w:r>
              <w:t xml:space="preserve"> for an explanation of why it is better to switch</w:t>
            </w:r>
          </w:p>
          <w:p w14:paraId="0BCDAE49" w14:textId="77777777" w:rsidR="007E1D1A" w:rsidRDefault="007E1D1A" w:rsidP="007E1D1A">
            <w:pPr>
              <w:pStyle w:val="DoEtablelist1bullet"/>
              <w:numPr>
                <w:ilvl w:val="0"/>
                <w:numId w:val="0"/>
              </w:numPr>
              <w:ind w:left="340" w:hanging="227"/>
            </w:pPr>
          </w:p>
          <w:p w14:paraId="5A4E2E42" w14:textId="5A920F76" w:rsidR="00D07B92" w:rsidRDefault="007E1D1A" w:rsidP="00424FD2">
            <w:pPr>
              <w:pStyle w:val="DoEtablelist1bullet"/>
            </w:pPr>
            <w:r w:rsidRPr="007E1D1A">
              <w:t>Students</w:t>
            </w:r>
            <w:r>
              <w:t xml:space="preserve"> to </w:t>
            </w:r>
            <w:r w:rsidRPr="00424FD2">
              <w:t>complete</w:t>
            </w:r>
            <w:r>
              <w:t xml:space="preserve"> the Myths and Misconceptions activity where they investigate the Gambler’s Fallacy</w:t>
            </w:r>
            <w:r w:rsidR="00424FD2">
              <w:t xml:space="preserve"> which </w:t>
            </w:r>
            <w:r w:rsidR="00424FD2">
              <w:rPr>
                <w:shd w:val="clear" w:color="auto" w:fill="FFFFFF"/>
              </w:rPr>
              <w:t>is the erroneous belief that if a particular event occurs more frequently than normal during the past it is less likely to happen in the future (or vice versa)</w:t>
            </w:r>
            <w:r>
              <w:t xml:space="preserve">. They can then verify their findings by watching </w:t>
            </w:r>
            <w:hyperlink r:id="rId50" w:history="1">
              <w:r w:rsidRPr="007E1D1A">
                <w:rPr>
                  <w:rStyle w:val="Hyperlink"/>
                  <w:sz w:val="20"/>
                </w:rPr>
                <w:t xml:space="preserve">The </w:t>
              </w:r>
              <w:r w:rsidR="00D07B92" w:rsidRPr="007E1D1A">
                <w:rPr>
                  <w:rStyle w:val="Hyperlink"/>
                  <w:sz w:val="20"/>
                </w:rPr>
                <w:t>Gambler’s Fallacy</w:t>
              </w:r>
            </w:hyperlink>
            <w:r w:rsidR="00D07B92">
              <w:t xml:space="preserve"> </w:t>
            </w:r>
            <w:r>
              <w:t xml:space="preserve">video </w:t>
            </w:r>
            <w:r>
              <w:br/>
            </w:r>
            <w:r>
              <w:rPr>
                <w:b/>
              </w:rPr>
              <w:t>Resource:</w:t>
            </w:r>
            <w:r>
              <w:t xml:space="preserve"> Myths-and-misconceptions.DOCX</w:t>
            </w:r>
          </w:p>
          <w:p w14:paraId="6AF79056" w14:textId="32860876" w:rsidR="00807EC1" w:rsidRDefault="00807EC1" w:rsidP="007E1D1A">
            <w:pPr>
              <w:pStyle w:val="DoEtablelist1bullet"/>
              <w:numPr>
                <w:ilvl w:val="0"/>
                <w:numId w:val="0"/>
              </w:numPr>
              <w:ind w:left="340" w:hanging="227"/>
            </w:pPr>
          </w:p>
        </w:tc>
        <w:tc>
          <w:tcPr>
            <w:tcW w:w="1311" w:type="pct"/>
          </w:tcPr>
          <w:p w14:paraId="2F8BB64B" w14:textId="77777777" w:rsidR="00DE3CB3" w:rsidRDefault="00DE3CB3" w:rsidP="00DE3CB3">
            <w:pPr>
              <w:pStyle w:val="DoEtabletext"/>
            </w:pPr>
          </w:p>
        </w:tc>
        <w:tc>
          <w:tcPr>
            <w:tcW w:w="388" w:type="pct"/>
          </w:tcPr>
          <w:p w14:paraId="1A796FA1" w14:textId="3AB43CC2" w:rsidR="00DE3CB3" w:rsidRDefault="00DE3CB3" w:rsidP="00DE3CB3">
            <w:pPr>
              <w:pStyle w:val="DoEtabletext"/>
            </w:pPr>
          </w:p>
        </w:tc>
      </w:tr>
    </w:tbl>
    <w:p w14:paraId="77DB6E0D" w14:textId="1E570E33" w:rsidR="795490D9" w:rsidRDefault="795490D9"/>
    <w:p w14:paraId="30F42B24" w14:textId="04DDBE05" w:rsidR="00CA3B54" w:rsidRDefault="00CA3B54" w:rsidP="00CA3B54">
      <w:pPr>
        <w:rPr>
          <w:lang w:eastAsia="zh-CN"/>
        </w:rPr>
      </w:pPr>
    </w:p>
    <w:p w14:paraId="56761BB0" w14:textId="7948C1AC" w:rsidR="000B5D44" w:rsidRDefault="000B5D44" w:rsidP="00752BAA">
      <w:pPr>
        <w:pStyle w:val="Heading3"/>
      </w:pPr>
      <w:r>
        <w:lastRenderedPageBreak/>
        <w:t>Evaluation</w:t>
      </w:r>
    </w:p>
    <w:tbl>
      <w:tblPr>
        <w:tblStyle w:val="TableGrid"/>
        <w:tblW w:w="0" w:type="auto"/>
        <w:tblLook w:val="04A0" w:firstRow="1" w:lastRow="0" w:firstColumn="1" w:lastColumn="0" w:noHBand="0" w:noVBand="1"/>
      </w:tblPr>
      <w:tblGrid>
        <w:gridCol w:w="14562"/>
      </w:tblGrid>
      <w:tr w:rsidR="000B5D44" w14:paraId="3E9F6218" w14:textId="77777777" w:rsidTr="795490D9">
        <w:trPr>
          <w:trHeight w:val="3587"/>
        </w:trPr>
        <w:tc>
          <w:tcPr>
            <w:tcW w:w="14562" w:type="dxa"/>
          </w:tcPr>
          <w:p w14:paraId="17089095" w14:textId="27ABB929" w:rsidR="000B5D44" w:rsidRDefault="000B5D44" w:rsidP="000B5D44">
            <w:pPr>
              <w:rPr>
                <w:lang w:eastAsia="zh-CN"/>
              </w:rPr>
            </w:pPr>
          </w:p>
        </w:tc>
      </w:tr>
    </w:tbl>
    <w:p w14:paraId="0D851CDC" w14:textId="77777777" w:rsidR="003507E9" w:rsidRDefault="003507E9" w:rsidP="003507E9">
      <w:pPr>
        <w:pStyle w:val="DoEreference2018"/>
      </w:pPr>
    </w:p>
    <w:p w14:paraId="6521D03C" w14:textId="020178D4" w:rsidR="005D409F" w:rsidRPr="00E722F1" w:rsidRDefault="005D409F" w:rsidP="005D409F">
      <w:pPr>
        <w:pStyle w:val="Heading3"/>
      </w:pPr>
      <w:r>
        <w:t xml:space="preserve">Glossary </w:t>
      </w:r>
    </w:p>
    <w:tbl>
      <w:tblPr>
        <w:tblStyle w:val="TableGrid"/>
        <w:tblW w:w="0" w:type="auto"/>
        <w:tblLook w:val="04A0" w:firstRow="1" w:lastRow="0" w:firstColumn="1" w:lastColumn="0" w:noHBand="0" w:noVBand="1"/>
      </w:tblPr>
      <w:tblGrid>
        <w:gridCol w:w="3256"/>
        <w:gridCol w:w="11306"/>
      </w:tblGrid>
      <w:tr w:rsidR="005D409F" w:rsidRPr="00E722F1" w14:paraId="69EFBC44" w14:textId="77777777" w:rsidTr="12A32D82">
        <w:tc>
          <w:tcPr>
            <w:tcW w:w="3256" w:type="dxa"/>
          </w:tcPr>
          <w:p w14:paraId="5D3E75F3" w14:textId="77777777" w:rsidR="005D409F" w:rsidRPr="00E722F1" w:rsidRDefault="005D409F" w:rsidP="005B54DD">
            <w:pPr>
              <w:pStyle w:val="DoETableHeading"/>
            </w:pPr>
            <w:r>
              <w:t>Term</w:t>
            </w:r>
          </w:p>
        </w:tc>
        <w:tc>
          <w:tcPr>
            <w:tcW w:w="11306" w:type="dxa"/>
          </w:tcPr>
          <w:p w14:paraId="403FC830" w14:textId="77777777" w:rsidR="005D409F" w:rsidRPr="00E722F1" w:rsidRDefault="005D409F" w:rsidP="005B54DD">
            <w:pPr>
              <w:pStyle w:val="DoETableHeading"/>
            </w:pPr>
            <w:r>
              <w:t>Description</w:t>
            </w:r>
          </w:p>
        </w:tc>
      </w:tr>
      <w:tr w:rsidR="000A23E3" w:rsidRPr="00FD4FCF" w14:paraId="4F35CC51" w14:textId="77777777" w:rsidTr="12A32D82">
        <w:tc>
          <w:tcPr>
            <w:tcW w:w="3256" w:type="dxa"/>
          </w:tcPr>
          <w:p w14:paraId="2D166CF2" w14:textId="32B33FA2" w:rsidR="000A23E3" w:rsidRPr="000A23E3" w:rsidRDefault="000A23E3" w:rsidP="000A23E3">
            <w:pPr>
              <w:pStyle w:val="DoEtabletext"/>
              <w:rPr>
                <w:rStyle w:val="Emphasis"/>
                <w:i w:val="0"/>
                <w:iCs w:val="0"/>
                <w:noProof w:val="0"/>
                <w:sz w:val="20"/>
              </w:rPr>
            </w:pPr>
            <w:r w:rsidRPr="000A23E3">
              <w:rPr>
                <w:rStyle w:val="Emphasis"/>
                <w:i w:val="0"/>
                <w:iCs w:val="0"/>
                <w:noProof w:val="0"/>
                <w:sz w:val="20"/>
              </w:rPr>
              <w:t>Bias</w:t>
            </w:r>
          </w:p>
        </w:tc>
        <w:tc>
          <w:tcPr>
            <w:tcW w:w="11306" w:type="dxa"/>
          </w:tcPr>
          <w:p w14:paraId="505E5D80" w14:textId="02DDFBE2" w:rsidR="000A23E3" w:rsidRPr="00D06032" w:rsidRDefault="000A23E3" w:rsidP="00D06032">
            <w:pPr>
              <w:pStyle w:val="DoEtabletext"/>
              <w:rPr>
                <w:rStyle w:val="Emphasis"/>
                <w:i w:val="0"/>
                <w:iCs w:val="0"/>
                <w:noProof w:val="0"/>
                <w:sz w:val="20"/>
              </w:rPr>
            </w:pPr>
            <w:r w:rsidRPr="00D06032">
              <w:t>Bias generally refers to a systematic favouring of certain outcomes more than others, due to unfair influence (knowingly or otherwise).</w:t>
            </w:r>
          </w:p>
        </w:tc>
      </w:tr>
      <w:tr w:rsidR="000A23E3" w14:paraId="2F824CB7" w14:textId="77777777" w:rsidTr="12A32D82">
        <w:tc>
          <w:tcPr>
            <w:tcW w:w="3256" w:type="dxa"/>
          </w:tcPr>
          <w:p w14:paraId="5DEC30F1" w14:textId="0E1783B7" w:rsidR="000A23E3" w:rsidRPr="000A23E3" w:rsidRDefault="000A23E3" w:rsidP="000A23E3">
            <w:pPr>
              <w:pStyle w:val="DoEtabletext"/>
            </w:pPr>
            <w:r w:rsidRPr="000A23E3">
              <w:t>Certain</w:t>
            </w:r>
          </w:p>
        </w:tc>
        <w:tc>
          <w:tcPr>
            <w:tcW w:w="11306" w:type="dxa"/>
          </w:tcPr>
          <w:p w14:paraId="491E6E82" w14:textId="0FB4C336" w:rsidR="000A23E3" w:rsidRPr="00D06032" w:rsidRDefault="00713C6B" w:rsidP="00D06032">
            <w:pPr>
              <w:pStyle w:val="DoEtabletext"/>
            </w:pPr>
            <w:r w:rsidRPr="00D06032">
              <w:t>Something with a probability of 1. It is sure to happen.</w:t>
            </w:r>
          </w:p>
        </w:tc>
      </w:tr>
      <w:tr w:rsidR="000A23E3" w14:paraId="589ECD46" w14:textId="77777777" w:rsidTr="12A32D82">
        <w:tc>
          <w:tcPr>
            <w:tcW w:w="3256" w:type="dxa"/>
          </w:tcPr>
          <w:p w14:paraId="6B4A633F" w14:textId="173C012B" w:rsidR="000A23E3" w:rsidRPr="00D06032" w:rsidRDefault="000A23E3" w:rsidP="00D06032">
            <w:pPr>
              <w:pStyle w:val="DoEtabletext"/>
            </w:pPr>
            <w:r w:rsidRPr="00D06032">
              <w:t>Chance</w:t>
            </w:r>
          </w:p>
        </w:tc>
        <w:tc>
          <w:tcPr>
            <w:tcW w:w="11306" w:type="dxa"/>
          </w:tcPr>
          <w:p w14:paraId="5B912483" w14:textId="7691BA8C" w:rsidR="000A23E3" w:rsidRPr="00D06032" w:rsidRDefault="00D06032" w:rsidP="00D06032">
            <w:pPr>
              <w:pStyle w:val="DoEtabletext"/>
            </w:pPr>
            <w:r w:rsidRPr="00D06032">
              <w:rPr>
                <w:rStyle w:val="Emphasis"/>
                <w:i w:val="0"/>
                <w:iCs w:val="0"/>
                <w:noProof w:val="0"/>
                <w:sz w:val="20"/>
              </w:rPr>
              <w:t>A possibility or probability</w:t>
            </w:r>
            <w:r>
              <w:rPr>
                <w:rStyle w:val="Emphasis"/>
                <w:i w:val="0"/>
                <w:iCs w:val="0"/>
                <w:noProof w:val="0"/>
                <w:sz w:val="20"/>
              </w:rPr>
              <w:t xml:space="preserve"> </w:t>
            </w:r>
            <w:r w:rsidRPr="00D06032">
              <w:rPr>
                <w:rStyle w:val="Emphasis"/>
                <w:i w:val="0"/>
                <w:iCs w:val="0"/>
                <w:noProof w:val="0"/>
                <w:sz w:val="20"/>
              </w:rPr>
              <w:t>of anything happening</w:t>
            </w:r>
          </w:p>
        </w:tc>
      </w:tr>
      <w:tr w:rsidR="000A23E3" w14:paraId="23F96EDF" w14:textId="77777777" w:rsidTr="12A32D82">
        <w:tc>
          <w:tcPr>
            <w:tcW w:w="3256" w:type="dxa"/>
          </w:tcPr>
          <w:p w14:paraId="268C6825" w14:textId="7B96336F" w:rsidR="000A23E3" w:rsidRPr="00D06032" w:rsidRDefault="000A23E3" w:rsidP="00D06032">
            <w:pPr>
              <w:pStyle w:val="DoEtabletext"/>
            </w:pPr>
            <w:r w:rsidRPr="00D06032">
              <w:t>Definite</w:t>
            </w:r>
          </w:p>
        </w:tc>
        <w:tc>
          <w:tcPr>
            <w:tcW w:w="11306" w:type="dxa"/>
          </w:tcPr>
          <w:p w14:paraId="34B12C66" w14:textId="6384648D" w:rsidR="000A23E3" w:rsidRPr="00D06032" w:rsidRDefault="00D06032" w:rsidP="00D06032">
            <w:pPr>
              <w:pStyle w:val="DoEtabletext"/>
            </w:pPr>
            <w:r w:rsidRPr="00D06032">
              <w:rPr>
                <w:rStyle w:val="Emphasis"/>
                <w:i w:val="0"/>
                <w:iCs w:val="0"/>
                <w:noProof w:val="0"/>
                <w:sz w:val="20"/>
              </w:rPr>
              <w:t>Positive, certain, sure</w:t>
            </w:r>
          </w:p>
        </w:tc>
      </w:tr>
      <w:tr w:rsidR="000A23E3" w14:paraId="2C0269B2" w14:textId="77777777" w:rsidTr="12A32D82">
        <w:tc>
          <w:tcPr>
            <w:tcW w:w="3256" w:type="dxa"/>
          </w:tcPr>
          <w:p w14:paraId="624CE8EF" w14:textId="437CE07E" w:rsidR="000A23E3" w:rsidRPr="000A23E3" w:rsidRDefault="000A23E3" w:rsidP="000A23E3">
            <w:pPr>
              <w:pStyle w:val="DoEtabletext"/>
            </w:pPr>
            <w:r w:rsidRPr="000A23E3">
              <w:t>Equal</w:t>
            </w:r>
          </w:p>
        </w:tc>
        <w:tc>
          <w:tcPr>
            <w:tcW w:w="11306" w:type="dxa"/>
          </w:tcPr>
          <w:p w14:paraId="660E7935" w14:textId="7775E317" w:rsidR="000A23E3" w:rsidRPr="00D06032" w:rsidRDefault="00713C6B" w:rsidP="00D06032">
            <w:pPr>
              <w:pStyle w:val="DoEtabletext"/>
            </w:pPr>
            <w:r w:rsidRPr="00D06032">
              <w:t>Exactly the same amount or value</w:t>
            </w:r>
          </w:p>
        </w:tc>
      </w:tr>
      <w:tr w:rsidR="000A23E3" w14:paraId="2851E093" w14:textId="77777777" w:rsidTr="12A32D82">
        <w:tc>
          <w:tcPr>
            <w:tcW w:w="3256" w:type="dxa"/>
          </w:tcPr>
          <w:p w14:paraId="3EE64D68" w14:textId="27E5B9F0" w:rsidR="000A23E3" w:rsidRPr="000A23E3" w:rsidRDefault="000A23E3" w:rsidP="000A23E3">
            <w:pPr>
              <w:pStyle w:val="DoEtabletext"/>
            </w:pPr>
            <w:r w:rsidRPr="000A23E3">
              <w:lastRenderedPageBreak/>
              <w:t>Experiment</w:t>
            </w:r>
          </w:p>
        </w:tc>
        <w:tc>
          <w:tcPr>
            <w:tcW w:w="11306" w:type="dxa"/>
          </w:tcPr>
          <w:p w14:paraId="66D8B6F1" w14:textId="331AECB4" w:rsidR="000A23E3" w:rsidRPr="00D06032" w:rsidRDefault="00713C6B" w:rsidP="00D06032">
            <w:pPr>
              <w:pStyle w:val="DoEtabletext"/>
            </w:pPr>
            <w:r w:rsidRPr="00D06032">
              <w:t>Something that can be repeated that has a set of possible results.</w:t>
            </w:r>
            <w:r w:rsidRPr="00D06032">
              <w:br/>
            </w:r>
            <w:r w:rsidRPr="00D06032">
              <w:br/>
              <w:t>Examples:</w:t>
            </w:r>
            <w:r w:rsidRPr="00D06032">
              <w:br/>
              <w:t>• Rolling dice to see what random numbers come up.</w:t>
            </w:r>
            <w:r w:rsidRPr="00D06032">
              <w:br/>
              <w:t>• Asking your friends what their favourite pet is and writing down the results.</w:t>
            </w:r>
          </w:p>
        </w:tc>
      </w:tr>
      <w:tr w:rsidR="000A23E3" w14:paraId="64AFC6C5" w14:textId="77777777" w:rsidTr="12A32D82">
        <w:tc>
          <w:tcPr>
            <w:tcW w:w="3256" w:type="dxa"/>
          </w:tcPr>
          <w:p w14:paraId="64EB78A1" w14:textId="69F79637" w:rsidR="000A23E3" w:rsidRPr="000A23E3" w:rsidRDefault="000A23E3" w:rsidP="000A23E3">
            <w:pPr>
              <w:pStyle w:val="DoEtabletext"/>
            </w:pPr>
            <w:r w:rsidRPr="000A23E3">
              <w:t>Frequency</w:t>
            </w:r>
          </w:p>
        </w:tc>
        <w:tc>
          <w:tcPr>
            <w:tcW w:w="11306" w:type="dxa"/>
          </w:tcPr>
          <w:p w14:paraId="27ED04CA" w14:textId="13C2CCAC" w:rsidR="000A23E3" w:rsidRPr="00D06032" w:rsidRDefault="00713C6B" w:rsidP="00D06032">
            <w:pPr>
              <w:pStyle w:val="DoEtabletext"/>
            </w:pPr>
            <w:r w:rsidRPr="00D06032">
              <w:t>Frequency, or observed frequency, is the number of times that a particular value occurs in a data set.</w:t>
            </w:r>
          </w:p>
        </w:tc>
      </w:tr>
      <w:tr w:rsidR="000A23E3" w14:paraId="73C8F0BF" w14:textId="77777777" w:rsidTr="12A32D82">
        <w:tc>
          <w:tcPr>
            <w:tcW w:w="3256" w:type="dxa"/>
          </w:tcPr>
          <w:p w14:paraId="1B1B0F82" w14:textId="28399667" w:rsidR="000A23E3" w:rsidRPr="000A23E3" w:rsidRDefault="000A23E3" w:rsidP="000A23E3">
            <w:pPr>
              <w:pStyle w:val="DoEtabletext"/>
            </w:pPr>
            <w:r w:rsidRPr="000A23E3">
              <w:t>Odds</w:t>
            </w:r>
          </w:p>
        </w:tc>
        <w:tc>
          <w:tcPr>
            <w:tcW w:w="11306" w:type="dxa"/>
          </w:tcPr>
          <w:p w14:paraId="5A1CB21F" w14:textId="4CE81C48" w:rsidR="000A23E3" w:rsidRPr="00D06032" w:rsidRDefault="00D06032" w:rsidP="00D06032">
            <w:pPr>
              <w:pStyle w:val="DoEtabletext"/>
            </w:pPr>
            <w:r w:rsidRPr="00D06032">
              <w:t>A ratio of the number of ways something can occur to the number of ways it cannot occur.</w:t>
            </w:r>
          </w:p>
        </w:tc>
      </w:tr>
      <w:tr w:rsidR="000A23E3" w14:paraId="4A61E3B7" w14:textId="77777777" w:rsidTr="12A32D82">
        <w:tc>
          <w:tcPr>
            <w:tcW w:w="3256" w:type="dxa"/>
          </w:tcPr>
          <w:p w14:paraId="32F67DD1" w14:textId="1A629186" w:rsidR="000A23E3" w:rsidRPr="000A23E3" w:rsidRDefault="000A23E3" w:rsidP="000A23E3">
            <w:pPr>
              <w:pStyle w:val="DoEtabletext"/>
            </w:pPr>
            <w:r w:rsidRPr="000A23E3">
              <w:t>Outcome</w:t>
            </w:r>
          </w:p>
        </w:tc>
        <w:tc>
          <w:tcPr>
            <w:tcW w:w="11306" w:type="dxa"/>
          </w:tcPr>
          <w:p w14:paraId="31EF46E1" w14:textId="52757455" w:rsidR="000A23E3" w:rsidRPr="00D06032" w:rsidRDefault="000A23E3" w:rsidP="00D06032">
            <w:pPr>
              <w:pStyle w:val="DoEtabletext"/>
            </w:pPr>
            <w:r w:rsidRPr="00D06032">
              <w:t>An outcome is a single possible result from a chance experiment.</w:t>
            </w:r>
          </w:p>
        </w:tc>
      </w:tr>
      <w:tr w:rsidR="000A23E3" w14:paraId="568FB159" w14:textId="77777777" w:rsidTr="12A32D82">
        <w:tc>
          <w:tcPr>
            <w:tcW w:w="3256" w:type="dxa"/>
          </w:tcPr>
          <w:p w14:paraId="57D2D753" w14:textId="0BA195FC" w:rsidR="000A23E3" w:rsidRPr="000A23E3" w:rsidRDefault="000A23E3" w:rsidP="000A23E3">
            <w:pPr>
              <w:pStyle w:val="DoEtabletext"/>
            </w:pPr>
            <w:r w:rsidRPr="000A23E3">
              <w:t>Percentage</w:t>
            </w:r>
          </w:p>
        </w:tc>
        <w:tc>
          <w:tcPr>
            <w:tcW w:w="11306" w:type="dxa"/>
          </w:tcPr>
          <w:p w14:paraId="689032B7" w14:textId="69900362" w:rsidR="000A23E3" w:rsidRPr="00D06032" w:rsidRDefault="00713C6B" w:rsidP="00D06032">
            <w:pPr>
              <w:pStyle w:val="DoEtabletext"/>
            </w:pPr>
            <w:r w:rsidRPr="00D06032">
              <w:t>A percentage is a fraction whose denominator is 100.</w:t>
            </w:r>
          </w:p>
        </w:tc>
      </w:tr>
      <w:tr w:rsidR="000A23E3" w14:paraId="174DF1C0" w14:textId="77777777" w:rsidTr="12A32D82">
        <w:tc>
          <w:tcPr>
            <w:tcW w:w="3256" w:type="dxa"/>
          </w:tcPr>
          <w:p w14:paraId="756B5E6A" w14:textId="34D1DEF4" w:rsidR="000A23E3" w:rsidRPr="000A23E3" w:rsidRDefault="000A23E3" w:rsidP="000A23E3">
            <w:pPr>
              <w:pStyle w:val="DoEtabletext"/>
            </w:pPr>
            <w:r w:rsidRPr="000A23E3">
              <w:t>Predict</w:t>
            </w:r>
          </w:p>
        </w:tc>
        <w:tc>
          <w:tcPr>
            <w:tcW w:w="11306" w:type="dxa"/>
          </w:tcPr>
          <w:p w14:paraId="2935ED05" w14:textId="7DAB88DB" w:rsidR="000A23E3" w:rsidRPr="00D06032" w:rsidRDefault="000A23E3" w:rsidP="00D06032">
            <w:pPr>
              <w:pStyle w:val="DoEtabletext"/>
            </w:pPr>
            <w:r w:rsidRPr="00D06032">
              <w:t>To make a guess based upon the facts you have been given.</w:t>
            </w:r>
          </w:p>
        </w:tc>
      </w:tr>
      <w:tr w:rsidR="000A23E3" w14:paraId="282EB19C" w14:textId="77777777" w:rsidTr="12A32D82">
        <w:tc>
          <w:tcPr>
            <w:tcW w:w="3256" w:type="dxa"/>
          </w:tcPr>
          <w:p w14:paraId="13805AD6" w14:textId="655C0364" w:rsidR="000A23E3" w:rsidRPr="000A23E3" w:rsidRDefault="000A23E3" w:rsidP="000A23E3">
            <w:pPr>
              <w:pStyle w:val="DoEtabletext"/>
            </w:pPr>
            <w:r w:rsidRPr="000A23E3">
              <w:t>Probability</w:t>
            </w:r>
          </w:p>
        </w:tc>
        <w:tc>
          <w:tcPr>
            <w:tcW w:w="11306" w:type="dxa"/>
          </w:tcPr>
          <w:p w14:paraId="753EC2C5" w14:textId="5B79050C" w:rsidR="000A23E3" w:rsidRPr="00D06032" w:rsidRDefault="00713C6B" w:rsidP="00D06032">
            <w:pPr>
              <w:pStyle w:val="DoEtabletext"/>
            </w:pPr>
            <w:r w:rsidRPr="00D06032">
              <w:t>The probability of an event is a number between 0 and 1 that indicates the chance of something happening.</w:t>
            </w:r>
          </w:p>
        </w:tc>
      </w:tr>
      <w:tr w:rsidR="000A23E3" w14:paraId="1CBC8F12" w14:textId="77777777" w:rsidTr="12A32D82">
        <w:tc>
          <w:tcPr>
            <w:tcW w:w="3256" w:type="dxa"/>
          </w:tcPr>
          <w:p w14:paraId="7698811F" w14:textId="55CC30B0" w:rsidR="000A23E3" w:rsidRPr="000A23E3" w:rsidRDefault="000A23E3" w:rsidP="000A23E3">
            <w:pPr>
              <w:pStyle w:val="DoEtabletext"/>
            </w:pPr>
            <w:r w:rsidRPr="000A23E3">
              <w:t>Random</w:t>
            </w:r>
          </w:p>
        </w:tc>
        <w:tc>
          <w:tcPr>
            <w:tcW w:w="11306" w:type="dxa"/>
          </w:tcPr>
          <w:p w14:paraId="2E4B4578" w14:textId="34B5AD19" w:rsidR="000A23E3" w:rsidRPr="00D06032" w:rsidRDefault="00D06032" w:rsidP="00D06032">
            <w:pPr>
              <w:pStyle w:val="DoEtabletext"/>
            </w:pPr>
            <w:r w:rsidRPr="00D06032">
              <w:t>Happening by chance. Not able to be predicted.</w:t>
            </w:r>
          </w:p>
        </w:tc>
      </w:tr>
      <w:tr w:rsidR="000A23E3" w14:paraId="792C7872" w14:textId="77777777" w:rsidTr="12A32D82">
        <w:tc>
          <w:tcPr>
            <w:tcW w:w="3256" w:type="dxa"/>
          </w:tcPr>
          <w:p w14:paraId="5C5DD561" w14:textId="43612130" w:rsidR="000A23E3" w:rsidRPr="000A23E3" w:rsidRDefault="000A23E3" w:rsidP="000A23E3">
            <w:pPr>
              <w:pStyle w:val="DoEtabletext"/>
            </w:pPr>
            <w:r w:rsidRPr="000A23E3">
              <w:t>Ratio</w:t>
            </w:r>
          </w:p>
        </w:tc>
        <w:tc>
          <w:tcPr>
            <w:tcW w:w="11306" w:type="dxa"/>
          </w:tcPr>
          <w:p w14:paraId="34100C1A" w14:textId="31DE6D82" w:rsidR="000A23E3" w:rsidRPr="00D06032" w:rsidRDefault="000A23E3" w:rsidP="00D06032">
            <w:pPr>
              <w:pStyle w:val="DoEtabletext"/>
            </w:pPr>
            <w:r w:rsidRPr="00D06032">
              <w:t xml:space="preserve">A ratio is a quotient or proportion of two numbers, magnitudes or algebraic expressions. It is often used as a measure of the relative size of two objects. </w:t>
            </w:r>
          </w:p>
        </w:tc>
      </w:tr>
    </w:tbl>
    <w:p w14:paraId="34C5DA01" w14:textId="77777777" w:rsidR="005D409F" w:rsidRDefault="005D409F" w:rsidP="005D409F"/>
    <w:p w14:paraId="49CF87C1" w14:textId="7F540CA5" w:rsidR="00752BAA" w:rsidRDefault="00752BAA" w:rsidP="00752BAA">
      <w:pPr>
        <w:pStyle w:val="Heading3"/>
      </w:pPr>
      <w:r>
        <w:t>Supplementary resources</w:t>
      </w:r>
    </w:p>
    <w:p w14:paraId="6CE11941" w14:textId="62CF5BB0" w:rsidR="0022485F" w:rsidRDefault="000941BA" w:rsidP="002E4A9B">
      <w:pPr>
        <w:pStyle w:val="DoEtablelist1bullet"/>
      </w:pPr>
      <w:hyperlink r:id="rId51" w:history="1">
        <w:r w:rsidR="002E4A9B" w:rsidRPr="002E4A9B">
          <w:rPr>
            <w:rStyle w:val="Hyperlink"/>
            <w:sz w:val="20"/>
          </w:rPr>
          <w:t>Fractions, Pikelets and Lamingtons</w:t>
        </w:r>
      </w:hyperlink>
      <w:r w:rsidR="002E4A9B">
        <w:t xml:space="preserve"> – a PDF booklet created by the NSW Department of Education that contains activities for students to develop their conceptional understanding of fractions.</w:t>
      </w:r>
    </w:p>
    <w:p w14:paraId="47FD695F" w14:textId="624BFC2A" w:rsidR="00C34B16" w:rsidRDefault="000941BA" w:rsidP="002E4A9B">
      <w:pPr>
        <w:pStyle w:val="DoEtablelist1bullet"/>
      </w:pPr>
      <w:hyperlink r:id="rId52" w:history="1">
        <w:r w:rsidR="00C34B16" w:rsidRPr="00C34B16">
          <w:rPr>
            <w:rStyle w:val="Hyperlink"/>
            <w:sz w:val="20"/>
          </w:rPr>
          <w:t>Tangrams 2: investigating fractions</w:t>
        </w:r>
      </w:hyperlink>
      <w:r w:rsidR="00C34B16">
        <w:t xml:space="preserve"> – a 3</w:t>
      </w:r>
      <w:r w:rsidR="00772170">
        <w:t>-</w:t>
      </w:r>
      <w:r w:rsidR="00C34B16">
        <w:t>part video outlining how tangrams can be used to investigate fractions. This resource was created by the NSW Mathematics Strategy.</w:t>
      </w:r>
    </w:p>
    <w:sectPr w:rsidR="00C34B16" w:rsidSect="00CA3B54">
      <w:headerReference w:type="even" r:id="rId53"/>
      <w:headerReference w:type="default" r:id="rId54"/>
      <w:footerReference w:type="even" r:id="rId55"/>
      <w:footerReference w:type="default" r:id="rId56"/>
      <w:headerReference w:type="first" r:id="rId57"/>
      <w:footerReference w:type="first" r:id="rId58"/>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D68B6" w14:textId="77777777" w:rsidR="00D90680" w:rsidRDefault="00D90680">
      <w:r>
        <w:separator/>
      </w:r>
    </w:p>
    <w:p w14:paraId="2B86ED21" w14:textId="77777777" w:rsidR="00D90680" w:rsidRDefault="00D90680"/>
  </w:endnote>
  <w:endnote w:type="continuationSeparator" w:id="0">
    <w:p w14:paraId="2DC617B2" w14:textId="77777777" w:rsidR="00D90680" w:rsidRDefault="00D90680">
      <w:r>
        <w:continuationSeparator/>
      </w:r>
    </w:p>
    <w:p w14:paraId="2387C987" w14:textId="77777777" w:rsidR="00D90680" w:rsidRDefault="00D90680"/>
  </w:endnote>
  <w:endnote w:type="continuationNotice" w:id="1">
    <w:p w14:paraId="793B7B25" w14:textId="77777777" w:rsidR="00D90680" w:rsidRDefault="00D9068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040DE2DB" w:rsidR="00D90680" w:rsidRPr="004D333E" w:rsidRDefault="00D90680" w:rsidP="004D333E">
    <w:pPr>
      <w:pStyle w:val="Footer"/>
    </w:pPr>
    <w:r w:rsidRPr="002810D3">
      <w:fldChar w:fldCharType="begin"/>
    </w:r>
    <w:r w:rsidRPr="002810D3">
      <w:instrText xml:space="preserve"> PAGE </w:instrText>
    </w:r>
    <w:r w:rsidRPr="002810D3">
      <w:fldChar w:fldCharType="separate"/>
    </w:r>
    <w:r w:rsidR="000941BA">
      <w:rPr>
        <w:noProof/>
      </w:rPr>
      <w:t>2</w:t>
    </w:r>
    <w:r w:rsidRPr="002810D3">
      <w:fldChar w:fldCharType="end"/>
    </w:r>
    <w:r>
      <w:ptab w:relativeTo="margin" w:alignment="right" w:leader="none"/>
    </w:r>
    <w:r>
      <w:t>S2 Probability unit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4B5D01C9" w:rsidR="00D90680" w:rsidRPr="004D333E" w:rsidRDefault="00D9068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34CBD">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0941B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D90680" w:rsidRDefault="00D90680" w:rsidP="00493120">
    <w:pPr>
      <w:pStyle w:val="Logo"/>
    </w:pPr>
    <w:r w:rsidRPr="4231CF6F">
      <w:rPr>
        <w:sz w:val="24"/>
        <w:szCs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F5A2" w14:textId="77777777" w:rsidR="00D90680" w:rsidRDefault="00D90680">
      <w:r>
        <w:separator/>
      </w:r>
    </w:p>
    <w:p w14:paraId="29D84FD9" w14:textId="77777777" w:rsidR="00D90680" w:rsidRDefault="00D90680"/>
  </w:footnote>
  <w:footnote w:type="continuationSeparator" w:id="0">
    <w:p w14:paraId="32E75A5E" w14:textId="77777777" w:rsidR="00D90680" w:rsidRDefault="00D90680">
      <w:r>
        <w:continuationSeparator/>
      </w:r>
    </w:p>
    <w:p w14:paraId="708292D9" w14:textId="77777777" w:rsidR="00D90680" w:rsidRDefault="00D90680"/>
  </w:footnote>
  <w:footnote w:type="continuationNotice" w:id="1">
    <w:p w14:paraId="6730F79A" w14:textId="77777777" w:rsidR="00D90680" w:rsidRDefault="00D9068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27CB" w14:textId="77777777" w:rsidR="000941BA" w:rsidRDefault="00094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47DC" w14:textId="77777777" w:rsidR="000941BA" w:rsidRDefault="00094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D90680" w:rsidRDefault="00D9068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3" w15:restartNumberingAfterBreak="0">
    <w:nsid w:val="3A213682"/>
    <w:multiLevelType w:val="hybridMultilevel"/>
    <w:tmpl w:val="B12A3D90"/>
    <w:lvl w:ilvl="0" w:tplc="205A8EFC">
      <w:start w:val="1"/>
      <w:numFmt w:val="bullet"/>
      <w:lvlText w:val=""/>
      <w:lvlJc w:val="left"/>
      <w:pPr>
        <w:ind w:left="720" w:hanging="360"/>
      </w:pPr>
      <w:rPr>
        <w:rFonts w:ascii="Symbol" w:hAnsi="Symbol" w:hint="default"/>
      </w:rPr>
    </w:lvl>
    <w:lvl w:ilvl="1" w:tplc="D932071C">
      <w:start w:val="1"/>
      <w:numFmt w:val="bullet"/>
      <w:lvlText w:val="o"/>
      <w:lvlJc w:val="left"/>
      <w:pPr>
        <w:ind w:left="1440" w:hanging="360"/>
      </w:pPr>
      <w:rPr>
        <w:rFonts w:ascii="Courier New" w:hAnsi="Courier New" w:hint="default"/>
      </w:rPr>
    </w:lvl>
    <w:lvl w:ilvl="2" w:tplc="2424E370">
      <w:start w:val="1"/>
      <w:numFmt w:val="bullet"/>
      <w:lvlText w:val=""/>
      <w:lvlJc w:val="left"/>
      <w:pPr>
        <w:ind w:left="2160" w:hanging="360"/>
      </w:pPr>
      <w:rPr>
        <w:rFonts w:ascii="Wingdings" w:hAnsi="Wingdings" w:hint="default"/>
      </w:rPr>
    </w:lvl>
    <w:lvl w:ilvl="3" w:tplc="DC50A552">
      <w:start w:val="1"/>
      <w:numFmt w:val="bullet"/>
      <w:lvlText w:val=""/>
      <w:lvlJc w:val="left"/>
      <w:pPr>
        <w:ind w:left="2880" w:hanging="360"/>
      </w:pPr>
      <w:rPr>
        <w:rFonts w:ascii="Symbol" w:hAnsi="Symbol" w:hint="default"/>
      </w:rPr>
    </w:lvl>
    <w:lvl w:ilvl="4" w:tplc="C5F01728">
      <w:start w:val="1"/>
      <w:numFmt w:val="bullet"/>
      <w:lvlText w:val="o"/>
      <w:lvlJc w:val="left"/>
      <w:pPr>
        <w:ind w:left="3600" w:hanging="360"/>
      </w:pPr>
      <w:rPr>
        <w:rFonts w:ascii="Courier New" w:hAnsi="Courier New" w:hint="default"/>
      </w:rPr>
    </w:lvl>
    <w:lvl w:ilvl="5" w:tplc="9D569418">
      <w:start w:val="1"/>
      <w:numFmt w:val="bullet"/>
      <w:lvlText w:val=""/>
      <w:lvlJc w:val="left"/>
      <w:pPr>
        <w:ind w:left="4320" w:hanging="360"/>
      </w:pPr>
      <w:rPr>
        <w:rFonts w:ascii="Wingdings" w:hAnsi="Wingdings" w:hint="default"/>
      </w:rPr>
    </w:lvl>
    <w:lvl w:ilvl="6" w:tplc="EBAA6E8E">
      <w:start w:val="1"/>
      <w:numFmt w:val="bullet"/>
      <w:lvlText w:val=""/>
      <w:lvlJc w:val="left"/>
      <w:pPr>
        <w:ind w:left="5040" w:hanging="360"/>
      </w:pPr>
      <w:rPr>
        <w:rFonts w:ascii="Symbol" w:hAnsi="Symbol" w:hint="default"/>
      </w:rPr>
    </w:lvl>
    <w:lvl w:ilvl="7" w:tplc="A8B84A04">
      <w:start w:val="1"/>
      <w:numFmt w:val="bullet"/>
      <w:lvlText w:val="o"/>
      <w:lvlJc w:val="left"/>
      <w:pPr>
        <w:ind w:left="5760" w:hanging="360"/>
      </w:pPr>
      <w:rPr>
        <w:rFonts w:ascii="Courier New" w:hAnsi="Courier New" w:hint="default"/>
      </w:rPr>
    </w:lvl>
    <w:lvl w:ilvl="8" w:tplc="F176C294">
      <w:start w:val="1"/>
      <w:numFmt w:val="bullet"/>
      <w:lvlText w:val=""/>
      <w:lvlJc w:val="left"/>
      <w:pPr>
        <w:ind w:left="6480" w:hanging="360"/>
      </w:pPr>
      <w:rPr>
        <w:rFonts w:ascii="Wingdings" w:hAnsi="Wingding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16" w15:restartNumberingAfterBreak="0">
    <w:nsid w:val="54545CDA"/>
    <w:multiLevelType w:val="hybridMultilevel"/>
    <w:tmpl w:val="46523A78"/>
    <w:lvl w:ilvl="0" w:tplc="6A2EECAA">
      <w:start w:val="1"/>
      <w:numFmt w:val="bullet"/>
      <w:pStyle w:val="DoEtablelist1bullet"/>
      <w:lvlText w:val=""/>
      <w:lvlJc w:val="left"/>
      <w:pPr>
        <w:ind w:left="833" w:hanging="360"/>
      </w:pPr>
      <w:rPr>
        <w:rFonts w:ascii="Symbol" w:hAnsi="Symbol" w:hint="default"/>
        <w:sz w:val="20"/>
        <w:szCs w:val="2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93FA66C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2F29FB"/>
    <w:multiLevelType w:val="hybridMultilevel"/>
    <w:tmpl w:val="88FA859A"/>
    <w:lvl w:ilvl="0" w:tplc="CC16EB4A">
      <w:start w:val="1"/>
      <w:numFmt w:val="bullet"/>
      <w:pStyle w:val="DoEtablelist2bullet"/>
      <w:lvlText w:val="o"/>
      <w:lvlJc w:val="left"/>
      <w:pPr>
        <w:ind w:left="1032" w:hanging="360"/>
      </w:pPr>
      <w:rPr>
        <w:rFonts w:ascii="Courier New" w:hAnsi="Courier New" w:cs="Courier New"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FA122A4"/>
    <w:multiLevelType w:val="hybridMultilevel"/>
    <w:tmpl w:val="5F6E6CD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8"/>
  </w:num>
  <w:num w:numId="2">
    <w:abstractNumId w:val="14"/>
  </w:num>
  <w:num w:numId="3">
    <w:abstractNumId w:val="20"/>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8"/>
  </w:num>
  <w:num w:numId="32">
    <w:abstractNumId w:val="25"/>
  </w:num>
  <w:num w:numId="33">
    <w:abstractNumId w:val="20"/>
  </w:num>
  <w:num w:numId="34">
    <w:abstractNumId w:val="22"/>
  </w:num>
  <w:num w:numId="35">
    <w:abstractNumId w:val="16"/>
  </w:num>
  <w:num w:numId="36">
    <w:abstractNumId w:val="12"/>
  </w:num>
  <w:num w:numId="37">
    <w:abstractNumId w:val="24"/>
  </w:num>
  <w:num w:numId="38">
    <w:abstractNumId w:val="15"/>
  </w:num>
  <w:num w:numId="39">
    <w:abstractNumId w:val="13"/>
  </w:num>
  <w:num w:numId="4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defaultTabStop w:val="720"/>
  <w:evenAndOddHeaders/>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DY2NTK1MDA0NTRX0lEKTi0uzszPAykwrAUAcBVX+i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2EEA"/>
    <w:rsid w:val="00043FA0"/>
    <w:rsid w:val="00044C5D"/>
    <w:rsid w:val="00044D23"/>
    <w:rsid w:val="00045020"/>
    <w:rsid w:val="000462DC"/>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479"/>
    <w:rsid w:val="00065A16"/>
    <w:rsid w:val="00066227"/>
    <w:rsid w:val="00071D06"/>
    <w:rsid w:val="0007214A"/>
    <w:rsid w:val="00072861"/>
    <w:rsid w:val="00072B6E"/>
    <w:rsid w:val="00072DFB"/>
    <w:rsid w:val="00075B4E"/>
    <w:rsid w:val="0007662A"/>
    <w:rsid w:val="00077A7C"/>
    <w:rsid w:val="00082E53"/>
    <w:rsid w:val="000844F9"/>
    <w:rsid w:val="00084830"/>
    <w:rsid w:val="0008606A"/>
    <w:rsid w:val="00086656"/>
    <w:rsid w:val="00086D87"/>
    <w:rsid w:val="000872D6"/>
    <w:rsid w:val="00090628"/>
    <w:rsid w:val="00091650"/>
    <w:rsid w:val="00091B63"/>
    <w:rsid w:val="000941BA"/>
    <w:rsid w:val="0009452F"/>
    <w:rsid w:val="00096701"/>
    <w:rsid w:val="000A0C05"/>
    <w:rsid w:val="000A23E3"/>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3DE4"/>
    <w:rsid w:val="000D48A8"/>
    <w:rsid w:val="000D4B5A"/>
    <w:rsid w:val="000D55B1"/>
    <w:rsid w:val="000D64D8"/>
    <w:rsid w:val="000D7D01"/>
    <w:rsid w:val="000E3C1C"/>
    <w:rsid w:val="000E41B7"/>
    <w:rsid w:val="000E6BA0"/>
    <w:rsid w:val="000F174A"/>
    <w:rsid w:val="000F5523"/>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0CB"/>
    <w:rsid w:val="00113763"/>
    <w:rsid w:val="00114B7D"/>
    <w:rsid w:val="001177C4"/>
    <w:rsid w:val="00117B7D"/>
    <w:rsid w:val="00117FF3"/>
    <w:rsid w:val="0012093E"/>
    <w:rsid w:val="00120B97"/>
    <w:rsid w:val="00121272"/>
    <w:rsid w:val="00125C6C"/>
    <w:rsid w:val="00127648"/>
    <w:rsid w:val="0013032B"/>
    <w:rsid w:val="001305EA"/>
    <w:rsid w:val="001328FA"/>
    <w:rsid w:val="0013419A"/>
    <w:rsid w:val="00134700"/>
    <w:rsid w:val="00134E23"/>
    <w:rsid w:val="00135E80"/>
    <w:rsid w:val="00137E28"/>
    <w:rsid w:val="00140753"/>
    <w:rsid w:val="0014239C"/>
    <w:rsid w:val="00142865"/>
    <w:rsid w:val="00143921"/>
    <w:rsid w:val="00146F04"/>
    <w:rsid w:val="00150EBC"/>
    <w:rsid w:val="001520B0"/>
    <w:rsid w:val="00152A04"/>
    <w:rsid w:val="00152A40"/>
    <w:rsid w:val="0015446A"/>
    <w:rsid w:val="0015487C"/>
    <w:rsid w:val="00154AF9"/>
    <w:rsid w:val="00155144"/>
    <w:rsid w:val="0015712E"/>
    <w:rsid w:val="00161B0D"/>
    <w:rsid w:val="00162855"/>
    <w:rsid w:val="00162C3A"/>
    <w:rsid w:val="00165FF0"/>
    <w:rsid w:val="0017075C"/>
    <w:rsid w:val="00170CB5"/>
    <w:rsid w:val="00171601"/>
    <w:rsid w:val="00173DC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D00"/>
    <w:rsid w:val="0019600C"/>
    <w:rsid w:val="00196CF1"/>
    <w:rsid w:val="00197B41"/>
    <w:rsid w:val="001A03EA"/>
    <w:rsid w:val="001A0B8D"/>
    <w:rsid w:val="001A3627"/>
    <w:rsid w:val="001B1A15"/>
    <w:rsid w:val="001B3065"/>
    <w:rsid w:val="001B33C0"/>
    <w:rsid w:val="001B3D4E"/>
    <w:rsid w:val="001B4A46"/>
    <w:rsid w:val="001B5E34"/>
    <w:rsid w:val="001B6B22"/>
    <w:rsid w:val="001C2997"/>
    <w:rsid w:val="001C4DB7"/>
    <w:rsid w:val="001C63EE"/>
    <w:rsid w:val="001C6C9B"/>
    <w:rsid w:val="001D10B2"/>
    <w:rsid w:val="001D3092"/>
    <w:rsid w:val="001D4CD1"/>
    <w:rsid w:val="001D66C2"/>
    <w:rsid w:val="001E0FFC"/>
    <w:rsid w:val="001E1F93"/>
    <w:rsid w:val="001E22EA"/>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89D"/>
    <w:rsid w:val="002136B3"/>
    <w:rsid w:val="00216957"/>
    <w:rsid w:val="00217731"/>
    <w:rsid w:val="00217AE6"/>
    <w:rsid w:val="00221777"/>
    <w:rsid w:val="00221998"/>
    <w:rsid w:val="00221E1A"/>
    <w:rsid w:val="002228E3"/>
    <w:rsid w:val="00224261"/>
    <w:rsid w:val="0022485F"/>
    <w:rsid w:val="00224B16"/>
    <w:rsid w:val="00224C6E"/>
    <w:rsid w:val="00224D61"/>
    <w:rsid w:val="002265BD"/>
    <w:rsid w:val="002270CC"/>
    <w:rsid w:val="00227421"/>
    <w:rsid w:val="00227894"/>
    <w:rsid w:val="0022791F"/>
    <w:rsid w:val="00230DAD"/>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4B"/>
    <w:rsid w:val="00247FF0"/>
    <w:rsid w:val="00250C2E"/>
    <w:rsid w:val="00250F4A"/>
    <w:rsid w:val="00251349"/>
    <w:rsid w:val="00253532"/>
    <w:rsid w:val="002540D3"/>
    <w:rsid w:val="00254B2A"/>
    <w:rsid w:val="002556DB"/>
    <w:rsid w:val="00256D4F"/>
    <w:rsid w:val="00260EE8"/>
    <w:rsid w:val="00260F28"/>
    <w:rsid w:val="0026131D"/>
    <w:rsid w:val="00263542"/>
    <w:rsid w:val="00266530"/>
    <w:rsid w:val="00266738"/>
    <w:rsid w:val="00266D0C"/>
    <w:rsid w:val="00273F94"/>
    <w:rsid w:val="002760B7"/>
    <w:rsid w:val="002801AB"/>
    <w:rsid w:val="002810D3"/>
    <w:rsid w:val="00282B86"/>
    <w:rsid w:val="002847AE"/>
    <w:rsid w:val="00286A31"/>
    <w:rsid w:val="002870F2"/>
    <w:rsid w:val="00287650"/>
    <w:rsid w:val="0028776A"/>
    <w:rsid w:val="0029008E"/>
    <w:rsid w:val="00290154"/>
    <w:rsid w:val="00291316"/>
    <w:rsid w:val="00294F88"/>
    <w:rsid w:val="00294FCC"/>
    <w:rsid w:val="00295516"/>
    <w:rsid w:val="002A0FFE"/>
    <w:rsid w:val="002A10A1"/>
    <w:rsid w:val="002A3161"/>
    <w:rsid w:val="002A3410"/>
    <w:rsid w:val="002A44D1"/>
    <w:rsid w:val="002A4631"/>
    <w:rsid w:val="002A5BA6"/>
    <w:rsid w:val="002A6EA6"/>
    <w:rsid w:val="002B0F21"/>
    <w:rsid w:val="002B108B"/>
    <w:rsid w:val="002B12DE"/>
    <w:rsid w:val="002B270D"/>
    <w:rsid w:val="002B3375"/>
    <w:rsid w:val="002B4745"/>
    <w:rsid w:val="002B480D"/>
    <w:rsid w:val="002B4845"/>
    <w:rsid w:val="002B4AC3"/>
    <w:rsid w:val="002B6DEE"/>
    <w:rsid w:val="002B76B4"/>
    <w:rsid w:val="002B7744"/>
    <w:rsid w:val="002C05AC"/>
    <w:rsid w:val="002C1F2C"/>
    <w:rsid w:val="002C3953"/>
    <w:rsid w:val="002C56A0"/>
    <w:rsid w:val="002C7496"/>
    <w:rsid w:val="002D12FF"/>
    <w:rsid w:val="002D21A5"/>
    <w:rsid w:val="002D4413"/>
    <w:rsid w:val="002D6E18"/>
    <w:rsid w:val="002D7247"/>
    <w:rsid w:val="002E23E3"/>
    <w:rsid w:val="002E26F3"/>
    <w:rsid w:val="002E34CB"/>
    <w:rsid w:val="002E4059"/>
    <w:rsid w:val="002E4A9B"/>
    <w:rsid w:val="002E4D5B"/>
    <w:rsid w:val="002E5474"/>
    <w:rsid w:val="002E5699"/>
    <w:rsid w:val="002E5832"/>
    <w:rsid w:val="002E633F"/>
    <w:rsid w:val="002E7383"/>
    <w:rsid w:val="002F0BF7"/>
    <w:rsid w:val="002F0D60"/>
    <w:rsid w:val="002F104E"/>
    <w:rsid w:val="002F1BD9"/>
    <w:rsid w:val="002F3A6D"/>
    <w:rsid w:val="002F749C"/>
    <w:rsid w:val="00303813"/>
    <w:rsid w:val="00304179"/>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B45"/>
    <w:rsid w:val="0032403E"/>
    <w:rsid w:val="00324D73"/>
    <w:rsid w:val="00325B7B"/>
    <w:rsid w:val="00327F6A"/>
    <w:rsid w:val="0033147A"/>
    <w:rsid w:val="0033193C"/>
    <w:rsid w:val="00332B30"/>
    <w:rsid w:val="00332D9B"/>
    <w:rsid w:val="00334CBD"/>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07E9"/>
    <w:rsid w:val="00352686"/>
    <w:rsid w:val="003534AD"/>
    <w:rsid w:val="00357136"/>
    <w:rsid w:val="003576EB"/>
    <w:rsid w:val="00360C67"/>
    <w:rsid w:val="00360E65"/>
    <w:rsid w:val="00362DCB"/>
    <w:rsid w:val="0036308C"/>
    <w:rsid w:val="00363698"/>
    <w:rsid w:val="00363E8F"/>
    <w:rsid w:val="0036434A"/>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97B7D"/>
    <w:rsid w:val="003A01C8"/>
    <w:rsid w:val="003A1238"/>
    <w:rsid w:val="003A1937"/>
    <w:rsid w:val="003A2791"/>
    <w:rsid w:val="003A327A"/>
    <w:rsid w:val="003A43B0"/>
    <w:rsid w:val="003A4F65"/>
    <w:rsid w:val="003A5964"/>
    <w:rsid w:val="003A5E30"/>
    <w:rsid w:val="003A6344"/>
    <w:rsid w:val="003A6624"/>
    <w:rsid w:val="003A695D"/>
    <w:rsid w:val="003A6A25"/>
    <w:rsid w:val="003A6F6B"/>
    <w:rsid w:val="003B225F"/>
    <w:rsid w:val="003B3CB0"/>
    <w:rsid w:val="003B58F8"/>
    <w:rsid w:val="003B7BBB"/>
    <w:rsid w:val="003C098A"/>
    <w:rsid w:val="003C0FB3"/>
    <w:rsid w:val="003C3990"/>
    <w:rsid w:val="003C434B"/>
    <w:rsid w:val="003C489D"/>
    <w:rsid w:val="003C54B8"/>
    <w:rsid w:val="003C687F"/>
    <w:rsid w:val="003C723C"/>
    <w:rsid w:val="003D0F7F"/>
    <w:rsid w:val="003D22E3"/>
    <w:rsid w:val="003D2860"/>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3FC"/>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4FD2"/>
    <w:rsid w:val="004259A6"/>
    <w:rsid w:val="00425CCF"/>
    <w:rsid w:val="00430D80"/>
    <w:rsid w:val="0043130F"/>
    <w:rsid w:val="004317B5"/>
    <w:rsid w:val="00431E3D"/>
    <w:rsid w:val="00432CE9"/>
    <w:rsid w:val="00434837"/>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1DC"/>
    <w:rsid w:val="00463BFC"/>
    <w:rsid w:val="004657D6"/>
    <w:rsid w:val="004728AA"/>
    <w:rsid w:val="00473346"/>
    <w:rsid w:val="00476168"/>
    <w:rsid w:val="00476284"/>
    <w:rsid w:val="004803DC"/>
    <w:rsid w:val="0048084F"/>
    <w:rsid w:val="004810BD"/>
    <w:rsid w:val="0048175E"/>
    <w:rsid w:val="00483B44"/>
    <w:rsid w:val="00483CA9"/>
    <w:rsid w:val="004850B9"/>
    <w:rsid w:val="0048525B"/>
    <w:rsid w:val="00485CCD"/>
    <w:rsid w:val="00485DB5"/>
    <w:rsid w:val="004860C5"/>
    <w:rsid w:val="00486D2B"/>
    <w:rsid w:val="004870FF"/>
    <w:rsid w:val="00490D60"/>
    <w:rsid w:val="00493120"/>
    <w:rsid w:val="00494686"/>
    <w:rsid w:val="004949C7"/>
    <w:rsid w:val="00494FDC"/>
    <w:rsid w:val="004A0489"/>
    <w:rsid w:val="004A120A"/>
    <w:rsid w:val="004A161B"/>
    <w:rsid w:val="004A4146"/>
    <w:rsid w:val="004A47DB"/>
    <w:rsid w:val="004A5AAE"/>
    <w:rsid w:val="004A6AB7"/>
    <w:rsid w:val="004A7284"/>
    <w:rsid w:val="004A7E1A"/>
    <w:rsid w:val="004B0073"/>
    <w:rsid w:val="004B1154"/>
    <w:rsid w:val="004B1541"/>
    <w:rsid w:val="004B240E"/>
    <w:rsid w:val="004B29F4"/>
    <w:rsid w:val="004B4C27"/>
    <w:rsid w:val="004B53BD"/>
    <w:rsid w:val="004B6407"/>
    <w:rsid w:val="004B6923"/>
    <w:rsid w:val="004B7240"/>
    <w:rsid w:val="004B7495"/>
    <w:rsid w:val="004B780F"/>
    <w:rsid w:val="004B7B56"/>
    <w:rsid w:val="004C098E"/>
    <w:rsid w:val="004C20CF"/>
    <w:rsid w:val="004C299C"/>
    <w:rsid w:val="004C2E2E"/>
    <w:rsid w:val="004C4A92"/>
    <w:rsid w:val="004C4D54"/>
    <w:rsid w:val="004C7023"/>
    <w:rsid w:val="004C7234"/>
    <w:rsid w:val="004C7513"/>
    <w:rsid w:val="004D02AC"/>
    <w:rsid w:val="004D0383"/>
    <w:rsid w:val="004D1F3F"/>
    <w:rsid w:val="004D333E"/>
    <w:rsid w:val="004D3A72"/>
    <w:rsid w:val="004D3EE2"/>
    <w:rsid w:val="004D5565"/>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AD7"/>
    <w:rsid w:val="00503948"/>
    <w:rsid w:val="00503B09"/>
    <w:rsid w:val="005048F7"/>
    <w:rsid w:val="00504F5C"/>
    <w:rsid w:val="00505262"/>
    <w:rsid w:val="0050597B"/>
    <w:rsid w:val="00506DF8"/>
    <w:rsid w:val="00507451"/>
    <w:rsid w:val="00511F4D"/>
    <w:rsid w:val="00514D6B"/>
    <w:rsid w:val="0051574E"/>
    <w:rsid w:val="0051725F"/>
    <w:rsid w:val="00520095"/>
    <w:rsid w:val="00520645"/>
    <w:rsid w:val="00521438"/>
    <w:rsid w:val="0052168D"/>
    <w:rsid w:val="0052396A"/>
    <w:rsid w:val="0052782C"/>
    <w:rsid w:val="00527A41"/>
    <w:rsid w:val="00530E46"/>
    <w:rsid w:val="005316F7"/>
    <w:rsid w:val="005324EF"/>
    <w:rsid w:val="0053286B"/>
    <w:rsid w:val="00536369"/>
    <w:rsid w:val="005400FF"/>
    <w:rsid w:val="00540E99"/>
    <w:rsid w:val="00541130"/>
    <w:rsid w:val="00546A8B"/>
    <w:rsid w:val="00546D5E"/>
    <w:rsid w:val="00546F02"/>
    <w:rsid w:val="0054770B"/>
    <w:rsid w:val="00547F7B"/>
    <w:rsid w:val="00551073"/>
    <w:rsid w:val="00551DA4"/>
    <w:rsid w:val="0055213A"/>
    <w:rsid w:val="00552FA8"/>
    <w:rsid w:val="00554956"/>
    <w:rsid w:val="00557BE6"/>
    <w:rsid w:val="005600BC"/>
    <w:rsid w:val="00563104"/>
    <w:rsid w:val="005646C1"/>
    <w:rsid w:val="005646CC"/>
    <w:rsid w:val="005652E4"/>
    <w:rsid w:val="00565730"/>
    <w:rsid w:val="00566671"/>
    <w:rsid w:val="00567B22"/>
    <w:rsid w:val="005705DB"/>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41A"/>
    <w:rsid w:val="005857A8"/>
    <w:rsid w:val="0058713B"/>
    <w:rsid w:val="005876D2"/>
    <w:rsid w:val="0059056C"/>
    <w:rsid w:val="0059130B"/>
    <w:rsid w:val="00596689"/>
    <w:rsid w:val="005A16FB"/>
    <w:rsid w:val="005A1A68"/>
    <w:rsid w:val="005A2A5A"/>
    <w:rsid w:val="005A3076"/>
    <w:rsid w:val="005A39FC"/>
    <w:rsid w:val="005A3B66"/>
    <w:rsid w:val="005A42E3"/>
    <w:rsid w:val="005A4B2B"/>
    <w:rsid w:val="005A5F04"/>
    <w:rsid w:val="005A6DC2"/>
    <w:rsid w:val="005A7451"/>
    <w:rsid w:val="005B0870"/>
    <w:rsid w:val="005B1762"/>
    <w:rsid w:val="005B4B88"/>
    <w:rsid w:val="005B54DD"/>
    <w:rsid w:val="005B5605"/>
    <w:rsid w:val="005B5D60"/>
    <w:rsid w:val="005B5E31"/>
    <w:rsid w:val="005B64AE"/>
    <w:rsid w:val="005B6E3D"/>
    <w:rsid w:val="005B7298"/>
    <w:rsid w:val="005C1BFC"/>
    <w:rsid w:val="005C67A5"/>
    <w:rsid w:val="005C7B55"/>
    <w:rsid w:val="005D0175"/>
    <w:rsid w:val="005D126E"/>
    <w:rsid w:val="005D1434"/>
    <w:rsid w:val="005D1CC4"/>
    <w:rsid w:val="005D1D44"/>
    <w:rsid w:val="005D2D62"/>
    <w:rsid w:val="005D409F"/>
    <w:rsid w:val="005D4416"/>
    <w:rsid w:val="005D5A78"/>
    <w:rsid w:val="005D5DB0"/>
    <w:rsid w:val="005E0B43"/>
    <w:rsid w:val="005E1A35"/>
    <w:rsid w:val="005E4742"/>
    <w:rsid w:val="005E6829"/>
    <w:rsid w:val="005F10D4"/>
    <w:rsid w:val="005F26E8"/>
    <w:rsid w:val="005F275A"/>
    <w:rsid w:val="005F2E08"/>
    <w:rsid w:val="005F78DD"/>
    <w:rsid w:val="005F7A4D"/>
    <w:rsid w:val="005F7E0E"/>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980"/>
    <w:rsid w:val="00634C44"/>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5F"/>
    <w:rsid w:val="006618E3"/>
    <w:rsid w:val="00661D06"/>
    <w:rsid w:val="00663317"/>
    <w:rsid w:val="006638B4"/>
    <w:rsid w:val="0066400D"/>
    <w:rsid w:val="006644C4"/>
    <w:rsid w:val="0066665B"/>
    <w:rsid w:val="00666D4F"/>
    <w:rsid w:val="00670EE3"/>
    <w:rsid w:val="00671DB4"/>
    <w:rsid w:val="0067331F"/>
    <w:rsid w:val="006742E8"/>
    <w:rsid w:val="006745CA"/>
    <w:rsid w:val="0067482E"/>
    <w:rsid w:val="00675260"/>
    <w:rsid w:val="00677DDB"/>
    <w:rsid w:val="00677EF0"/>
    <w:rsid w:val="006814BF"/>
    <w:rsid w:val="00681F32"/>
    <w:rsid w:val="00683495"/>
    <w:rsid w:val="006836DA"/>
    <w:rsid w:val="00683AEC"/>
    <w:rsid w:val="00684672"/>
    <w:rsid w:val="0068481E"/>
    <w:rsid w:val="0068666F"/>
    <w:rsid w:val="0068780A"/>
    <w:rsid w:val="00690267"/>
    <w:rsid w:val="006906E7"/>
    <w:rsid w:val="006926FE"/>
    <w:rsid w:val="006954D4"/>
    <w:rsid w:val="0069598B"/>
    <w:rsid w:val="00695AF0"/>
    <w:rsid w:val="006A1A8E"/>
    <w:rsid w:val="006A1CF6"/>
    <w:rsid w:val="006A2D9E"/>
    <w:rsid w:val="006A36DB"/>
    <w:rsid w:val="006A3EF2"/>
    <w:rsid w:val="006A44D0"/>
    <w:rsid w:val="006A48C1"/>
    <w:rsid w:val="006A510D"/>
    <w:rsid w:val="006A51A4"/>
    <w:rsid w:val="006A78B3"/>
    <w:rsid w:val="006B06B2"/>
    <w:rsid w:val="006B1EA7"/>
    <w:rsid w:val="006B1FFA"/>
    <w:rsid w:val="006B3564"/>
    <w:rsid w:val="006B37E6"/>
    <w:rsid w:val="006B3D8F"/>
    <w:rsid w:val="006B42E3"/>
    <w:rsid w:val="006B44E9"/>
    <w:rsid w:val="006B4533"/>
    <w:rsid w:val="006B4DFC"/>
    <w:rsid w:val="006B73E5"/>
    <w:rsid w:val="006C00A3"/>
    <w:rsid w:val="006C19F9"/>
    <w:rsid w:val="006C4B88"/>
    <w:rsid w:val="006C7AB5"/>
    <w:rsid w:val="006D062E"/>
    <w:rsid w:val="006D0817"/>
    <w:rsid w:val="006D0996"/>
    <w:rsid w:val="006D2405"/>
    <w:rsid w:val="006D3A0E"/>
    <w:rsid w:val="006D3B0A"/>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0BD6"/>
    <w:rsid w:val="00712DA7"/>
    <w:rsid w:val="00713C6B"/>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E59"/>
    <w:rsid w:val="007448D2"/>
    <w:rsid w:val="00744A73"/>
    <w:rsid w:val="00744DB8"/>
    <w:rsid w:val="00745C28"/>
    <w:rsid w:val="007460FF"/>
    <w:rsid w:val="007474D4"/>
    <w:rsid w:val="00752BAA"/>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170"/>
    <w:rsid w:val="00772BA3"/>
    <w:rsid w:val="007763FE"/>
    <w:rsid w:val="00776998"/>
    <w:rsid w:val="007776A2"/>
    <w:rsid w:val="00777849"/>
    <w:rsid w:val="0078035B"/>
    <w:rsid w:val="00780A99"/>
    <w:rsid w:val="00781C4F"/>
    <w:rsid w:val="00782262"/>
    <w:rsid w:val="00782487"/>
    <w:rsid w:val="00782A2E"/>
    <w:rsid w:val="00782B11"/>
    <w:rsid w:val="007836C0"/>
    <w:rsid w:val="0078667E"/>
    <w:rsid w:val="007919DC"/>
    <w:rsid w:val="00791B72"/>
    <w:rsid w:val="00791C7F"/>
    <w:rsid w:val="00792094"/>
    <w:rsid w:val="00796888"/>
    <w:rsid w:val="007A1326"/>
    <w:rsid w:val="007A2B7B"/>
    <w:rsid w:val="007A3356"/>
    <w:rsid w:val="007A36F3"/>
    <w:rsid w:val="007A4CEF"/>
    <w:rsid w:val="007A55A8"/>
    <w:rsid w:val="007B0028"/>
    <w:rsid w:val="007B24C4"/>
    <w:rsid w:val="007B50E4"/>
    <w:rsid w:val="007B5236"/>
    <w:rsid w:val="007B6B2F"/>
    <w:rsid w:val="007C057B"/>
    <w:rsid w:val="007C1661"/>
    <w:rsid w:val="007C1A9E"/>
    <w:rsid w:val="007C6893"/>
    <w:rsid w:val="007C6E38"/>
    <w:rsid w:val="007D2125"/>
    <w:rsid w:val="007D212E"/>
    <w:rsid w:val="007D458F"/>
    <w:rsid w:val="007D5655"/>
    <w:rsid w:val="007D5A52"/>
    <w:rsid w:val="007D7CF5"/>
    <w:rsid w:val="007D7E58"/>
    <w:rsid w:val="007E1D1A"/>
    <w:rsid w:val="007E3C7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B7C"/>
    <w:rsid w:val="008059C1"/>
    <w:rsid w:val="0080662F"/>
    <w:rsid w:val="00806C91"/>
    <w:rsid w:val="00807EC1"/>
    <w:rsid w:val="0081065F"/>
    <w:rsid w:val="00810E72"/>
    <w:rsid w:val="00810EC0"/>
    <w:rsid w:val="0081179B"/>
    <w:rsid w:val="00812DCB"/>
    <w:rsid w:val="00813FA5"/>
    <w:rsid w:val="008144D5"/>
    <w:rsid w:val="0081523F"/>
    <w:rsid w:val="00816151"/>
    <w:rsid w:val="00817268"/>
    <w:rsid w:val="008203B7"/>
    <w:rsid w:val="00820BB7"/>
    <w:rsid w:val="008212BE"/>
    <w:rsid w:val="008218CF"/>
    <w:rsid w:val="00822590"/>
    <w:rsid w:val="00822B3E"/>
    <w:rsid w:val="008248E7"/>
    <w:rsid w:val="00824F02"/>
    <w:rsid w:val="008250C8"/>
    <w:rsid w:val="00825595"/>
    <w:rsid w:val="00826BD1"/>
    <w:rsid w:val="00826C4F"/>
    <w:rsid w:val="00830A48"/>
    <w:rsid w:val="00830C19"/>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064"/>
    <w:rsid w:val="00862960"/>
    <w:rsid w:val="00863532"/>
    <w:rsid w:val="008641E8"/>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484"/>
    <w:rsid w:val="008A5DE5"/>
    <w:rsid w:val="008B1FDB"/>
    <w:rsid w:val="008B2A5B"/>
    <w:rsid w:val="008B367A"/>
    <w:rsid w:val="008B430F"/>
    <w:rsid w:val="008B44C9"/>
    <w:rsid w:val="008B4DA3"/>
    <w:rsid w:val="008B4FF4"/>
    <w:rsid w:val="008B6729"/>
    <w:rsid w:val="008B7F83"/>
    <w:rsid w:val="008C05FE"/>
    <w:rsid w:val="008C085A"/>
    <w:rsid w:val="008C1A20"/>
    <w:rsid w:val="008C2FB5"/>
    <w:rsid w:val="008C302C"/>
    <w:rsid w:val="008C4CAB"/>
    <w:rsid w:val="008C4E84"/>
    <w:rsid w:val="008C6461"/>
    <w:rsid w:val="008C6BA4"/>
    <w:rsid w:val="008C6F82"/>
    <w:rsid w:val="008C7CBC"/>
    <w:rsid w:val="008D0067"/>
    <w:rsid w:val="008D125E"/>
    <w:rsid w:val="008D4CB7"/>
    <w:rsid w:val="008D5308"/>
    <w:rsid w:val="008D55BF"/>
    <w:rsid w:val="008D61E0"/>
    <w:rsid w:val="008D6722"/>
    <w:rsid w:val="008D6E1D"/>
    <w:rsid w:val="008D7AB2"/>
    <w:rsid w:val="008E0259"/>
    <w:rsid w:val="008E0B26"/>
    <w:rsid w:val="008E43E0"/>
    <w:rsid w:val="008E4A0E"/>
    <w:rsid w:val="008E4E59"/>
    <w:rsid w:val="008E6A74"/>
    <w:rsid w:val="008F0115"/>
    <w:rsid w:val="008F0383"/>
    <w:rsid w:val="008F05C3"/>
    <w:rsid w:val="008F1F6A"/>
    <w:rsid w:val="008F28E7"/>
    <w:rsid w:val="008F3EDF"/>
    <w:rsid w:val="008F56DB"/>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10C0"/>
    <w:rsid w:val="009520A1"/>
    <w:rsid w:val="009522E2"/>
    <w:rsid w:val="0095259D"/>
    <w:rsid w:val="009528C1"/>
    <w:rsid w:val="00952CB3"/>
    <w:rsid w:val="009532C7"/>
    <w:rsid w:val="00953891"/>
    <w:rsid w:val="00953CC1"/>
    <w:rsid w:val="00953E82"/>
    <w:rsid w:val="00955D6C"/>
    <w:rsid w:val="00960547"/>
    <w:rsid w:val="00960CCA"/>
    <w:rsid w:val="00960E03"/>
    <w:rsid w:val="009624AB"/>
    <w:rsid w:val="009634F6"/>
    <w:rsid w:val="00963579"/>
    <w:rsid w:val="0096422F"/>
    <w:rsid w:val="00964AE3"/>
    <w:rsid w:val="00965F05"/>
    <w:rsid w:val="0096720F"/>
    <w:rsid w:val="0097036E"/>
    <w:rsid w:val="00970E68"/>
    <w:rsid w:val="009718BF"/>
    <w:rsid w:val="00973DB2"/>
    <w:rsid w:val="00980F06"/>
    <w:rsid w:val="00981475"/>
    <w:rsid w:val="00981668"/>
    <w:rsid w:val="00984331"/>
    <w:rsid w:val="00984C07"/>
    <w:rsid w:val="00985F69"/>
    <w:rsid w:val="00987813"/>
    <w:rsid w:val="00990C18"/>
    <w:rsid w:val="00990C46"/>
    <w:rsid w:val="00991DEF"/>
    <w:rsid w:val="00992659"/>
    <w:rsid w:val="00992DAA"/>
    <w:rsid w:val="0099359F"/>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A73C1"/>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5CD"/>
    <w:rsid w:val="009D67D9"/>
    <w:rsid w:val="009D6E50"/>
    <w:rsid w:val="009D7742"/>
    <w:rsid w:val="009D7D50"/>
    <w:rsid w:val="009E037B"/>
    <w:rsid w:val="009E05EC"/>
    <w:rsid w:val="009E0CF8"/>
    <w:rsid w:val="009E16BB"/>
    <w:rsid w:val="009E56EB"/>
    <w:rsid w:val="009E662A"/>
    <w:rsid w:val="009E6AB6"/>
    <w:rsid w:val="009E6B21"/>
    <w:rsid w:val="009E7517"/>
    <w:rsid w:val="009E7F27"/>
    <w:rsid w:val="009F09A6"/>
    <w:rsid w:val="009F1A7D"/>
    <w:rsid w:val="009F3431"/>
    <w:rsid w:val="009F3838"/>
    <w:rsid w:val="009F3ECD"/>
    <w:rsid w:val="009F4B19"/>
    <w:rsid w:val="009F5F05"/>
    <w:rsid w:val="009F7315"/>
    <w:rsid w:val="009F73D1"/>
    <w:rsid w:val="00A00D40"/>
    <w:rsid w:val="00A04A93"/>
    <w:rsid w:val="00A07569"/>
    <w:rsid w:val="00A07749"/>
    <w:rsid w:val="00A078FB"/>
    <w:rsid w:val="00A102C0"/>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3243"/>
    <w:rsid w:val="00A5427A"/>
    <w:rsid w:val="00A54C7B"/>
    <w:rsid w:val="00A54CFD"/>
    <w:rsid w:val="00A5639F"/>
    <w:rsid w:val="00A57040"/>
    <w:rsid w:val="00A60064"/>
    <w:rsid w:val="00A64F90"/>
    <w:rsid w:val="00A65A2B"/>
    <w:rsid w:val="00A70170"/>
    <w:rsid w:val="00A726C7"/>
    <w:rsid w:val="00A7351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040"/>
    <w:rsid w:val="00A96D9C"/>
    <w:rsid w:val="00A97222"/>
    <w:rsid w:val="00A9772A"/>
    <w:rsid w:val="00A97808"/>
    <w:rsid w:val="00AA18E2"/>
    <w:rsid w:val="00AA22B0"/>
    <w:rsid w:val="00AA2B19"/>
    <w:rsid w:val="00AA3B89"/>
    <w:rsid w:val="00AA5E50"/>
    <w:rsid w:val="00AA6221"/>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56B8"/>
    <w:rsid w:val="00AC60C5"/>
    <w:rsid w:val="00AC78ED"/>
    <w:rsid w:val="00AD02D3"/>
    <w:rsid w:val="00AD23D0"/>
    <w:rsid w:val="00AD3675"/>
    <w:rsid w:val="00AD56A9"/>
    <w:rsid w:val="00AD69C4"/>
    <w:rsid w:val="00AD6F0C"/>
    <w:rsid w:val="00AE1C5F"/>
    <w:rsid w:val="00AE23DD"/>
    <w:rsid w:val="00AE336D"/>
    <w:rsid w:val="00AE3899"/>
    <w:rsid w:val="00AE6CD2"/>
    <w:rsid w:val="00AE776A"/>
    <w:rsid w:val="00AF1F68"/>
    <w:rsid w:val="00AF27B7"/>
    <w:rsid w:val="00AF2BB2"/>
    <w:rsid w:val="00AF3C5D"/>
    <w:rsid w:val="00AF726A"/>
    <w:rsid w:val="00AF7AB4"/>
    <w:rsid w:val="00AF7B91"/>
    <w:rsid w:val="00B00015"/>
    <w:rsid w:val="00B02424"/>
    <w:rsid w:val="00B043A6"/>
    <w:rsid w:val="00B06DE8"/>
    <w:rsid w:val="00B073B9"/>
    <w:rsid w:val="00B07AE1"/>
    <w:rsid w:val="00B07D23"/>
    <w:rsid w:val="00B12968"/>
    <w:rsid w:val="00B131FF"/>
    <w:rsid w:val="00B13498"/>
    <w:rsid w:val="00B13DA2"/>
    <w:rsid w:val="00B16591"/>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8BF"/>
    <w:rsid w:val="00B43107"/>
    <w:rsid w:val="00B45AC4"/>
    <w:rsid w:val="00B45E0A"/>
    <w:rsid w:val="00B46F7D"/>
    <w:rsid w:val="00B479C8"/>
    <w:rsid w:val="00B47A18"/>
    <w:rsid w:val="00B51CD5"/>
    <w:rsid w:val="00B5212F"/>
    <w:rsid w:val="00B53824"/>
    <w:rsid w:val="00B53857"/>
    <w:rsid w:val="00B54009"/>
    <w:rsid w:val="00B5460F"/>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5C0"/>
    <w:rsid w:val="00B82E5F"/>
    <w:rsid w:val="00B8666B"/>
    <w:rsid w:val="00B904F4"/>
    <w:rsid w:val="00B90BD1"/>
    <w:rsid w:val="00B92536"/>
    <w:rsid w:val="00B9274D"/>
    <w:rsid w:val="00B94207"/>
    <w:rsid w:val="00B945D4"/>
    <w:rsid w:val="00B9506C"/>
    <w:rsid w:val="00B95415"/>
    <w:rsid w:val="00B97B50"/>
    <w:rsid w:val="00BA1B92"/>
    <w:rsid w:val="00BA3959"/>
    <w:rsid w:val="00BA563D"/>
    <w:rsid w:val="00BB1855"/>
    <w:rsid w:val="00BB2332"/>
    <w:rsid w:val="00BB239F"/>
    <w:rsid w:val="00BB2494"/>
    <w:rsid w:val="00BB2522"/>
    <w:rsid w:val="00BB28A3"/>
    <w:rsid w:val="00BB5218"/>
    <w:rsid w:val="00BB5247"/>
    <w:rsid w:val="00BB72C0"/>
    <w:rsid w:val="00BB7FF3"/>
    <w:rsid w:val="00BC0AF1"/>
    <w:rsid w:val="00BC1422"/>
    <w:rsid w:val="00BC27BE"/>
    <w:rsid w:val="00BC36A0"/>
    <w:rsid w:val="00BC3779"/>
    <w:rsid w:val="00BC41A0"/>
    <w:rsid w:val="00BC43D8"/>
    <w:rsid w:val="00BC4D9B"/>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72A"/>
    <w:rsid w:val="00BF2FC3"/>
    <w:rsid w:val="00BF3551"/>
    <w:rsid w:val="00BF37C3"/>
    <w:rsid w:val="00BF4F07"/>
    <w:rsid w:val="00BF695B"/>
    <w:rsid w:val="00BF6A14"/>
    <w:rsid w:val="00BF71B0"/>
    <w:rsid w:val="00C0161F"/>
    <w:rsid w:val="00C030BD"/>
    <w:rsid w:val="00C036C3"/>
    <w:rsid w:val="00C03B37"/>
    <w:rsid w:val="00C03CCA"/>
    <w:rsid w:val="00C040E8"/>
    <w:rsid w:val="00C0499E"/>
    <w:rsid w:val="00C04F4A"/>
    <w:rsid w:val="00C06484"/>
    <w:rsid w:val="00C07776"/>
    <w:rsid w:val="00C07C0D"/>
    <w:rsid w:val="00C10210"/>
    <w:rsid w:val="00C1035C"/>
    <w:rsid w:val="00C10996"/>
    <w:rsid w:val="00C11214"/>
    <w:rsid w:val="00C1140E"/>
    <w:rsid w:val="00C1358F"/>
    <w:rsid w:val="00C13C2A"/>
    <w:rsid w:val="00C13CE8"/>
    <w:rsid w:val="00C14187"/>
    <w:rsid w:val="00C15151"/>
    <w:rsid w:val="00C179BC"/>
    <w:rsid w:val="00C17F8C"/>
    <w:rsid w:val="00C21039"/>
    <w:rsid w:val="00C211E6"/>
    <w:rsid w:val="00C22446"/>
    <w:rsid w:val="00C22681"/>
    <w:rsid w:val="00C22FB5"/>
    <w:rsid w:val="00C24236"/>
    <w:rsid w:val="00C24CBF"/>
    <w:rsid w:val="00C259F6"/>
    <w:rsid w:val="00C25C66"/>
    <w:rsid w:val="00C2710B"/>
    <w:rsid w:val="00C279C2"/>
    <w:rsid w:val="00C3183E"/>
    <w:rsid w:val="00C33531"/>
    <w:rsid w:val="00C33B9E"/>
    <w:rsid w:val="00C34194"/>
    <w:rsid w:val="00C34B16"/>
    <w:rsid w:val="00C35EF7"/>
    <w:rsid w:val="00C37BAE"/>
    <w:rsid w:val="00C4043D"/>
    <w:rsid w:val="00C40DAA"/>
    <w:rsid w:val="00C41394"/>
    <w:rsid w:val="00C41F7E"/>
    <w:rsid w:val="00C42A1B"/>
    <w:rsid w:val="00C42B41"/>
    <w:rsid w:val="00C42C1F"/>
    <w:rsid w:val="00C44A8D"/>
    <w:rsid w:val="00C44CF8"/>
    <w:rsid w:val="00C45B91"/>
    <w:rsid w:val="00C460A1"/>
    <w:rsid w:val="00C4789C"/>
    <w:rsid w:val="00C52C02"/>
    <w:rsid w:val="00C52DCB"/>
    <w:rsid w:val="00C53BE4"/>
    <w:rsid w:val="00C57EE8"/>
    <w:rsid w:val="00C60909"/>
    <w:rsid w:val="00C61072"/>
    <w:rsid w:val="00C6243C"/>
    <w:rsid w:val="00C62F54"/>
    <w:rsid w:val="00C63AEA"/>
    <w:rsid w:val="00C67BBF"/>
    <w:rsid w:val="00C70168"/>
    <w:rsid w:val="00C718DD"/>
    <w:rsid w:val="00C71AFB"/>
    <w:rsid w:val="00C74707"/>
    <w:rsid w:val="00C75D15"/>
    <w:rsid w:val="00C767C7"/>
    <w:rsid w:val="00C779FD"/>
    <w:rsid w:val="00C77D84"/>
    <w:rsid w:val="00C80B9E"/>
    <w:rsid w:val="00C841B7"/>
    <w:rsid w:val="00C84A6C"/>
    <w:rsid w:val="00C857EA"/>
    <w:rsid w:val="00C85E5B"/>
    <w:rsid w:val="00C8667D"/>
    <w:rsid w:val="00C86967"/>
    <w:rsid w:val="00C928A8"/>
    <w:rsid w:val="00C93044"/>
    <w:rsid w:val="00C95246"/>
    <w:rsid w:val="00C95593"/>
    <w:rsid w:val="00CA103E"/>
    <w:rsid w:val="00CA3B54"/>
    <w:rsid w:val="00CA5C77"/>
    <w:rsid w:val="00CA6C45"/>
    <w:rsid w:val="00CA74F6"/>
    <w:rsid w:val="00CA7603"/>
    <w:rsid w:val="00CA774B"/>
    <w:rsid w:val="00CA7C25"/>
    <w:rsid w:val="00CB06A3"/>
    <w:rsid w:val="00CB364E"/>
    <w:rsid w:val="00CB37B8"/>
    <w:rsid w:val="00CB4F1A"/>
    <w:rsid w:val="00CB54A5"/>
    <w:rsid w:val="00CB58B4"/>
    <w:rsid w:val="00CB6577"/>
    <w:rsid w:val="00CB6768"/>
    <w:rsid w:val="00CB74C7"/>
    <w:rsid w:val="00CC0BBE"/>
    <w:rsid w:val="00CC0BE0"/>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8E5"/>
    <w:rsid w:val="00CF0B65"/>
    <w:rsid w:val="00CF1C1F"/>
    <w:rsid w:val="00CF220B"/>
    <w:rsid w:val="00CF3B5E"/>
    <w:rsid w:val="00CF3BA6"/>
    <w:rsid w:val="00CF4152"/>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032"/>
    <w:rsid w:val="00D07B92"/>
    <w:rsid w:val="00D101C3"/>
    <w:rsid w:val="00D10D2D"/>
    <w:rsid w:val="00D114B2"/>
    <w:rsid w:val="00D1170E"/>
    <w:rsid w:val="00D121C4"/>
    <w:rsid w:val="00D14274"/>
    <w:rsid w:val="00D14F57"/>
    <w:rsid w:val="00D15E5B"/>
    <w:rsid w:val="00D17C62"/>
    <w:rsid w:val="00D21586"/>
    <w:rsid w:val="00D21EA5"/>
    <w:rsid w:val="00D23A38"/>
    <w:rsid w:val="00D2574C"/>
    <w:rsid w:val="00D26D79"/>
    <w:rsid w:val="00D27C2B"/>
    <w:rsid w:val="00D33363"/>
    <w:rsid w:val="00D33523"/>
    <w:rsid w:val="00D34943"/>
    <w:rsid w:val="00D34A2B"/>
    <w:rsid w:val="00D35409"/>
    <w:rsid w:val="00D359D4"/>
    <w:rsid w:val="00D41B88"/>
    <w:rsid w:val="00D41E23"/>
    <w:rsid w:val="00D429EC"/>
    <w:rsid w:val="00D42D44"/>
    <w:rsid w:val="00D43D44"/>
    <w:rsid w:val="00D43EBB"/>
    <w:rsid w:val="00D44190"/>
    <w:rsid w:val="00D44E4E"/>
    <w:rsid w:val="00D46D26"/>
    <w:rsid w:val="00D51254"/>
    <w:rsid w:val="00D51627"/>
    <w:rsid w:val="00D51E1A"/>
    <w:rsid w:val="00D52344"/>
    <w:rsid w:val="00D54AAC"/>
    <w:rsid w:val="00D54B32"/>
    <w:rsid w:val="00D55DF0"/>
    <w:rsid w:val="00D563E1"/>
    <w:rsid w:val="00D56B41"/>
    <w:rsid w:val="00D56BB6"/>
    <w:rsid w:val="00D6022B"/>
    <w:rsid w:val="00D60C40"/>
    <w:rsid w:val="00D6138D"/>
    <w:rsid w:val="00D6166E"/>
    <w:rsid w:val="00D63126"/>
    <w:rsid w:val="00D63A67"/>
    <w:rsid w:val="00D63E4D"/>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680"/>
    <w:rsid w:val="00D91607"/>
    <w:rsid w:val="00D92C82"/>
    <w:rsid w:val="00D93336"/>
    <w:rsid w:val="00D94314"/>
    <w:rsid w:val="00D95BC7"/>
    <w:rsid w:val="00D95C17"/>
    <w:rsid w:val="00D96043"/>
    <w:rsid w:val="00D97779"/>
    <w:rsid w:val="00DA52F5"/>
    <w:rsid w:val="00DA73A3"/>
    <w:rsid w:val="00DB3080"/>
    <w:rsid w:val="00DB4E12"/>
    <w:rsid w:val="00DB5771"/>
    <w:rsid w:val="00DB66BF"/>
    <w:rsid w:val="00DC0AB6"/>
    <w:rsid w:val="00DC0D72"/>
    <w:rsid w:val="00DC180B"/>
    <w:rsid w:val="00DC21CF"/>
    <w:rsid w:val="00DC3395"/>
    <w:rsid w:val="00DC3664"/>
    <w:rsid w:val="00DC4B9B"/>
    <w:rsid w:val="00DC5B8D"/>
    <w:rsid w:val="00DC6EFC"/>
    <w:rsid w:val="00DC7CDE"/>
    <w:rsid w:val="00DD195B"/>
    <w:rsid w:val="00DD243F"/>
    <w:rsid w:val="00DD46E9"/>
    <w:rsid w:val="00DD4711"/>
    <w:rsid w:val="00DD4812"/>
    <w:rsid w:val="00DD4CA7"/>
    <w:rsid w:val="00DD5104"/>
    <w:rsid w:val="00DE0097"/>
    <w:rsid w:val="00DE05AE"/>
    <w:rsid w:val="00DE0979"/>
    <w:rsid w:val="00DE12E9"/>
    <w:rsid w:val="00DE2A10"/>
    <w:rsid w:val="00DE301D"/>
    <w:rsid w:val="00DE33EC"/>
    <w:rsid w:val="00DE3CB3"/>
    <w:rsid w:val="00DE43F4"/>
    <w:rsid w:val="00DE53F8"/>
    <w:rsid w:val="00DE60E6"/>
    <w:rsid w:val="00DE6C9B"/>
    <w:rsid w:val="00DE74DC"/>
    <w:rsid w:val="00DE7D5A"/>
    <w:rsid w:val="00DF0A94"/>
    <w:rsid w:val="00DF1EC4"/>
    <w:rsid w:val="00DF247C"/>
    <w:rsid w:val="00DF3B44"/>
    <w:rsid w:val="00DF3F4F"/>
    <w:rsid w:val="00DF707E"/>
    <w:rsid w:val="00DF70A1"/>
    <w:rsid w:val="00DF759D"/>
    <w:rsid w:val="00E003AF"/>
    <w:rsid w:val="00E00482"/>
    <w:rsid w:val="00E018C3"/>
    <w:rsid w:val="00E01C15"/>
    <w:rsid w:val="00E03597"/>
    <w:rsid w:val="00E04325"/>
    <w:rsid w:val="00E052B1"/>
    <w:rsid w:val="00E05886"/>
    <w:rsid w:val="00E104C6"/>
    <w:rsid w:val="00E10C02"/>
    <w:rsid w:val="00E1228C"/>
    <w:rsid w:val="00E137F4"/>
    <w:rsid w:val="00E164F2"/>
    <w:rsid w:val="00E16F61"/>
    <w:rsid w:val="00E178A7"/>
    <w:rsid w:val="00E20F6A"/>
    <w:rsid w:val="00E21A25"/>
    <w:rsid w:val="00E228AD"/>
    <w:rsid w:val="00E23303"/>
    <w:rsid w:val="00E253CA"/>
    <w:rsid w:val="00E2771C"/>
    <w:rsid w:val="00E301DA"/>
    <w:rsid w:val="00E315EB"/>
    <w:rsid w:val="00E31D50"/>
    <w:rsid w:val="00E324D9"/>
    <w:rsid w:val="00E331FB"/>
    <w:rsid w:val="00E33DF4"/>
    <w:rsid w:val="00E34707"/>
    <w:rsid w:val="00E35892"/>
    <w:rsid w:val="00E35EDE"/>
    <w:rsid w:val="00E36528"/>
    <w:rsid w:val="00E409B4"/>
    <w:rsid w:val="00E40CF7"/>
    <w:rsid w:val="00E40E66"/>
    <w:rsid w:val="00E413B8"/>
    <w:rsid w:val="00E434EB"/>
    <w:rsid w:val="00E440C0"/>
    <w:rsid w:val="00E45A17"/>
    <w:rsid w:val="00E4683D"/>
    <w:rsid w:val="00E46CA0"/>
    <w:rsid w:val="00E504A1"/>
    <w:rsid w:val="00E51231"/>
    <w:rsid w:val="00E52A67"/>
    <w:rsid w:val="00E5624C"/>
    <w:rsid w:val="00E602A7"/>
    <w:rsid w:val="00E619E1"/>
    <w:rsid w:val="00E62FBE"/>
    <w:rsid w:val="00E63389"/>
    <w:rsid w:val="00E64597"/>
    <w:rsid w:val="00E65780"/>
    <w:rsid w:val="00E66882"/>
    <w:rsid w:val="00E66AA1"/>
    <w:rsid w:val="00E66B6A"/>
    <w:rsid w:val="00E71243"/>
    <w:rsid w:val="00E71362"/>
    <w:rsid w:val="00E714D8"/>
    <w:rsid w:val="00E7168A"/>
    <w:rsid w:val="00E71D25"/>
    <w:rsid w:val="00E722F1"/>
    <w:rsid w:val="00E7231D"/>
    <w:rsid w:val="00E726E9"/>
    <w:rsid w:val="00E7295C"/>
    <w:rsid w:val="00E73306"/>
    <w:rsid w:val="00E74817"/>
    <w:rsid w:val="00E74FE4"/>
    <w:rsid w:val="00E7503C"/>
    <w:rsid w:val="00E7547B"/>
    <w:rsid w:val="00E768B2"/>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2F0"/>
    <w:rsid w:val="00EA74F2"/>
    <w:rsid w:val="00EA7552"/>
    <w:rsid w:val="00EA7F5C"/>
    <w:rsid w:val="00EB193D"/>
    <w:rsid w:val="00EB2218"/>
    <w:rsid w:val="00EB2A71"/>
    <w:rsid w:val="00EB32CF"/>
    <w:rsid w:val="00EB4DDA"/>
    <w:rsid w:val="00EB6015"/>
    <w:rsid w:val="00EB7598"/>
    <w:rsid w:val="00EB7885"/>
    <w:rsid w:val="00EB7D4C"/>
    <w:rsid w:val="00EC0998"/>
    <w:rsid w:val="00EC2805"/>
    <w:rsid w:val="00EC3100"/>
    <w:rsid w:val="00EC3D02"/>
    <w:rsid w:val="00EC437B"/>
    <w:rsid w:val="00EC4CBD"/>
    <w:rsid w:val="00EC703B"/>
    <w:rsid w:val="00EC70D8"/>
    <w:rsid w:val="00EC78F8"/>
    <w:rsid w:val="00EC7BBB"/>
    <w:rsid w:val="00ED1008"/>
    <w:rsid w:val="00ED1338"/>
    <w:rsid w:val="00ED1475"/>
    <w:rsid w:val="00ED1AB4"/>
    <w:rsid w:val="00ED288C"/>
    <w:rsid w:val="00ED2C23"/>
    <w:rsid w:val="00ED2CF0"/>
    <w:rsid w:val="00ED6D87"/>
    <w:rsid w:val="00EE0A4B"/>
    <w:rsid w:val="00EE1058"/>
    <w:rsid w:val="00EE1089"/>
    <w:rsid w:val="00EE3260"/>
    <w:rsid w:val="00EE3CF3"/>
    <w:rsid w:val="00EE50F0"/>
    <w:rsid w:val="00EE586E"/>
    <w:rsid w:val="00EE5BEB"/>
    <w:rsid w:val="00EE6192"/>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7E7"/>
    <w:rsid w:val="00F121C4"/>
    <w:rsid w:val="00F13777"/>
    <w:rsid w:val="00F17235"/>
    <w:rsid w:val="00F17684"/>
    <w:rsid w:val="00F20B40"/>
    <w:rsid w:val="00F21EAF"/>
    <w:rsid w:val="00F220D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0D29"/>
    <w:rsid w:val="00F42101"/>
    <w:rsid w:val="00F42EAA"/>
    <w:rsid w:val="00F42EE0"/>
    <w:rsid w:val="00F434A9"/>
    <w:rsid w:val="00F437C4"/>
    <w:rsid w:val="00F446A0"/>
    <w:rsid w:val="00F45308"/>
    <w:rsid w:val="00F47A0A"/>
    <w:rsid w:val="00F47A79"/>
    <w:rsid w:val="00F47F5C"/>
    <w:rsid w:val="00F51928"/>
    <w:rsid w:val="00F52D9C"/>
    <w:rsid w:val="00F543B3"/>
    <w:rsid w:val="00F5467A"/>
    <w:rsid w:val="00F5643A"/>
    <w:rsid w:val="00F56596"/>
    <w:rsid w:val="00F62236"/>
    <w:rsid w:val="00F63905"/>
    <w:rsid w:val="00F642AF"/>
    <w:rsid w:val="00F650B4"/>
    <w:rsid w:val="00F65901"/>
    <w:rsid w:val="00F65EB2"/>
    <w:rsid w:val="00F66B95"/>
    <w:rsid w:val="00F676B8"/>
    <w:rsid w:val="00F706AA"/>
    <w:rsid w:val="00F715D0"/>
    <w:rsid w:val="00F717E7"/>
    <w:rsid w:val="00F724A1"/>
    <w:rsid w:val="00F7288E"/>
    <w:rsid w:val="00F740FA"/>
    <w:rsid w:val="00F7526D"/>
    <w:rsid w:val="00F7632C"/>
    <w:rsid w:val="00F76A4E"/>
    <w:rsid w:val="00F76FDC"/>
    <w:rsid w:val="00F771C6"/>
    <w:rsid w:val="00F77ED7"/>
    <w:rsid w:val="00F80313"/>
    <w:rsid w:val="00F80F5D"/>
    <w:rsid w:val="00F821AC"/>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492B"/>
    <w:rsid w:val="00FF5EC7"/>
    <w:rsid w:val="00FF6F70"/>
    <w:rsid w:val="00FF7815"/>
    <w:rsid w:val="00FF7892"/>
    <w:rsid w:val="02892FA8"/>
    <w:rsid w:val="03A6431C"/>
    <w:rsid w:val="03E1E633"/>
    <w:rsid w:val="042A753E"/>
    <w:rsid w:val="0480E1C6"/>
    <w:rsid w:val="04951AFA"/>
    <w:rsid w:val="05DF27B1"/>
    <w:rsid w:val="06CDBBBA"/>
    <w:rsid w:val="07FAE021"/>
    <w:rsid w:val="080C9BBF"/>
    <w:rsid w:val="08342DF1"/>
    <w:rsid w:val="083EA820"/>
    <w:rsid w:val="08A1535B"/>
    <w:rsid w:val="0B3280E3"/>
    <w:rsid w:val="0CCE5144"/>
    <w:rsid w:val="0D1D2E78"/>
    <w:rsid w:val="0D4B3F27"/>
    <w:rsid w:val="0E0EE48F"/>
    <w:rsid w:val="0E2C23C0"/>
    <w:rsid w:val="10406BB9"/>
    <w:rsid w:val="104F2124"/>
    <w:rsid w:val="11BCEB98"/>
    <w:rsid w:val="12A32D82"/>
    <w:rsid w:val="12EA3C05"/>
    <w:rsid w:val="135E72DD"/>
    <w:rsid w:val="13E4546C"/>
    <w:rsid w:val="148E8285"/>
    <w:rsid w:val="14FA433E"/>
    <w:rsid w:val="152F94EF"/>
    <w:rsid w:val="15AA81B5"/>
    <w:rsid w:val="169FD32C"/>
    <w:rsid w:val="1809EB46"/>
    <w:rsid w:val="197AF33C"/>
    <w:rsid w:val="19B38EB3"/>
    <w:rsid w:val="1A05085E"/>
    <w:rsid w:val="1B3E34E0"/>
    <w:rsid w:val="1B41E617"/>
    <w:rsid w:val="1B85AE16"/>
    <w:rsid w:val="1B8DE432"/>
    <w:rsid w:val="1BA795DD"/>
    <w:rsid w:val="1CD1BA30"/>
    <w:rsid w:val="1DB1DC73"/>
    <w:rsid w:val="1DF47B5B"/>
    <w:rsid w:val="1E212E09"/>
    <w:rsid w:val="20349B22"/>
    <w:rsid w:val="203BE84E"/>
    <w:rsid w:val="21038885"/>
    <w:rsid w:val="225182BA"/>
    <w:rsid w:val="22DC35C8"/>
    <w:rsid w:val="2567C74D"/>
    <w:rsid w:val="2572229D"/>
    <w:rsid w:val="25BDD14B"/>
    <w:rsid w:val="261AC1A7"/>
    <w:rsid w:val="26ECE7BE"/>
    <w:rsid w:val="272E2251"/>
    <w:rsid w:val="2989C216"/>
    <w:rsid w:val="2B3D6C7A"/>
    <w:rsid w:val="2BBC8A87"/>
    <w:rsid w:val="2C0D6CB7"/>
    <w:rsid w:val="2C20E45E"/>
    <w:rsid w:val="2CEC27F3"/>
    <w:rsid w:val="2D5809FB"/>
    <w:rsid w:val="2D67B13B"/>
    <w:rsid w:val="2EB92FC1"/>
    <w:rsid w:val="2EC31542"/>
    <w:rsid w:val="2F34F388"/>
    <w:rsid w:val="2F93CA69"/>
    <w:rsid w:val="3026F9C3"/>
    <w:rsid w:val="30F5A5CF"/>
    <w:rsid w:val="336B094C"/>
    <w:rsid w:val="353B01D7"/>
    <w:rsid w:val="356155ED"/>
    <w:rsid w:val="3622D3CA"/>
    <w:rsid w:val="370234FE"/>
    <w:rsid w:val="3835CCD6"/>
    <w:rsid w:val="38BF93A2"/>
    <w:rsid w:val="3A04EA72"/>
    <w:rsid w:val="3A117341"/>
    <w:rsid w:val="3AF73382"/>
    <w:rsid w:val="3B7DBF35"/>
    <w:rsid w:val="3C7B1762"/>
    <w:rsid w:val="3D3C8B34"/>
    <w:rsid w:val="3F885689"/>
    <w:rsid w:val="405DA826"/>
    <w:rsid w:val="416E2590"/>
    <w:rsid w:val="4180691D"/>
    <w:rsid w:val="4231CF6F"/>
    <w:rsid w:val="42594964"/>
    <w:rsid w:val="4356C9E2"/>
    <w:rsid w:val="43A7B178"/>
    <w:rsid w:val="44B809DF"/>
    <w:rsid w:val="44F6E1F7"/>
    <w:rsid w:val="45B375FF"/>
    <w:rsid w:val="46C4B375"/>
    <w:rsid w:val="46DE916C"/>
    <w:rsid w:val="47361E03"/>
    <w:rsid w:val="47BB785A"/>
    <w:rsid w:val="491CCF08"/>
    <w:rsid w:val="4A1091FB"/>
    <w:rsid w:val="4AE95E91"/>
    <w:rsid w:val="4AF5BD3E"/>
    <w:rsid w:val="4BB59F36"/>
    <w:rsid w:val="4CB3C9C0"/>
    <w:rsid w:val="4D386C1D"/>
    <w:rsid w:val="4D61F190"/>
    <w:rsid w:val="4DAE7900"/>
    <w:rsid w:val="4DF16F1B"/>
    <w:rsid w:val="4F84F7E7"/>
    <w:rsid w:val="508F2989"/>
    <w:rsid w:val="50B83BC1"/>
    <w:rsid w:val="51122F35"/>
    <w:rsid w:val="51E9EB99"/>
    <w:rsid w:val="53382643"/>
    <w:rsid w:val="5369D9EF"/>
    <w:rsid w:val="54C53870"/>
    <w:rsid w:val="555344A2"/>
    <w:rsid w:val="55685572"/>
    <w:rsid w:val="565DDE37"/>
    <w:rsid w:val="56B6EB6C"/>
    <w:rsid w:val="56BE82BF"/>
    <w:rsid w:val="5802C0DE"/>
    <w:rsid w:val="5871BD07"/>
    <w:rsid w:val="5AB7829D"/>
    <w:rsid w:val="5AC8049D"/>
    <w:rsid w:val="5B8917C0"/>
    <w:rsid w:val="5BA95DC9"/>
    <w:rsid w:val="5D232EAB"/>
    <w:rsid w:val="5D9F5054"/>
    <w:rsid w:val="5DC573A2"/>
    <w:rsid w:val="5F4F9629"/>
    <w:rsid w:val="60707EAE"/>
    <w:rsid w:val="6169D349"/>
    <w:rsid w:val="62CF4E9D"/>
    <w:rsid w:val="6531FA6B"/>
    <w:rsid w:val="656B6940"/>
    <w:rsid w:val="6701F121"/>
    <w:rsid w:val="6794A4CE"/>
    <w:rsid w:val="67CEE129"/>
    <w:rsid w:val="6A7E8184"/>
    <w:rsid w:val="6B0B23E7"/>
    <w:rsid w:val="6C597B58"/>
    <w:rsid w:val="6C8A4E2E"/>
    <w:rsid w:val="6D47E9E0"/>
    <w:rsid w:val="6FDE950A"/>
    <w:rsid w:val="71555771"/>
    <w:rsid w:val="719B4A7F"/>
    <w:rsid w:val="7246A5D3"/>
    <w:rsid w:val="7513DA08"/>
    <w:rsid w:val="765E08BE"/>
    <w:rsid w:val="776478D3"/>
    <w:rsid w:val="77FE2121"/>
    <w:rsid w:val="787BD78A"/>
    <w:rsid w:val="78D5F283"/>
    <w:rsid w:val="795490D9"/>
    <w:rsid w:val="7AC818F8"/>
    <w:rsid w:val="7C539305"/>
    <w:rsid w:val="7D55270D"/>
    <w:rsid w:val="7EFB8F88"/>
    <w:rsid w:val="7FBB5C46"/>
    <w:rsid w:val="7FFD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
    <w:name w:val="Unresolved Mention"/>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5D409F"/>
    <w:pPr>
      <w:numPr>
        <w:numId w:val="35"/>
      </w:numPr>
      <w:spacing w:after="40" w:line="240" w:lineRule="atLeast"/>
      <w:ind w:left="340" w:hanging="227"/>
    </w:pPr>
  </w:style>
  <w:style w:type="paragraph" w:customStyle="1" w:styleId="DoEtablelist1numbered">
    <w:name w:val="DoE table list 1 numbered"/>
    <w:basedOn w:val="DoEtabletext"/>
    <w:qFormat/>
    <w:rsid w:val="005D409F"/>
    <w:pPr>
      <w:numPr>
        <w:numId w:val="36"/>
      </w:numPr>
      <w:spacing w:after="40" w:line="240" w:lineRule="atLeast"/>
      <w:ind w:left="340" w:hanging="227"/>
    </w:pPr>
  </w:style>
  <w:style w:type="paragraph" w:customStyle="1" w:styleId="DoEtablelist2bullet">
    <w:name w:val="DoE table list 2 bullet"/>
    <w:basedOn w:val="DoEtabletext"/>
    <w:qFormat/>
    <w:rsid w:val="005D409F"/>
    <w:pPr>
      <w:numPr>
        <w:numId w:val="37"/>
      </w:numPr>
      <w:spacing w:after="40" w:line="240" w:lineRule="atLeast"/>
      <w:ind w:left="596" w:hanging="284"/>
    </w:pPr>
  </w:style>
  <w:style w:type="paragraph" w:customStyle="1" w:styleId="DoEtablelist2numbered">
    <w:name w:val="DoE table list 2 numbered"/>
    <w:basedOn w:val="DoEtabletext"/>
    <w:qFormat/>
    <w:rsid w:val="005D409F"/>
    <w:pPr>
      <w:numPr>
        <w:numId w:val="38"/>
      </w:numPr>
      <w:spacing w:after="40" w:line="240" w:lineRule="atLeast"/>
      <w:ind w:left="596" w:hanging="284"/>
    </w:pPr>
  </w:style>
  <w:style w:type="character" w:styleId="PlaceholderText">
    <w:name w:val="Placeholder Text"/>
    <w:basedOn w:val="DefaultParagraphFont"/>
    <w:uiPriority w:val="99"/>
    <w:semiHidden/>
    <w:rsid w:val="00BC36A0"/>
    <w:rPr>
      <w:color w:val="808080"/>
    </w:rPr>
  </w:style>
  <w:style w:type="character" w:customStyle="1" w:styleId="normaltextrun">
    <w:name w:val="normaltextrun"/>
    <w:basedOn w:val="DefaultParagraphFont"/>
    <w:rsid w:val="002E7383"/>
  </w:style>
  <w:style w:type="character" w:customStyle="1" w:styleId="eop">
    <w:name w:val="eop"/>
    <w:basedOn w:val="DefaultParagraphFont"/>
    <w:rsid w:val="002E7383"/>
  </w:style>
  <w:style w:type="paragraph" w:styleId="BalloonText">
    <w:name w:val="Balloon Text"/>
    <w:basedOn w:val="Normal"/>
    <w:link w:val="BalloonTextChar"/>
    <w:uiPriority w:val="99"/>
    <w:semiHidden/>
    <w:unhideWhenUsed/>
    <w:rsid w:val="007C689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93"/>
    <w:rPr>
      <w:rFonts w:ascii="Segoe UI" w:hAnsi="Segoe UI" w:cs="Segoe UI"/>
      <w:sz w:val="18"/>
      <w:szCs w:val="18"/>
      <w:lang w:val="en-AU"/>
    </w:rPr>
  </w:style>
  <w:style w:type="character" w:styleId="CommentReference">
    <w:name w:val="annotation reference"/>
    <w:basedOn w:val="DefaultParagraphFont"/>
    <w:uiPriority w:val="99"/>
    <w:semiHidden/>
    <w:rsid w:val="00552FA8"/>
    <w:rPr>
      <w:sz w:val="16"/>
      <w:szCs w:val="16"/>
    </w:rPr>
  </w:style>
  <w:style w:type="paragraph" w:styleId="CommentText">
    <w:name w:val="annotation text"/>
    <w:basedOn w:val="Normal"/>
    <w:link w:val="CommentTextChar"/>
    <w:uiPriority w:val="99"/>
    <w:semiHidden/>
    <w:rsid w:val="00552FA8"/>
    <w:pPr>
      <w:spacing w:line="240" w:lineRule="auto"/>
    </w:pPr>
    <w:rPr>
      <w:sz w:val="20"/>
      <w:szCs w:val="20"/>
    </w:rPr>
  </w:style>
  <w:style w:type="character" w:customStyle="1" w:styleId="CommentTextChar">
    <w:name w:val="Comment Text Char"/>
    <w:basedOn w:val="DefaultParagraphFont"/>
    <w:link w:val="CommentText"/>
    <w:uiPriority w:val="99"/>
    <w:semiHidden/>
    <w:rsid w:val="00552FA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52FA8"/>
    <w:rPr>
      <w:b/>
      <w:bCs/>
    </w:rPr>
  </w:style>
  <w:style w:type="character" w:customStyle="1" w:styleId="CommentSubjectChar">
    <w:name w:val="Comment Subject Char"/>
    <w:basedOn w:val="CommentTextChar"/>
    <w:link w:val="CommentSubject"/>
    <w:uiPriority w:val="99"/>
    <w:semiHidden/>
    <w:rsid w:val="00552FA8"/>
    <w:rPr>
      <w:rFonts w:ascii="Arial" w:hAnsi="Arial"/>
      <w:b/>
      <w:bCs/>
      <w:sz w:val="20"/>
      <w:szCs w:val="20"/>
      <w:lang w:val="en-AU"/>
    </w:rPr>
  </w:style>
  <w:style w:type="paragraph" w:styleId="ListParagraph">
    <w:name w:val="List Paragraph"/>
    <w:basedOn w:val="Normal"/>
    <w:uiPriority w:val="99"/>
    <w:semiHidden/>
    <w:unhideWhenUsed/>
    <w:qFormat/>
    <w:rsid w:val="00782262"/>
    <w:pPr>
      <w:ind w:left="720"/>
      <w:contextualSpacing/>
    </w:pPr>
  </w:style>
  <w:style w:type="paragraph" w:styleId="NormalWeb">
    <w:name w:val="Normal (Web)"/>
    <w:basedOn w:val="Normal"/>
    <w:uiPriority w:val="99"/>
    <w:semiHidden/>
    <w:unhideWhenUsed/>
    <w:rsid w:val="007E3C7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n">
    <w:name w:val="mn"/>
    <w:basedOn w:val="DefaultParagraphFont"/>
    <w:rsid w:val="000A23E3"/>
  </w:style>
  <w:style w:type="character" w:customStyle="1" w:styleId="mo">
    <w:name w:val="mo"/>
    <w:basedOn w:val="DefaultParagraphFont"/>
    <w:rsid w:val="000A23E3"/>
  </w:style>
  <w:style w:type="character" w:customStyle="1" w:styleId="msqrt">
    <w:name w:val="msqrt"/>
    <w:basedOn w:val="DefaultParagraphFont"/>
    <w:rsid w:val="000A23E3"/>
  </w:style>
  <w:style w:type="character" w:customStyle="1" w:styleId="mjxassistivemathml">
    <w:name w:val="mjx_assistive_mathml"/>
    <w:basedOn w:val="DefaultParagraphFont"/>
    <w:rsid w:val="000A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64700521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0042199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33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teacher.desmos.com/activitybuilder/custom/5fd004ebff3e643f9ae5bba0" TargetMode="External"/><Relationship Id="rId26" Type="http://schemas.openxmlformats.org/officeDocument/2006/relationships/hyperlink" Target="https://teacher.desmos.com/activitybuilder/custom/5fe112e63b83ee0cac002e65" TargetMode="External"/><Relationship Id="rId39" Type="http://schemas.openxmlformats.org/officeDocument/2006/relationships/hyperlink" Target="https://education.minecraft.net/blog/activity-of-the-week-gone-fishing" TargetMode="External"/><Relationship Id="rId21" Type="http://schemas.openxmlformats.org/officeDocument/2006/relationships/hyperlink" Target="https://education.minecraft.net/lessons/fractions-pixel-art" TargetMode="External"/><Relationship Id="rId34" Type="http://schemas.openxmlformats.org/officeDocument/2006/relationships/hyperlink" Target="https://www.youtube.com/watch?v=uAnCL3vhVIs" TargetMode="External"/><Relationship Id="rId42" Type="http://schemas.openxmlformats.org/officeDocument/2006/relationships/hyperlink" Target="https://www.tes.com/en-au/teaching-resource/probability-horse-racing-game-6338302" TargetMode="External"/><Relationship Id="rId47" Type="http://schemas.openxmlformats.org/officeDocument/2006/relationships/image" Target="media/image6.png"/><Relationship Id="rId50" Type="http://schemas.openxmlformats.org/officeDocument/2006/relationships/hyperlink" Target="https://www.youtube.com/watch?v=K8SkCh-n4rw"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ducationstandards.nsw.edu.au/wps/portal/nesa/11-12/Diversity-in-learning/stage-6-special-education/adjustments"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yperlink" Target="https://mrnussbaum.com/card-sharks-online-game" TargetMode="External"/><Relationship Id="rId38" Type="http://schemas.openxmlformats.org/officeDocument/2006/relationships/hyperlink" Target="https://mrnussbaum.com/probability-fair-online-game" TargetMode="External"/><Relationship Id="rId46" Type="http://schemas.openxmlformats.org/officeDocument/2006/relationships/hyperlink" Target="http://cs.gettysburg.edu/projects/pig/piggame.html"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CA9XLJpQp3c" TargetMode="External"/><Relationship Id="rId20" Type="http://schemas.openxmlformats.org/officeDocument/2006/relationships/hyperlink" Target="https://education.minecraft.net/blog/activity-of-the-week-gone-fishing" TargetMode="External"/><Relationship Id="rId29" Type="http://schemas.openxmlformats.org/officeDocument/2006/relationships/hyperlink" Target="https://www.youtube.com/watch?v=CEYoU5BhGl4" TargetMode="External"/><Relationship Id="rId41" Type="http://schemas.openxmlformats.org/officeDocument/2006/relationships/hyperlink" Target="https://ed.ted.com/lessons/leigh-nataro-what-happens-if-you-gues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mathematics/mathematics-life-skills-2017" TargetMode="External"/><Relationship Id="rId24" Type="http://schemas.openxmlformats.org/officeDocument/2006/relationships/hyperlink" Target="https://teacher.desmos.com/activitybuilder/custom/5fd025d7aa66934235376846" TargetMode="External"/><Relationship Id="rId32" Type="http://schemas.openxmlformats.org/officeDocument/2006/relationships/hyperlink" Target="https://teacher.desmos.com/activitybuilder/custom/5fdff2168403f64b7cd8e0e6?collections=5f863574b71ab424a255d6f7" TargetMode="External"/><Relationship Id="rId37" Type="http://schemas.openxmlformats.org/officeDocument/2006/relationships/hyperlink" Target="https://nzmaths.co.nz/resource/investigation-random-processes" TargetMode="External"/><Relationship Id="rId40" Type="http://schemas.openxmlformats.org/officeDocument/2006/relationships/hyperlink" Target="https://teacher.desmos.com/activitybuilder/custom/59233c9aefd17610dbbd684e" TargetMode="External"/><Relationship Id="rId45" Type="http://schemas.openxmlformats.org/officeDocument/2006/relationships/hyperlink" Target="https://teacher.desmos.com/activitybuilder/custom/5a0c6bc6c2c3832b38f5d471"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nzmaths.co.nz/resource/paper-folding-fractions" TargetMode="External"/><Relationship Id="rId23" Type="http://schemas.openxmlformats.org/officeDocument/2006/relationships/image" Target="media/image3.png"/><Relationship Id="rId28" Type="http://schemas.openxmlformats.org/officeDocument/2006/relationships/hyperlink" Target="https://www.google.com/url?q=https%3A%2F%2Fapps.powerapps.com%2Fplay%2Feb69babd-3e72-4d5e-8655-7929c23e0971%3FSurveyID%3D278%26SessionID%3D264603&amp;sa=D&amp;sntz=1&amp;usg=AFQjCNGHhyP6zREZSBN4vLetmoX2Pe483A" TargetMode="External"/><Relationship Id="rId36" Type="http://schemas.openxmlformats.org/officeDocument/2006/relationships/hyperlink" Target="https://education.minecraft.net/lessons/sheepish-probability" TargetMode="External"/><Relationship Id="rId49" Type="http://schemas.openxmlformats.org/officeDocument/2006/relationships/hyperlink" Target="https://www.youtube.com/watch?v=4Lb-6rxZxx0" TargetMode="External"/><Relationship Id="rId57"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ites.google.com/education.nsw.gov.au/get-mathematical-stage-3/targeted-teaching/imagining-fractions-1" TargetMode="External"/><Relationship Id="rId31" Type="http://schemas.openxmlformats.org/officeDocument/2006/relationships/hyperlink" Target="https://teacher.desmos.com/activitybuilder/custom/5fa49642dc2267393f4cb84a" TargetMode="External"/><Relationship Id="rId44" Type="http://schemas.openxmlformats.org/officeDocument/2006/relationships/hyperlink" Target="https://www.resolve.edu.au/probability-rock-paper-scissors" TargetMode="External"/><Relationship Id="rId52" Type="http://schemas.openxmlformats.org/officeDocument/2006/relationships/hyperlink" Target="https://sites.google.com/education.nsw.gov.au/get-mathematical-stage-3/targeted-teaching/tangrams-3-2-investigating-fraction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er.desmos.com/activitybuilder/custom/5fbb365aa192000d33b3fcb3" TargetMode="External"/><Relationship Id="rId22" Type="http://schemas.openxmlformats.org/officeDocument/2006/relationships/hyperlink" Target="https://www.youtube.com/watch?v=Gmh_xMMJ2Pw" TargetMode="External"/><Relationship Id="rId27" Type="http://schemas.openxmlformats.org/officeDocument/2006/relationships/hyperlink" Target="https://teacher.desmos.com/activitybuilder/custom/5fd1c47a55d269308872c56a" TargetMode="External"/><Relationship Id="rId30" Type="http://schemas.openxmlformats.org/officeDocument/2006/relationships/hyperlink" Target="https://www.youtube.com/watch?v=KzfWUEJjG18" TargetMode="External"/><Relationship Id="rId35" Type="http://schemas.openxmlformats.org/officeDocument/2006/relationships/image" Target="media/image5.png"/><Relationship Id="rId43" Type="http://schemas.openxmlformats.org/officeDocument/2006/relationships/hyperlink" Target="https://www.openmiddle.com/probability-with-marbles/" TargetMode="External"/><Relationship Id="rId48" Type="http://schemas.openxmlformats.org/officeDocument/2006/relationships/hyperlink" Target="https://math.andyou.com/tools/montyhallsimulator/montysim.htm"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education.nsw.gov.au/teaching-and-learning/curriculum/key-learning-areas/mathematics/Early-Stage-1-to-Stage-3/resources"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C6F1-DF73-4B23-A43F-CE70A90DB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862DE-9F3D-4A05-9A90-D78924FC076C}">
  <ds:schemaRefs>
    <ds:schemaRef ds:uri="http://schemas.microsoft.com/sharepoint/v3/contenttype/forms"/>
  </ds:schemaRefs>
</ds:datastoreItem>
</file>

<file path=customXml/itemProps3.xml><?xml version="1.0" encoding="utf-8"?>
<ds:datastoreItem xmlns:ds="http://schemas.openxmlformats.org/officeDocument/2006/customXml" ds:itemID="{9A022E3D-404E-4E70-8221-ED902182C11C}">
  <ds:schemaRefs>
    <ds:schemaRef ds:uri="http://purl.org/dc/terms/"/>
    <ds:schemaRef ds:uri="http://schemas.microsoft.com/office/infopath/2007/PartnerControls"/>
    <ds:schemaRef ds:uri="02777ac0-bca4-49b9-b304-d2b7eff515d1"/>
    <ds:schemaRef ds:uri="http://schemas.microsoft.com/office/2006/documentManagement/types"/>
    <ds:schemaRef ds:uri="33c16299-9e76-4446-b84b-eefe81b91f7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03DAA0D-192D-45C1-A1ED-13B4A426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unit</dc:title>
  <dc:subject/>
  <dc:creator>Vas Ratusau</dc:creator>
  <cp:keywords>Stage 6</cp:keywords>
  <dc:description/>
  <cp:lastModifiedBy>Vas Ratusau</cp:lastModifiedBy>
  <cp:revision>2</cp:revision>
  <dcterms:created xsi:type="dcterms:W3CDTF">2021-02-16T23:57:00Z</dcterms:created>
  <dcterms:modified xsi:type="dcterms:W3CDTF">2021-02-16T23:57:00Z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