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229A" w14:textId="77777777" w:rsidR="007D6B92" w:rsidRPr="00F9178D" w:rsidRDefault="007D6B92" w:rsidP="00AA37E1">
      <w:pPr>
        <w:pStyle w:val="Title"/>
      </w:pPr>
      <w:bookmarkStart w:id="0" w:name="_Toc5018952"/>
      <w:bookmarkStart w:id="1" w:name="_Toc5019569"/>
      <w:bookmarkStart w:id="2" w:name="_Toc5019728"/>
      <w:r>
        <w:t>Human wellbeing</w:t>
      </w:r>
    </w:p>
    <w:p w14:paraId="2B324E61" w14:textId="77777777" w:rsidR="007D6B92" w:rsidRPr="00C11333" w:rsidRDefault="007D6B92" w:rsidP="000A7B12">
      <w:pPr>
        <w:pStyle w:val="Heading2"/>
      </w:pPr>
      <w:r w:rsidRPr="00C11333">
        <w:t>Focus</w:t>
      </w:r>
    </w:p>
    <w:p w14:paraId="43F5B050" w14:textId="77777777" w:rsidR="007D6B92" w:rsidRPr="00C11333" w:rsidRDefault="007D6B92" w:rsidP="00DD2D1C">
      <w:r>
        <w:t>Human wellbeing</w:t>
      </w:r>
    </w:p>
    <w:p w14:paraId="4379B512" w14:textId="77777777" w:rsidR="007D6B92" w:rsidRPr="00C11333" w:rsidRDefault="007D6B92" w:rsidP="000A7B12">
      <w:pPr>
        <w:pStyle w:val="Heading2"/>
      </w:pPr>
      <w:r w:rsidRPr="00C11333">
        <w:t>Overview</w:t>
      </w:r>
    </w:p>
    <w:p w14:paraId="2F243C5F" w14:textId="10FBE741" w:rsidR="007D6B92" w:rsidRPr="009022CA" w:rsidRDefault="007D6B92" w:rsidP="00DD2D1C">
      <w:r>
        <w:t xml:space="preserve">Duration </w:t>
      </w:r>
      <w:r w:rsidR="00A32050">
        <w:t>–</w:t>
      </w:r>
      <w:r>
        <w:t xml:space="preserve"> 3 lessons</w:t>
      </w:r>
    </w:p>
    <w:p w14:paraId="1C2CD145" w14:textId="77777777" w:rsidR="007D6B92" w:rsidRPr="00C11333" w:rsidRDefault="007D6B92" w:rsidP="000A7B12">
      <w:pPr>
        <w:pStyle w:val="Heading2"/>
      </w:pPr>
      <w:r w:rsidRPr="00C11333">
        <w:t>Content</w:t>
      </w:r>
    </w:p>
    <w:p w14:paraId="7E6505DA" w14:textId="77777777" w:rsidR="007D6B92" w:rsidRDefault="007D6B92" w:rsidP="00DD2D1C">
      <w:pPr>
        <w:rPr>
          <w:lang w:val="en-US"/>
        </w:rPr>
      </w:pPr>
      <w:r>
        <w:rPr>
          <w:lang w:val="en-US"/>
        </w:rPr>
        <w:t>Students</w:t>
      </w:r>
    </w:p>
    <w:p w14:paraId="049E6878" w14:textId="77777777" w:rsidR="007D6B92" w:rsidRPr="00F52CC7" w:rsidRDefault="007D6B92" w:rsidP="00DD2D1C">
      <w:pPr>
        <w:pStyle w:val="ListBullet"/>
      </w:pPr>
      <w:r w:rsidRPr="00F52CC7">
        <w:rPr>
          <w:lang w:val="en-US"/>
        </w:rPr>
        <w:t>investigate initiatives to improve human wellbeing in Australia and other countries, for example:</w:t>
      </w:r>
    </w:p>
    <w:p w14:paraId="4C1A8934" w14:textId="77777777" w:rsidR="007D6B92" w:rsidRPr="00F52CC7" w:rsidRDefault="007D6B92" w:rsidP="00DD2D1C">
      <w:pPr>
        <w:pStyle w:val="ListBullet2"/>
      </w:pPr>
      <w:proofErr w:type="gramStart"/>
      <w:r w:rsidRPr="00F52CC7">
        <w:t>evaluation</w:t>
      </w:r>
      <w:proofErr w:type="gramEnd"/>
      <w:r w:rsidRPr="00F52CC7">
        <w:t xml:space="preserve"> of initiatives by governments and non-government organisations to reduce spatial variations in human wellbeing.</w:t>
      </w:r>
    </w:p>
    <w:p w14:paraId="0F826D8D" w14:textId="77777777" w:rsidR="007D6B92" w:rsidRDefault="007D6B92" w:rsidP="000A7B12">
      <w:pPr>
        <w:pStyle w:val="Heading3"/>
      </w:pPr>
      <w:r>
        <w:t>Stage 5 outcomes</w:t>
      </w:r>
    </w:p>
    <w:p w14:paraId="19B17006" w14:textId="77777777" w:rsidR="007D6B92" w:rsidRDefault="007D6B92" w:rsidP="00DD2D1C">
      <w:r w:rsidRPr="002358F6">
        <w:t>A student:</w:t>
      </w:r>
    </w:p>
    <w:p w14:paraId="472359B1" w14:textId="77777777" w:rsidR="007D6B92" w:rsidRDefault="007D6B92" w:rsidP="00DD2D1C">
      <w:pPr>
        <w:pStyle w:val="ListBullet"/>
      </w:pPr>
      <w:r>
        <w:t xml:space="preserve">analyses differences in human wellbeing and ways to improve human wellbeing </w:t>
      </w:r>
      <w:r w:rsidRPr="00C7532B">
        <w:rPr>
          <w:b/>
        </w:rPr>
        <w:t>GE5-6</w:t>
      </w:r>
    </w:p>
    <w:p w14:paraId="3234A807" w14:textId="77777777" w:rsidR="007D6B92" w:rsidRPr="00C7532B" w:rsidRDefault="007D6B92" w:rsidP="00DD2D1C">
      <w:pPr>
        <w:pStyle w:val="ListBullet"/>
        <w:rPr>
          <w:b/>
        </w:rPr>
      </w:pPr>
      <w:r w:rsidRPr="00F52CC7">
        <w:t>communicates geographical information to a range of audiences using a variety of strategies</w:t>
      </w:r>
      <w:r w:rsidRPr="00F52CC7">
        <w:rPr>
          <w:color w:val="FF0000"/>
        </w:rPr>
        <w:t xml:space="preserve"> </w:t>
      </w:r>
      <w:r w:rsidRPr="00C7532B">
        <w:rPr>
          <w:b/>
        </w:rPr>
        <w:t>GE5-8</w:t>
      </w:r>
    </w:p>
    <w:p w14:paraId="291EEE62" w14:textId="77777777" w:rsidR="007D6B92" w:rsidRDefault="007D6B92" w:rsidP="000A7B12">
      <w:pPr>
        <w:pStyle w:val="Heading3"/>
      </w:pPr>
      <w:r>
        <w:t>Learning across the curriculum content</w:t>
      </w:r>
    </w:p>
    <w:p w14:paraId="22ABF747" w14:textId="77777777" w:rsidR="007D6B92" w:rsidRPr="00A32050" w:rsidRDefault="007D6B92" w:rsidP="00A32050">
      <w:pPr>
        <w:pStyle w:val="ListBullet"/>
      </w:pPr>
      <w:r w:rsidRPr="00A32050">
        <w:t>Ethical understanding</w:t>
      </w:r>
    </w:p>
    <w:p w14:paraId="3A3A11D2" w14:textId="77777777" w:rsidR="007D6B92" w:rsidRPr="00A32050" w:rsidRDefault="007D6B92" w:rsidP="00A32050">
      <w:pPr>
        <w:pStyle w:val="ListBullet"/>
      </w:pPr>
      <w:r w:rsidRPr="00A32050">
        <w:t>Intercultural understanding</w:t>
      </w:r>
    </w:p>
    <w:p w14:paraId="60CA7383" w14:textId="77777777" w:rsidR="007D6B92" w:rsidRPr="00A32050" w:rsidRDefault="007D6B92" w:rsidP="00A32050">
      <w:pPr>
        <w:pStyle w:val="ListBullet"/>
      </w:pPr>
      <w:r w:rsidRPr="00A32050">
        <w:t>Literacy</w:t>
      </w:r>
    </w:p>
    <w:p w14:paraId="51BE5AB4" w14:textId="77777777" w:rsidR="007D6B92" w:rsidRPr="00A32050" w:rsidRDefault="007D6B92" w:rsidP="00A32050">
      <w:pPr>
        <w:pStyle w:val="ListBullet"/>
      </w:pPr>
      <w:r w:rsidRPr="00A32050">
        <w:t xml:space="preserve">Difference and diversity </w:t>
      </w:r>
    </w:p>
    <w:p w14:paraId="0EAA9DBC" w14:textId="77777777" w:rsidR="007D6B92" w:rsidRDefault="007D6B92" w:rsidP="007D6B92">
      <w:pPr>
        <w:pStyle w:val="IOSbodytext2017"/>
      </w:pPr>
    </w:p>
    <w:p w14:paraId="4271EFD1" w14:textId="77777777" w:rsidR="007D6B92" w:rsidRPr="00DD2D1C" w:rsidRDefault="00AA37E1" w:rsidP="007D6B92">
      <w:pPr>
        <w:pStyle w:val="IOSbodytext"/>
        <w:ind w:left="-142"/>
        <w:rPr>
          <w:rStyle w:val="SubtleReference"/>
        </w:rPr>
      </w:pPr>
      <w:hyperlink r:id="rId8" w:history="1">
        <w:r w:rsidR="007D6B92" w:rsidRPr="009E14C3">
          <w:rPr>
            <w:rStyle w:val="Hyperlink"/>
            <w:sz w:val="18"/>
            <w:szCs w:val="18"/>
          </w:rPr>
          <w:t>Geography K-10 syllabus</w:t>
        </w:r>
      </w:hyperlink>
      <w:r w:rsidR="007D6B92" w:rsidRPr="009E14C3">
        <w:rPr>
          <w:sz w:val="18"/>
          <w:szCs w:val="18"/>
        </w:rPr>
        <w:t xml:space="preserve"> </w:t>
      </w:r>
      <w:r w:rsidR="007D6B92" w:rsidRPr="00DD2D1C">
        <w:rPr>
          <w:rStyle w:val="SubtleReference"/>
        </w:rPr>
        <w:t xml:space="preserve">© NSW Education Standards Authority (NESA) for and on behalf of the Crown in right of the State of New South Wales, 2015 </w:t>
      </w:r>
    </w:p>
    <w:p w14:paraId="21B3600F" w14:textId="77777777" w:rsidR="007D6B92" w:rsidRDefault="007D6B92" w:rsidP="00AA37E1">
      <w:pPr>
        <w:pStyle w:val="Heading2"/>
      </w:pPr>
      <w:r>
        <w:lastRenderedPageBreak/>
        <w:t>Learning progressions – literacy</w:t>
      </w:r>
    </w:p>
    <w:p w14:paraId="7978EA86" w14:textId="77777777" w:rsidR="007D6B92" w:rsidRDefault="007D6B92" w:rsidP="00AA37E1">
      <w:pPr>
        <w:pStyle w:val="Heading3"/>
      </w:pPr>
      <w:r>
        <w:t>Writing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4"/>
      </w:tblGrid>
      <w:tr w:rsidR="007D6B92" w14:paraId="1E9311F9" w14:textId="77777777" w:rsidTr="00AA37E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2ECA1709" w14:textId="77777777" w:rsidR="007D6B92" w:rsidRPr="00AD455D" w:rsidRDefault="007D6B92" w:rsidP="00DD2D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9E26D98" w14:textId="77777777" w:rsidR="007D6B92" w:rsidRPr="00AD455D" w:rsidRDefault="007D6B92" w:rsidP="00DD2D1C">
            <w:pPr>
              <w:pStyle w:val="Tableheading"/>
            </w:pPr>
            <w:r>
              <w:t>Indicators</w:t>
            </w:r>
          </w:p>
        </w:tc>
      </w:tr>
      <w:tr w:rsidR="007D6B92" w14:paraId="1E4A796A" w14:textId="77777777" w:rsidTr="00590F7C">
        <w:tc>
          <w:tcPr>
            <w:tcW w:w="5324" w:type="dxa"/>
            <w:shd w:val="clear" w:color="auto" w:fill="FFFFFF"/>
          </w:tcPr>
          <w:p w14:paraId="0B254850" w14:textId="77777777" w:rsidR="007D6B92" w:rsidRPr="00AD455D" w:rsidRDefault="007D6B92" w:rsidP="00DD2D1C">
            <w:pPr>
              <w:pStyle w:val="Tabletext"/>
            </w:pPr>
            <w:r w:rsidRPr="00AD455D">
              <w:t>Creating texts (</w:t>
            </w:r>
            <w:proofErr w:type="spellStart"/>
            <w:r w:rsidRPr="00AD455D">
              <w:t>CrT</w:t>
            </w:r>
            <w:proofErr w:type="spellEnd"/>
            <w:r w:rsidRPr="00AD455D">
              <w:t>)</w:t>
            </w:r>
          </w:p>
        </w:tc>
        <w:tc>
          <w:tcPr>
            <w:tcW w:w="5325" w:type="dxa"/>
            <w:shd w:val="clear" w:color="auto" w:fill="FFFFFF"/>
          </w:tcPr>
          <w:p w14:paraId="3053EA26" w14:textId="77777777" w:rsidR="007D6B92" w:rsidRPr="00AD455D" w:rsidRDefault="007D6B92" w:rsidP="00DD2D1C">
            <w:pPr>
              <w:pStyle w:val="Tabletext"/>
            </w:pPr>
            <w:proofErr w:type="spellStart"/>
            <w:r w:rsidRPr="00EB434B">
              <w:t>CrT</w:t>
            </w:r>
            <w:proofErr w:type="spellEnd"/>
            <w:r w:rsidRPr="00EB434B">
              <w:t xml:space="preserve"> 9-11</w:t>
            </w:r>
          </w:p>
        </w:tc>
      </w:tr>
      <w:tr w:rsidR="007D6B92" w14:paraId="2CCD5114" w14:textId="77777777" w:rsidTr="00590F7C">
        <w:tc>
          <w:tcPr>
            <w:tcW w:w="5324" w:type="dxa"/>
            <w:shd w:val="clear" w:color="auto" w:fill="auto"/>
          </w:tcPr>
          <w:p w14:paraId="2A20A788" w14:textId="77777777" w:rsidR="007D6B92" w:rsidRPr="00B45D27" w:rsidRDefault="007D6B92" w:rsidP="00DD2D1C">
            <w:pPr>
              <w:pStyle w:val="Tabletext"/>
              <w:rPr>
                <w:color w:val="C00000"/>
              </w:rPr>
            </w:pPr>
            <w:r w:rsidRPr="00B45D27">
              <w:rPr>
                <w:color w:val="C00000"/>
              </w:rPr>
              <w:t>Grammar (GrA1)*</w:t>
            </w:r>
          </w:p>
        </w:tc>
        <w:tc>
          <w:tcPr>
            <w:tcW w:w="5325" w:type="dxa"/>
            <w:shd w:val="clear" w:color="auto" w:fill="auto"/>
          </w:tcPr>
          <w:p w14:paraId="41C7E5F2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770743A7" w14:textId="77777777" w:rsidTr="00590F7C">
        <w:tc>
          <w:tcPr>
            <w:tcW w:w="5324" w:type="dxa"/>
            <w:shd w:val="clear" w:color="auto" w:fill="auto"/>
          </w:tcPr>
          <w:p w14:paraId="5BAC2FC6" w14:textId="77777777" w:rsidR="007D6B92" w:rsidRPr="00B45D27" w:rsidRDefault="007D6B92" w:rsidP="00DD2D1C">
            <w:pPr>
              <w:pStyle w:val="Tabletext"/>
              <w:rPr>
                <w:color w:val="C00000"/>
              </w:rPr>
            </w:pPr>
            <w:r w:rsidRPr="00B45D27">
              <w:rPr>
                <w:color w:val="C00000"/>
              </w:rPr>
              <w:t>Punctuation (</w:t>
            </w:r>
            <w:proofErr w:type="spellStart"/>
            <w:r w:rsidRPr="00B45D27">
              <w:rPr>
                <w:color w:val="C00000"/>
              </w:rPr>
              <w:t>PuN</w:t>
            </w:r>
            <w:proofErr w:type="spellEnd"/>
            <w:r w:rsidRPr="00B45D27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77B1B204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67EE17B7" w14:textId="77777777" w:rsidTr="00590F7C">
        <w:tc>
          <w:tcPr>
            <w:tcW w:w="5324" w:type="dxa"/>
            <w:shd w:val="clear" w:color="auto" w:fill="auto"/>
          </w:tcPr>
          <w:p w14:paraId="6CBB55C7" w14:textId="77777777" w:rsidR="007D6B92" w:rsidRPr="00B45D27" w:rsidRDefault="007D6B92" w:rsidP="00DD2D1C">
            <w:pPr>
              <w:pStyle w:val="Tabletext"/>
              <w:rPr>
                <w:color w:val="C00000"/>
              </w:rPr>
            </w:pPr>
            <w:r w:rsidRPr="00B45D27">
              <w:rPr>
                <w:color w:val="C00000"/>
              </w:rPr>
              <w:t>Spelling (</w:t>
            </w:r>
            <w:proofErr w:type="spellStart"/>
            <w:r w:rsidRPr="00B45D27">
              <w:rPr>
                <w:color w:val="C00000"/>
              </w:rPr>
              <w:t>SpG</w:t>
            </w:r>
            <w:proofErr w:type="spellEnd"/>
            <w:r w:rsidRPr="00B45D27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69D693B9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0B1C8E22" w14:textId="77777777" w:rsidTr="00590F7C">
        <w:tc>
          <w:tcPr>
            <w:tcW w:w="5324" w:type="dxa"/>
            <w:shd w:val="clear" w:color="auto" w:fill="auto"/>
          </w:tcPr>
          <w:p w14:paraId="3410BCD2" w14:textId="77777777" w:rsidR="007D6B92" w:rsidRPr="00B45D27" w:rsidRDefault="007D6B92" w:rsidP="00DD2D1C">
            <w:pPr>
              <w:pStyle w:val="Tabletext"/>
              <w:rPr>
                <w:color w:val="C00000"/>
              </w:rPr>
            </w:pPr>
            <w:r w:rsidRPr="00B45D27">
              <w:rPr>
                <w:color w:val="C00000"/>
              </w:rPr>
              <w:t>Handwriting and keyboarding (</w:t>
            </w:r>
            <w:proofErr w:type="spellStart"/>
            <w:r w:rsidRPr="00B45D27">
              <w:rPr>
                <w:color w:val="C00000"/>
              </w:rPr>
              <w:t>HwK</w:t>
            </w:r>
            <w:proofErr w:type="spellEnd"/>
            <w:r w:rsidRPr="00B45D27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01288901" w14:textId="77777777" w:rsidR="007D6B92" w:rsidRPr="00AD455D" w:rsidRDefault="007D6B92" w:rsidP="00DD2D1C">
            <w:pPr>
              <w:pStyle w:val="Tabletext"/>
            </w:pPr>
          </w:p>
        </w:tc>
      </w:tr>
    </w:tbl>
    <w:p w14:paraId="61856C9E" w14:textId="77777777" w:rsidR="007D6B92" w:rsidRDefault="007D6B92" w:rsidP="00AA37E1">
      <w:pPr>
        <w:pStyle w:val="Heading3"/>
      </w:pPr>
      <w:r>
        <w:t>Reading and viewing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4"/>
      </w:tblGrid>
      <w:tr w:rsidR="007D6B92" w14:paraId="7E15F038" w14:textId="77777777" w:rsidTr="00AA37E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56A4CC91" w14:textId="77777777" w:rsidR="007D6B92" w:rsidRPr="00AD455D" w:rsidRDefault="007D6B92" w:rsidP="00DD2D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0B48ACB2" w14:textId="77777777" w:rsidR="007D6B92" w:rsidRPr="00AD455D" w:rsidRDefault="007D6B92" w:rsidP="00DD2D1C">
            <w:pPr>
              <w:pStyle w:val="Tableheading"/>
            </w:pPr>
            <w:r>
              <w:t>Indicators</w:t>
            </w:r>
          </w:p>
        </w:tc>
      </w:tr>
      <w:tr w:rsidR="007D6B92" w14:paraId="762C5E62" w14:textId="77777777" w:rsidTr="00590F7C">
        <w:tc>
          <w:tcPr>
            <w:tcW w:w="5324" w:type="dxa"/>
            <w:shd w:val="clear" w:color="auto" w:fill="FFFFFF"/>
          </w:tcPr>
          <w:p w14:paraId="2AAD8018" w14:textId="77777777" w:rsidR="007D6B92" w:rsidRPr="00AD455D" w:rsidRDefault="007D6B92" w:rsidP="00DD2D1C">
            <w:pPr>
              <w:pStyle w:val="Tabletext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FFFFFF"/>
          </w:tcPr>
          <w:p w14:paraId="5D17D3FC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5A264F74" w14:textId="77777777" w:rsidTr="00590F7C">
        <w:tc>
          <w:tcPr>
            <w:tcW w:w="5324" w:type="dxa"/>
            <w:shd w:val="clear" w:color="auto" w:fill="auto"/>
          </w:tcPr>
          <w:p w14:paraId="1F2DCEC3" w14:textId="77777777" w:rsidR="007D6B92" w:rsidRPr="00B45D27" w:rsidRDefault="007D6B92" w:rsidP="00DD2D1C">
            <w:pPr>
              <w:pStyle w:val="Tabletext"/>
              <w:rPr>
                <w:color w:val="000000"/>
              </w:rPr>
            </w:pPr>
            <w:r w:rsidRPr="00B45D27">
              <w:rPr>
                <w:color w:val="000000"/>
              </w:rPr>
              <w:t>Phonological awareness (</w:t>
            </w:r>
            <w:proofErr w:type="spellStart"/>
            <w:r w:rsidRPr="00B45D27">
              <w:rPr>
                <w:color w:val="000000"/>
              </w:rPr>
              <w:t>PhA</w:t>
            </w:r>
            <w:proofErr w:type="spellEnd"/>
            <w:r w:rsidRPr="00B45D27">
              <w:rPr>
                <w:color w:val="000000"/>
              </w:rPr>
              <w:t>)</w:t>
            </w:r>
          </w:p>
          <w:p w14:paraId="3B61DDBD" w14:textId="77777777" w:rsidR="007D6B92" w:rsidRPr="00AD455D" w:rsidRDefault="007D6B92" w:rsidP="00DD2D1C">
            <w:pPr>
              <w:pStyle w:val="Tabletext"/>
            </w:pPr>
            <w:r w:rsidRPr="00B45D27">
              <w:rPr>
                <w:color w:val="000000"/>
              </w:rPr>
              <w:t>Phonic knowledge and word recognition (PKW)</w:t>
            </w:r>
          </w:p>
        </w:tc>
        <w:tc>
          <w:tcPr>
            <w:tcW w:w="5325" w:type="dxa"/>
            <w:shd w:val="clear" w:color="auto" w:fill="auto"/>
          </w:tcPr>
          <w:p w14:paraId="34847FC4" w14:textId="77777777" w:rsidR="007D6B92" w:rsidRPr="00AD455D" w:rsidRDefault="007D6B92" w:rsidP="00DD2D1C">
            <w:pPr>
              <w:pStyle w:val="Tabletext"/>
            </w:pPr>
            <w:r w:rsidRPr="00B45D27">
              <w:rPr>
                <w:rFonts w:cs="Arial"/>
                <w:color w:val="000000"/>
              </w:rPr>
              <w:t xml:space="preserve">These are constrained skills gained in the early years of learning. There may be students who are identified as needing individual assistance with </w:t>
            </w:r>
            <w:proofErr w:type="spellStart"/>
            <w:r w:rsidRPr="00B45D27">
              <w:rPr>
                <w:rFonts w:cs="Arial"/>
                <w:color w:val="000000"/>
              </w:rPr>
              <w:t>PhA</w:t>
            </w:r>
            <w:proofErr w:type="spellEnd"/>
            <w:r w:rsidRPr="00B45D27">
              <w:rPr>
                <w:rFonts w:cs="Arial"/>
                <w:color w:val="000000"/>
              </w:rPr>
              <w:t xml:space="preserve"> and PKW in the secondary years. These students must be referred to the </w:t>
            </w:r>
            <w:proofErr w:type="spellStart"/>
            <w:r w:rsidRPr="00B45D27">
              <w:rPr>
                <w:rFonts w:cs="Arial"/>
                <w:color w:val="000000"/>
              </w:rPr>
              <w:t>LaST</w:t>
            </w:r>
            <w:proofErr w:type="spellEnd"/>
            <w:r w:rsidRPr="00B45D27">
              <w:rPr>
                <w:rFonts w:cs="Arial"/>
                <w:color w:val="000000"/>
              </w:rPr>
              <w:t xml:space="preserve"> for further intervention.</w:t>
            </w:r>
          </w:p>
        </w:tc>
      </w:tr>
      <w:tr w:rsidR="007D6B92" w14:paraId="47D1FDC0" w14:textId="77777777" w:rsidTr="00590F7C">
        <w:tc>
          <w:tcPr>
            <w:tcW w:w="5324" w:type="dxa"/>
            <w:shd w:val="clear" w:color="auto" w:fill="auto"/>
          </w:tcPr>
          <w:p w14:paraId="0AC2F966" w14:textId="77777777" w:rsidR="007D6B92" w:rsidRPr="00AD455D" w:rsidRDefault="007D6B92" w:rsidP="00DD2D1C">
            <w:pPr>
              <w:pStyle w:val="Tabletext"/>
            </w:pPr>
            <w:r w:rsidRPr="00B45D27">
              <w:rPr>
                <w:color w:val="FF0000"/>
              </w:rPr>
              <w:t>Fluency (</w:t>
            </w:r>
            <w:proofErr w:type="spellStart"/>
            <w:r w:rsidRPr="00B45D27">
              <w:rPr>
                <w:color w:val="FF0000"/>
              </w:rPr>
              <w:t>FlY</w:t>
            </w:r>
            <w:proofErr w:type="spellEnd"/>
            <w:r w:rsidRPr="00B45D27">
              <w:rPr>
                <w:color w:val="FF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74E672E0" w14:textId="77777777" w:rsidR="007D6B92" w:rsidRPr="00AD455D" w:rsidRDefault="007D6B92" w:rsidP="00DD2D1C">
            <w:pPr>
              <w:pStyle w:val="Tabletext"/>
            </w:pPr>
          </w:p>
        </w:tc>
      </w:tr>
    </w:tbl>
    <w:p w14:paraId="5E008AAF" w14:textId="77777777" w:rsidR="007D6B92" w:rsidRDefault="007D6B92" w:rsidP="00AA37E1">
      <w:pPr>
        <w:pStyle w:val="Heading3"/>
      </w:pPr>
      <w:r>
        <w:t>Speaking and listening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6"/>
      </w:tblGrid>
      <w:tr w:rsidR="007D6B92" w14:paraId="1BB3A43B" w14:textId="77777777" w:rsidTr="00AA37E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55D556E8" w14:textId="77777777" w:rsidR="007D6B92" w:rsidRPr="00AD455D" w:rsidRDefault="007D6B92" w:rsidP="00DD2D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473DB5E" w14:textId="77777777" w:rsidR="007D6B92" w:rsidRPr="00AD455D" w:rsidRDefault="007D6B92" w:rsidP="00DD2D1C">
            <w:pPr>
              <w:pStyle w:val="Tableheading"/>
            </w:pPr>
            <w:r>
              <w:t>Indicators</w:t>
            </w:r>
          </w:p>
        </w:tc>
      </w:tr>
      <w:tr w:rsidR="007D6B92" w14:paraId="09931352" w14:textId="77777777" w:rsidTr="00590F7C">
        <w:tc>
          <w:tcPr>
            <w:tcW w:w="5324" w:type="dxa"/>
            <w:shd w:val="clear" w:color="auto" w:fill="auto"/>
          </w:tcPr>
          <w:p w14:paraId="55B0214E" w14:textId="77777777" w:rsidR="007D6B92" w:rsidRPr="002277D0" w:rsidRDefault="007D6B92" w:rsidP="00DD2D1C">
            <w:pPr>
              <w:pStyle w:val="Tabletext"/>
            </w:pPr>
            <w:r w:rsidRPr="002277D0">
              <w:t>Listening (</w:t>
            </w:r>
            <w:proofErr w:type="spellStart"/>
            <w:r w:rsidRPr="002277D0">
              <w:t>LiS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0FA9E2D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40420BB8" w14:textId="77777777" w:rsidTr="00590F7C">
        <w:tc>
          <w:tcPr>
            <w:tcW w:w="5324" w:type="dxa"/>
            <w:shd w:val="clear" w:color="auto" w:fill="auto"/>
          </w:tcPr>
          <w:p w14:paraId="6A58E4A3" w14:textId="77777777" w:rsidR="007D6B92" w:rsidRPr="002277D0" w:rsidRDefault="007D6B92" w:rsidP="00DD2D1C">
            <w:pPr>
              <w:pStyle w:val="Tabletext"/>
            </w:pPr>
            <w:r w:rsidRPr="002277D0">
              <w:t>Interacting (</w:t>
            </w:r>
            <w:proofErr w:type="spellStart"/>
            <w:r w:rsidRPr="002277D0">
              <w:t>InT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F4835BA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4A0D5A45" w14:textId="77777777" w:rsidTr="00590F7C">
        <w:tc>
          <w:tcPr>
            <w:tcW w:w="5324" w:type="dxa"/>
            <w:shd w:val="clear" w:color="auto" w:fill="auto"/>
          </w:tcPr>
          <w:p w14:paraId="40C86218" w14:textId="77777777" w:rsidR="007D6B92" w:rsidRPr="002277D0" w:rsidRDefault="007D6B92" w:rsidP="00DD2D1C">
            <w:pPr>
              <w:pStyle w:val="Tabletext"/>
            </w:pPr>
            <w:r w:rsidRPr="002277D0">
              <w:t>Speaking (</w:t>
            </w:r>
            <w:proofErr w:type="spellStart"/>
            <w:r w:rsidRPr="002277D0">
              <w:t>SpK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267FACC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7D4CF410" w14:textId="77777777" w:rsidR="007D6B92" w:rsidRDefault="007D6B92" w:rsidP="00AA37E1">
      <w:pPr>
        <w:pStyle w:val="Heading2"/>
      </w:pPr>
      <w:r>
        <w:t>Learning progressions – numeracy</w:t>
      </w:r>
    </w:p>
    <w:p w14:paraId="0C3BF257" w14:textId="77777777" w:rsidR="007D6B92" w:rsidRDefault="007D6B92" w:rsidP="00AA37E1">
      <w:pPr>
        <w:pStyle w:val="Heading3"/>
      </w:pPr>
      <w:r>
        <w:t xml:space="preserve">Number sense </w:t>
      </w:r>
      <w:r w:rsidRPr="000A7B12">
        <w:t>and</w:t>
      </w:r>
      <w:r>
        <w:t xml:space="preserve"> algebra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7D6B92" w14:paraId="488BF7A5" w14:textId="77777777" w:rsidTr="00AA37E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72CCB610" w14:textId="77777777" w:rsidR="007D6B92" w:rsidRPr="00AD455D" w:rsidRDefault="007D6B92" w:rsidP="00DD2D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32718870" w14:textId="77777777" w:rsidR="007D6B92" w:rsidRPr="00AD455D" w:rsidRDefault="007D6B92" w:rsidP="00DD2D1C">
            <w:pPr>
              <w:pStyle w:val="Tableheading"/>
            </w:pPr>
            <w:r>
              <w:t>Indicators</w:t>
            </w:r>
          </w:p>
        </w:tc>
      </w:tr>
      <w:tr w:rsidR="007D6B92" w14:paraId="6B48F523" w14:textId="77777777" w:rsidTr="00590F7C">
        <w:tc>
          <w:tcPr>
            <w:tcW w:w="5324" w:type="dxa"/>
            <w:shd w:val="clear" w:color="auto" w:fill="auto"/>
          </w:tcPr>
          <w:p w14:paraId="3CA84F4E" w14:textId="77777777" w:rsidR="007D6B92" w:rsidRPr="002277D0" w:rsidRDefault="007D6B92" w:rsidP="00DD2D1C">
            <w:pPr>
              <w:pStyle w:val="Tabletext"/>
            </w:pPr>
            <w:r w:rsidRPr="002277D0">
              <w:t>Quantifying numbers (</w:t>
            </w:r>
            <w:proofErr w:type="spellStart"/>
            <w:r w:rsidRPr="002277D0">
              <w:t>QuN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FF73F6D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6DC67860" w14:textId="77777777" w:rsidTr="00590F7C">
        <w:tc>
          <w:tcPr>
            <w:tcW w:w="5324" w:type="dxa"/>
            <w:shd w:val="clear" w:color="auto" w:fill="auto"/>
          </w:tcPr>
          <w:p w14:paraId="68F136EC" w14:textId="77777777" w:rsidR="007D6B92" w:rsidRPr="002277D0" w:rsidRDefault="007D6B92" w:rsidP="00DD2D1C">
            <w:pPr>
              <w:pStyle w:val="Tabletext"/>
            </w:pPr>
            <w:r w:rsidRPr="002277D0">
              <w:t>Additive strategies (</w:t>
            </w:r>
            <w:proofErr w:type="spellStart"/>
            <w:r w:rsidRPr="002277D0">
              <w:t>AdS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8D4FBA4" w14:textId="77777777" w:rsidR="007D6B92" w:rsidRPr="00AD455D" w:rsidRDefault="007D6B92" w:rsidP="00DD2D1C">
            <w:pPr>
              <w:pStyle w:val="Tabletext"/>
            </w:pPr>
          </w:p>
        </w:tc>
      </w:tr>
      <w:tr w:rsidR="007D6B92" w14:paraId="6313101A" w14:textId="77777777" w:rsidTr="00590F7C">
        <w:tc>
          <w:tcPr>
            <w:tcW w:w="5324" w:type="dxa"/>
            <w:shd w:val="clear" w:color="auto" w:fill="auto"/>
          </w:tcPr>
          <w:p w14:paraId="7204E4BF" w14:textId="77777777" w:rsidR="007D6B92" w:rsidRPr="002277D0" w:rsidRDefault="007D6B92" w:rsidP="00DD2D1C">
            <w:pPr>
              <w:pStyle w:val="Tabletext"/>
            </w:pPr>
            <w:r w:rsidRPr="002277D0">
              <w:lastRenderedPageBreak/>
              <w:t>Multiplicative strategies (</w:t>
            </w:r>
            <w:proofErr w:type="spellStart"/>
            <w:r w:rsidRPr="002277D0">
              <w:t>MuS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0C8668D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12D65C0D" w14:textId="77777777" w:rsidTr="00590F7C">
        <w:tc>
          <w:tcPr>
            <w:tcW w:w="5324" w:type="dxa"/>
            <w:shd w:val="clear" w:color="auto" w:fill="auto"/>
          </w:tcPr>
          <w:p w14:paraId="6D5DB053" w14:textId="77777777" w:rsidR="007D6B92" w:rsidRPr="002277D0" w:rsidRDefault="007D6B92" w:rsidP="00DD2D1C">
            <w:pPr>
              <w:pStyle w:val="Tabletext"/>
            </w:pPr>
            <w:r w:rsidRPr="002277D0">
              <w:t>Operating with decimals (</w:t>
            </w:r>
            <w:proofErr w:type="spellStart"/>
            <w:r w:rsidRPr="002277D0">
              <w:t>OpD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E425C29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7A46C987" w14:textId="77777777" w:rsidTr="00590F7C">
        <w:tc>
          <w:tcPr>
            <w:tcW w:w="5324" w:type="dxa"/>
            <w:shd w:val="clear" w:color="auto" w:fill="auto"/>
          </w:tcPr>
          <w:p w14:paraId="44961951" w14:textId="77777777" w:rsidR="007D6B92" w:rsidRPr="002277D0" w:rsidRDefault="007D6B92" w:rsidP="00DD2D1C">
            <w:pPr>
              <w:pStyle w:val="Tabletext"/>
            </w:pPr>
            <w:r w:rsidRPr="002277D0">
              <w:t>Operating with percentages (</w:t>
            </w:r>
            <w:proofErr w:type="spellStart"/>
            <w:r w:rsidRPr="002277D0">
              <w:t>OpP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D5613EA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4147F634" w14:textId="77777777" w:rsidTr="00590F7C">
        <w:tc>
          <w:tcPr>
            <w:tcW w:w="5324" w:type="dxa"/>
            <w:shd w:val="clear" w:color="auto" w:fill="auto"/>
          </w:tcPr>
          <w:p w14:paraId="08AE31DD" w14:textId="77777777" w:rsidR="007D6B92" w:rsidRPr="002277D0" w:rsidRDefault="007D6B92" w:rsidP="00DD2D1C">
            <w:pPr>
              <w:pStyle w:val="Tabletext"/>
            </w:pPr>
            <w:r w:rsidRPr="002277D0">
              <w:t>Understanding money (</w:t>
            </w:r>
            <w:proofErr w:type="spellStart"/>
            <w:r w:rsidRPr="002277D0">
              <w:t>UnM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DBB9B77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419C5CAA" w14:textId="77777777" w:rsidTr="00590F7C">
        <w:tc>
          <w:tcPr>
            <w:tcW w:w="5324" w:type="dxa"/>
            <w:shd w:val="clear" w:color="auto" w:fill="auto"/>
          </w:tcPr>
          <w:p w14:paraId="00BCF7CB" w14:textId="77777777" w:rsidR="007D6B92" w:rsidRPr="002277D0" w:rsidRDefault="007D6B92" w:rsidP="00DD2D1C">
            <w:pPr>
              <w:pStyle w:val="Tabletext"/>
            </w:pPr>
            <w:r w:rsidRPr="002277D0">
              <w:t>Number patterns and algebraic thinking (NPA)</w:t>
            </w:r>
          </w:p>
        </w:tc>
        <w:tc>
          <w:tcPr>
            <w:tcW w:w="5325" w:type="dxa"/>
            <w:shd w:val="clear" w:color="auto" w:fill="auto"/>
          </w:tcPr>
          <w:p w14:paraId="6C7AE47C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2AC2C4D7" w14:textId="77777777" w:rsidTr="00590F7C">
        <w:tc>
          <w:tcPr>
            <w:tcW w:w="5324" w:type="dxa"/>
            <w:shd w:val="clear" w:color="auto" w:fill="auto"/>
          </w:tcPr>
          <w:p w14:paraId="269BAF44" w14:textId="77777777" w:rsidR="007D6B92" w:rsidRPr="002277D0" w:rsidRDefault="007D6B92" w:rsidP="00DD2D1C">
            <w:pPr>
              <w:pStyle w:val="Tabletext"/>
            </w:pPr>
            <w:r w:rsidRPr="002277D0">
              <w:t>Interpreting fractions (</w:t>
            </w:r>
            <w:proofErr w:type="spellStart"/>
            <w:r w:rsidRPr="002277D0">
              <w:t>InF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D9F7E73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6829B80B" w14:textId="77777777" w:rsidTr="00590F7C">
        <w:tc>
          <w:tcPr>
            <w:tcW w:w="5324" w:type="dxa"/>
            <w:shd w:val="clear" w:color="auto" w:fill="auto"/>
          </w:tcPr>
          <w:p w14:paraId="0D063564" w14:textId="77777777" w:rsidR="007D6B92" w:rsidRPr="002277D0" w:rsidRDefault="007D6B92" w:rsidP="00DD2D1C">
            <w:pPr>
              <w:pStyle w:val="Tabletext"/>
            </w:pPr>
            <w:r w:rsidRPr="002277D0">
              <w:t>Comparing units (</w:t>
            </w:r>
            <w:proofErr w:type="spellStart"/>
            <w:r w:rsidRPr="002277D0">
              <w:t>CoU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23AE32B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23866C84" w14:textId="77777777" w:rsidR="007D6B92" w:rsidRDefault="007D6B92" w:rsidP="00AA37E1">
      <w:pPr>
        <w:pStyle w:val="Heading3"/>
      </w:pPr>
      <w:r>
        <w:t>Measurement and geometry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7D6B92" w:rsidRPr="00AD455D" w14:paraId="78149AD1" w14:textId="77777777" w:rsidTr="00AA37E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76FDDAB8" w14:textId="77777777" w:rsidR="007D6B92" w:rsidRPr="00AD455D" w:rsidRDefault="007D6B92" w:rsidP="00DD2D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03BCABB9" w14:textId="77777777" w:rsidR="007D6B92" w:rsidRPr="00AD455D" w:rsidRDefault="007D6B92" w:rsidP="00DD2D1C">
            <w:pPr>
              <w:pStyle w:val="Tableheading"/>
            </w:pPr>
            <w:r>
              <w:t>Indicators</w:t>
            </w:r>
          </w:p>
        </w:tc>
      </w:tr>
      <w:tr w:rsidR="007D6B92" w:rsidRPr="00AD455D" w14:paraId="2B28F6FB" w14:textId="77777777" w:rsidTr="00590F7C">
        <w:tc>
          <w:tcPr>
            <w:tcW w:w="5324" w:type="dxa"/>
            <w:shd w:val="clear" w:color="auto" w:fill="auto"/>
          </w:tcPr>
          <w:p w14:paraId="4984301F" w14:textId="77777777" w:rsidR="007D6B92" w:rsidRPr="002277D0" w:rsidRDefault="007D6B92" w:rsidP="00DD2D1C">
            <w:pPr>
              <w:pStyle w:val="Tabletext"/>
            </w:pPr>
            <w:r w:rsidRPr="002277D0">
              <w:t>Measuring time (</w:t>
            </w:r>
            <w:proofErr w:type="spellStart"/>
            <w:r w:rsidRPr="002277D0">
              <w:t>MeT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F36FA30" w14:textId="77777777" w:rsidR="007D6B92" w:rsidRPr="00AD455D" w:rsidRDefault="007D6B92" w:rsidP="00DD2D1C">
            <w:pPr>
              <w:pStyle w:val="Tabletext"/>
            </w:pPr>
          </w:p>
        </w:tc>
      </w:tr>
      <w:tr w:rsidR="007D6B92" w:rsidRPr="00AD455D" w14:paraId="182A4F52" w14:textId="77777777" w:rsidTr="00590F7C">
        <w:tc>
          <w:tcPr>
            <w:tcW w:w="5324" w:type="dxa"/>
            <w:shd w:val="clear" w:color="auto" w:fill="auto"/>
          </w:tcPr>
          <w:p w14:paraId="5D97B241" w14:textId="77777777" w:rsidR="007D6B92" w:rsidRPr="002277D0" w:rsidRDefault="007D6B92" w:rsidP="00DD2D1C">
            <w:pPr>
              <w:pStyle w:val="Tabletext"/>
            </w:pPr>
            <w:r w:rsidRPr="002277D0">
              <w:t>Positioning and locating (</w:t>
            </w:r>
            <w:proofErr w:type="spellStart"/>
            <w:r w:rsidRPr="002277D0">
              <w:t>PoL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F9E54DC" w14:textId="77777777" w:rsidR="007D6B92" w:rsidRPr="00AD455D" w:rsidRDefault="007D6B92" w:rsidP="00DD2D1C">
            <w:pPr>
              <w:pStyle w:val="Tabletext"/>
            </w:pPr>
            <w:r>
              <w:t>PoL4, PoL5</w:t>
            </w:r>
          </w:p>
        </w:tc>
      </w:tr>
      <w:tr w:rsidR="007D6B92" w14:paraId="1A174EF9" w14:textId="77777777" w:rsidTr="00590F7C">
        <w:tc>
          <w:tcPr>
            <w:tcW w:w="5324" w:type="dxa"/>
            <w:shd w:val="clear" w:color="auto" w:fill="auto"/>
          </w:tcPr>
          <w:p w14:paraId="2A31B6A3" w14:textId="77777777" w:rsidR="007D6B92" w:rsidRPr="002277D0" w:rsidRDefault="007D6B92" w:rsidP="00DD2D1C">
            <w:pPr>
              <w:pStyle w:val="Tabletext"/>
            </w:pPr>
            <w:r w:rsidRPr="002277D0">
              <w:t>Understanding geometric properties (UGP)</w:t>
            </w:r>
          </w:p>
        </w:tc>
        <w:tc>
          <w:tcPr>
            <w:tcW w:w="5325" w:type="dxa"/>
            <w:shd w:val="clear" w:color="auto" w:fill="auto"/>
          </w:tcPr>
          <w:p w14:paraId="50384762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7D6B92" w14:paraId="06FA4B02" w14:textId="77777777" w:rsidTr="00590F7C">
        <w:tc>
          <w:tcPr>
            <w:tcW w:w="5324" w:type="dxa"/>
            <w:shd w:val="clear" w:color="auto" w:fill="auto"/>
          </w:tcPr>
          <w:p w14:paraId="0B3D6E2B" w14:textId="77777777" w:rsidR="007D6B92" w:rsidRPr="002277D0" w:rsidRDefault="007D6B92" w:rsidP="00DD2D1C">
            <w:pPr>
              <w:pStyle w:val="Tabletext"/>
            </w:pPr>
            <w:r w:rsidRPr="002277D0">
              <w:t>Understanding units of measurement (UUM)</w:t>
            </w:r>
          </w:p>
        </w:tc>
        <w:tc>
          <w:tcPr>
            <w:tcW w:w="5325" w:type="dxa"/>
            <w:shd w:val="clear" w:color="auto" w:fill="auto"/>
          </w:tcPr>
          <w:p w14:paraId="4EB81494" w14:textId="77777777" w:rsidR="007D6B92" w:rsidRPr="00B45D27" w:rsidRDefault="007D6B92" w:rsidP="00DD2D1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4B1C4C04" w14:textId="77777777" w:rsidR="007D6B92" w:rsidRDefault="007D6B92" w:rsidP="00AA37E1">
      <w:pPr>
        <w:pStyle w:val="Heading3"/>
      </w:pPr>
      <w:r>
        <w:t>Statistics and probability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7D6B92" w:rsidRPr="00AD455D" w14:paraId="1AF0AA4B" w14:textId="77777777" w:rsidTr="00AA37E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179D0973" w14:textId="77777777" w:rsidR="007D6B92" w:rsidRPr="00AD455D" w:rsidRDefault="007D6B92" w:rsidP="00DD2D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E804C00" w14:textId="77777777" w:rsidR="007D6B92" w:rsidRPr="00AD455D" w:rsidRDefault="007D6B92" w:rsidP="00DD2D1C">
            <w:pPr>
              <w:pStyle w:val="Tableheading"/>
            </w:pPr>
            <w:r>
              <w:t>Indicators</w:t>
            </w:r>
          </w:p>
        </w:tc>
      </w:tr>
      <w:tr w:rsidR="007D6B92" w:rsidRPr="00AD455D" w14:paraId="601638A0" w14:textId="77777777" w:rsidTr="00590F7C">
        <w:tc>
          <w:tcPr>
            <w:tcW w:w="5324" w:type="dxa"/>
            <w:shd w:val="clear" w:color="auto" w:fill="FFFFFF"/>
          </w:tcPr>
          <w:p w14:paraId="1DC1B054" w14:textId="77777777" w:rsidR="007D6B92" w:rsidRPr="002277D0" w:rsidRDefault="007D6B92" w:rsidP="00DD2D1C">
            <w:pPr>
              <w:pStyle w:val="Tabletext"/>
            </w:pPr>
            <w:r>
              <w:t>Interpreting and representing data (IRD)</w:t>
            </w:r>
          </w:p>
        </w:tc>
        <w:tc>
          <w:tcPr>
            <w:tcW w:w="5325" w:type="dxa"/>
            <w:shd w:val="clear" w:color="auto" w:fill="FFFFFF"/>
          </w:tcPr>
          <w:p w14:paraId="2A963905" w14:textId="77777777" w:rsidR="007D6B92" w:rsidRPr="00AD455D" w:rsidRDefault="007D6B92" w:rsidP="00DD2D1C">
            <w:pPr>
              <w:pStyle w:val="Tabletext"/>
            </w:pPr>
            <w:r>
              <w:t>IRD5</w:t>
            </w:r>
          </w:p>
        </w:tc>
      </w:tr>
      <w:tr w:rsidR="007D6B92" w:rsidRPr="00AD455D" w14:paraId="0EE3E945" w14:textId="77777777" w:rsidTr="00590F7C">
        <w:tc>
          <w:tcPr>
            <w:tcW w:w="5324" w:type="dxa"/>
            <w:shd w:val="clear" w:color="auto" w:fill="auto"/>
          </w:tcPr>
          <w:p w14:paraId="4F873AB9" w14:textId="77777777" w:rsidR="007D6B92" w:rsidRPr="002277D0" w:rsidRDefault="007D6B92" w:rsidP="00DD2D1C">
            <w:pPr>
              <w:pStyle w:val="Tabletext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auto"/>
          </w:tcPr>
          <w:p w14:paraId="11E4BAEE" w14:textId="77777777" w:rsidR="007D6B92" w:rsidRPr="00AD455D" w:rsidRDefault="007D6B92" w:rsidP="00DD2D1C">
            <w:pPr>
              <w:pStyle w:val="Tabletext"/>
            </w:pPr>
          </w:p>
        </w:tc>
      </w:tr>
    </w:tbl>
    <w:p w14:paraId="5878C75E" w14:textId="77777777" w:rsidR="007D6B92" w:rsidRDefault="007D6B92" w:rsidP="007D6B92">
      <w:pPr>
        <w:pStyle w:val="DoEbodytext2018"/>
        <w:rPr>
          <w:lang w:eastAsia="en-US"/>
        </w:rPr>
      </w:pPr>
      <w:r>
        <w:rPr>
          <w:lang w:eastAsia="en-US"/>
        </w:rPr>
        <w:t>Note –</w:t>
      </w:r>
      <w:r w:rsidRPr="002277D0">
        <w:rPr>
          <w:lang w:eastAsia="en-US"/>
        </w:rPr>
        <w:t xml:space="preserve"> </w:t>
      </w:r>
      <w:r>
        <w:rPr>
          <w:lang w:eastAsia="en-US"/>
        </w:rPr>
        <w:t>i</w:t>
      </w:r>
      <w:r w:rsidRPr="002277D0">
        <w:rPr>
          <w:lang w:eastAsia="en-US"/>
        </w:rPr>
        <w:t xml:space="preserve">ndicators for the sub-elements in </w:t>
      </w:r>
      <w:r w:rsidRPr="00572473">
        <w:rPr>
          <w:color w:val="C00000"/>
          <w:lang w:eastAsia="en-US"/>
        </w:rPr>
        <w:t>red*</w:t>
      </w:r>
      <w:r w:rsidRPr="002277D0">
        <w:rPr>
          <w:lang w:eastAsia="en-US"/>
        </w:rPr>
        <w:t xml:space="preserve"> can be identified once work samples from students have been collected and analysed.</w:t>
      </w:r>
    </w:p>
    <w:p w14:paraId="2C85500B" w14:textId="3101E0E8" w:rsidR="007D6B92" w:rsidRDefault="007D6B92" w:rsidP="00AA37E1">
      <w:pPr>
        <w:pStyle w:val="Heading2"/>
      </w:pPr>
      <w:r w:rsidRPr="00F52CC7">
        <w:t xml:space="preserve">Teaching and learning </w:t>
      </w:r>
      <w:r w:rsidR="00A32050">
        <w:t>activities</w:t>
      </w:r>
    </w:p>
    <w:p w14:paraId="115C893F" w14:textId="766595EF" w:rsidR="007D6B92" w:rsidRDefault="00A32050" w:rsidP="00A32050">
      <w:pPr>
        <w:pStyle w:val="ListNumber"/>
      </w:pPr>
      <w:r>
        <w:t>R</w:t>
      </w:r>
      <w:r w:rsidR="007D6B92" w:rsidRPr="00F52CC7">
        <w:t xml:space="preserve">esearch </w:t>
      </w:r>
      <w:r w:rsidR="007D6B92">
        <w:t>activity</w:t>
      </w:r>
      <w:r>
        <w:t>.</w:t>
      </w:r>
    </w:p>
    <w:p w14:paraId="2609E1CC" w14:textId="6EBE649F" w:rsidR="007D6B92" w:rsidRDefault="00A32050" w:rsidP="00A32050">
      <w:pPr>
        <w:pStyle w:val="ListNumber"/>
        <w:rPr>
          <w:rFonts w:cs="Arial"/>
        </w:rPr>
      </w:pPr>
      <w:r>
        <w:rPr>
          <w:rFonts w:cs="Arial"/>
        </w:rPr>
        <w:t>E</w:t>
      </w:r>
      <w:r w:rsidR="007D6B92" w:rsidRPr="00F52CC7">
        <w:rPr>
          <w:rFonts w:cs="Arial"/>
        </w:rPr>
        <w:t>xamine three health related challenges (referring to data from the</w:t>
      </w:r>
      <w:r w:rsidR="008024CE">
        <w:rPr>
          <w:rFonts w:cs="Arial"/>
        </w:rPr>
        <w:t xml:space="preserve"> World health o</w:t>
      </w:r>
      <w:r w:rsidR="007D6B92">
        <w:rPr>
          <w:rFonts w:cs="Arial"/>
        </w:rPr>
        <w:t>rganisation)</w:t>
      </w:r>
      <w:r>
        <w:rPr>
          <w:rFonts w:cs="Arial"/>
        </w:rPr>
        <w:t>.</w:t>
      </w:r>
    </w:p>
    <w:p w14:paraId="64281384" w14:textId="6D455005" w:rsidR="007D6B92" w:rsidRDefault="00A32050" w:rsidP="00A32050">
      <w:pPr>
        <w:pStyle w:val="ListNumber"/>
        <w:rPr>
          <w:rFonts w:cs="Arial"/>
        </w:rPr>
      </w:pPr>
      <w:r>
        <w:rPr>
          <w:rFonts w:cs="Arial"/>
        </w:rPr>
        <w:t>D</w:t>
      </w:r>
      <w:r w:rsidR="007D6B92">
        <w:rPr>
          <w:rFonts w:cs="Arial"/>
        </w:rPr>
        <w:t xml:space="preserve">iscuss the </w:t>
      </w:r>
      <w:r w:rsidR="007D6B92" w:rsidRPr="00F52CC7">
        <w:rPr>
          <w:rFonts w:cs="Arial"/>
        </w:rPr>
        <w:t>responses to these challenges</w:t>
      </w:r>
      <w:r w:rsidR="007D6B92">
        <w:rPr>
          <w:rFonts w:cs="Arial"/>
        </w:rPr>
        <w:t xml:space="preserve"> by government and/or non-government organisations</w:t>
      </w:r>
      <w:r w:rsidR="007D6B92" w:rsidRPr="00F52CC7">
        <w:rPr>
          <w:rFonts w:cs="Arial"/>
        </w:rPr>
        <w:t xml:space="preserve"> in three different West African nations</w:t>
      </w:r>
      <w:r>
        <w:rPr>
          <w:rFonts w:cs="Arial"/>
        </w:rPr>
        <w:t>.</w:t>
      </w:r>
    </w:p>
    <w:p w14:paraId="393ACDF0" w14:textId="7BC66415" w:rsidR="007D6B92" w:rsidRPr="00494371" w:rsidRDefault="00A32050" w:rsidP="00A32050">
      <w:pPr>
        <w:pStyle w:val="ListNumber"/>
        <w:rPr>
          <w:rFonts w:eastAsia="SimSun" w:cs="Arial"/>
        </w:rPr>
      </w:pPr>
      <w:r>
        <w:rPr>
          <w:rFonts w:cs="Arial"/>
        </w:rPr>
        <w:t>W</w:t>
      </w:r>
      <w:r w:rsidR="007D6B92">
        <w:rPr>
          <w:rFonts w:cs="Arial"/>
        </w:rPr>
        <w:t xml:space="preserve">rite </w:t>
      </w:r>
      <w:r w:rsidR="007D6B92" w:rsidRPr="00F52CC7">
        <w:rPr>
          <w:rFonts w:cs="Arial"/>
        </w:rPr>
        <w:t>a one page summary</w:t>
      </w:r>
      <w:r w:rsidR="007D6B92">
        <w:rPr>
          <w:rFonts w:cs="Arial"/>
        </w:rPr>
        <w:t>, in note form, of research findings and discussion,</w:t>
      </w:r>
      <w:r w:rsidR="007D6B92" w:rsidRPr="00F52CC7">
        <w:rPr>
          <w:rFonts w:cs="Arial"/>
        </w:rPr>
        <w:t xml:space="preserve"> to be used as a stimulus </w:t>
      </w:r>
      <w:r w:rsidR="007D6B92">
        <w:rPr>
          <w:rFonts w:cs="Arial"/>
        </w:rPr>
        <w:t>for</w:t>
      </w:r>
      <w:r w:rsidR="007D6B92" w:rsidRPr="00F52CC7">
        <w:rPr>
          <w:rFonts w:cs="Arial"/>
        </w:rPr>
        <w:t xml:space="preserve"> writing the extended response.</w:t>
      </w:r>
    </w:p>
    <w:p w14:paraId="05C9C66D" w14:textId="792C898E" w:rsidR="007D6B92" w:rsidRPr="00A32050" w:rsidRDefault="00A32050" w:rsidP="00A32050">
      <w:pPr>
        <w:pStyle w:val="ListNumber"/>
        <w:rPr>
          <w:rFonts w:cs="Arial"/>
        </w:rPr>
      </w:pPr>
      <w:r>
        <w:rPr>
          <w:rFonts w:cs="Arial"/>
        </w:rPr>
        <w:t>W</w:t>
      </w:r>
      <w:r w:rsidRPr="00F52CC7">
        <w:rPr>
          <w:rFonts w:cs="Arial"/>
        </w:rPr>
        <w:t>rite</w:t>
      </w:r>
      <w:r>
        <w:rPr>
          <w:rFonts w:cs="Arial"/>
        </w:rPr>
        <w:t xml:space="preserve"> an </w:t>
      </w:r>
      <w:r w:rsidRPr="00494371">
        <w:t>extended response to the question, under exam conditions, with access to the one page summary</w:t>
      </w:r>
      <w:r>
        <w:rPr>
          <w:rFonts w:cs="Arial"/>
        </w:rPr>
        <w:t xml:space="preserve"> as a content guide. </w:t>
      </w:r>
      <w:r w:rsidR="007D6B92">
        <w:t>E</w:t>
      </w:r>
      <w:r w:rsidR="00494371">
        <w:t>xtended response</w:t>
      </w:r>
      <w:r>
        <w:t xml:space="preserve"> topic</w:t>
      </w:r>
      <w:r w:rsidR="00494371">
        <w:t>:</w:t>
      </w:r>
    </w:p>
    <w:p w14:paraId="01611C02" w14:textId="05944DCB" w:rsidR="007D6B92" w:rsidRPr="00A32050" w:rsidRDefault="007D6B92" w:rsidP="00A32050">
      <w:pPr>
        <w:pStyle w:val="ListBullet2"/>
      </w:pPr>
      <w:r w:rsidRPr="00A32050">
        <w:lastRenderedPageBreak/>
        <w:t>Evaluate the effectiveness of government and non-government responses to spatial variations in health – in your response, re</w:t>
      </w:r>
      <w:r w:rsidR="00494371" w:rsidRPr="00A32050">
        <w:t xml:space="preserve">fer to at least three nations. </w:t>
      </w:r>
    </w:p>
    <w:p w14:paraId="057C2DB4" w14:textId="62F0BE11" w:rsidR="007D6B92" w:rsidRDefault="00A32050" w:rsidP="007D6B92">
      <w:pPr>
        <w:ind w:left="720"/>
        <w:rPr>
          <w:rFonts w:cs="Arial"/>
        </w:rPr>
      </w:pPr>
      <w:r>
        <w:rPr>
          <w:rFonts w:cs="Arial"/>
        </w:rPr>
        <w:t xml:space="preserve">Teachers’ note </w:t>
      </w:r>
      <w:r>
        <w:t>– stu</w:t>
      </w:r>
      <w:r w:rsidR="007D6B92">
        <w:rPr>
          <w:rFonts w:cs="Arial"/>
        </w:rPr>
        <w:t xml:space="preserve">dents are to be </w:t>
      </w:r>
      <w:r w:rsidR="007D6B92" w:rsidRPr="00F52CC7">
        <w:rPr>
          <w:rFonts w:cs="Arial"/>
        </w:rPr>
        <w:t xml:space="preserve">explicitly </w:t>
      </w:r>
      <w:r w:rsidR="007D6B92">
        <w:rPr>
          <w:rFonts w:cs="Arial"/>
        </w:rPr>
        <w:t>reminded about</w:t>
      </w:r>
      <w:r w:rsidR="007D6B92" w:rsidRPr="00F52CC7">
        <w:rPr>
          <w:rFonts w:cs="Arial"/>
        </w:rPr>
        <w:t xml:space="preserve"> how to structure an extend</w:t>
      </w:r>
      <w:r>
        <w:rPr>
          <w:rFonts w:cs="Arial"/>
        </w:rPr>
        <w:t xml:space="preserve">ed response </w:t>
      </w:r>
      <w:r>
        <w:t xml:space="preserve">– </w:t>
      </w:r>
      <w:r w:rsidR="007D6B92" w:rsidRPr="00F52CC7">
        <w:rPr>
          <w:rFonts w:cs="Arial"/>
        </w:rPr>
        <w:t>writing an introduction</w:t>
      </w:r>
      <w:r w:rsidR="007D6B92">
        <w:rPr>
          <w:rFonts w:cs="Arial"/>
        </w:rPr>
        <w:t xml:space="preserve">, </w:t>
      </w:r>
      <w:r w:rsidR="007D6B92" w:rsidRPr="00F52CC7">
        <w:rPr>
          <w:rFonts w:cs="Arial"/>
        </w:rPr>
        <w:t>conclusion</w:t>
      </w:r>
      <w:r w:rsidR="007D6B92">
        <w:rPr>
          <w:rFonts w:cs="Arial"/>
        </w:rPr>
        <w:t xml:space="preserve"> and body paragraphs. Students may </w:t>
      </w:r>
      <w:r>
        <w:rPr>
          <w:rFonts w:cs="Arial"/>
        </w:rPr>
        <w:t>practis</w:t>
      </w:r>
      <w:r w:rsidR="007D6B92" w:rsidRPr="00F52CC7">
        <w:rPr>
          <w:rFonts w:cs="Arial"/>
        </w:rPr>
        <w:t>e writing an introduction and a body paragraph for the question</w:t>
      </w:r>
      <w:r w:rsidR="007D6B92">
        <w:rPr>
          <w:rFonts w:cs="Arial"/>
        </w:rPr>
        <w:t>, working in pairs.</w:t>
      </w:r>
    </w:p>
    <w:p w14:paraId="16AE0AD6" w14:textId="77777777" w:rsidR="007D6B92" w:rsidRDefault="007D6B92" w:rsidP="00AA37E1">
      <w:pPr>
        <w:pStyle w:val="Heading3"/>
      </w:pPr>
      <w:r>
        <w:t>Evaluate</w:t>
      </w:r>
    </w:p>
    <w:p w14:paraId="2DE26A37" w14:textId="77777777" w:rsidR="007D6B92" w:rsidRPr="00494371" w:rsidRDefault="007D6B92" w:rsidP="007D6B92">
      <w:pPr>
        <w:pStyle w:val="IOSbodytext"/>
        <w:spacing w:after="120"/>
        <w:rPr>
          <w:rStyle w:val="Strong"/>
        </w:rPr>
      </w:pPr>
      <w:r w:rsidRPr="00494371">
        <w:rPr>
          <w:rStyle w:val="Strong"/>
        </w:rPr>
        <w:t>Formative feedback</w:t>
      </w:r>
    </w:p>
    <w:p w14:paraId="58947B78" w14:textId="755651B3" w:rsidR="007D6B92" w:rsidRDefault="007D6B92" w:rsidP="00A32050">
      <w:pPr>
        <w:pStyle w:val="ListBullet"/>
      </w:pPr>
      <w:r>
        <w:t>Teacher observes the students writing, editing and discussing their extended response paragraphs</w:t>
      </w:r>
      <w:r w:rsidR="00A32050">
        <w:t>.</w:t>
      </w:r>
      <w:r>
        <w:t xml:space="preserve"> </w:t>
      </w:r>
    </w:p>
    <w:p w14:paraId="535187CE" w14:textId="77777777" w:rsidR="007D6B92" w:rsidRPr="00494371" w:rsidRDefault="007D6B92" w:rsidP="007D6B92">
      <w:pPr>
        <w:pStyle w:val="outcome"/>
        <w:rPr>
          <w:rStyle w:val="Strong"/>
        </w:rPr>
      </w:pPr>
      <w:r w:rsidRPr="00494371">
        <w:rPr>
          <w:rStyle w:val="Strong"/>
        </w:rPr>
        <w:t>Summative feedback</w:t>
      </w:r>
    </w:p>
    <w:p w14:paraId="79D3C22C" w14:textId="60D72D13" w:rsidR="007D6B92" w:rsidRDefault="00A32050" w:rsidP="00494371">
      <w:pPr>
        <w:pStyle w:val="ListBullet"/>
      </w:pPr>
      <w:r>
        <w:t>A</w:t>
      </w:r>
      <w:r w:rsidR="007D6B92">
        <w:t>ssessment task</w:t>
      </w:r>
      <w:r>
        <w:t>.</w:t>
      </w:r>
    </w:p>
    <w:p w14:paraId="4BCD181B" w14:textId="77777777" w:rsidR="007D6B92" w:rsidRPr="00CC37D1" w:rsidRDefault="007D6B92" w:rsidP="00AA37E1">
      <w:pPr>
        <w:pStyle w:val="Heading3"/>
      </w:pPr>
      <w:r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7D6B92" w:rsidRPr="00764AE3" w14:paraId="15015FCB" w14:textId="77777777" w:rsidTr="00AA37E1">
        <w:tc>
          <w:tcPr>
            <w:tcW w:w="2327" w:type="dxa"/>
            <w:shd w:val="clear" w:color="auto" w:fill="B4C6E7" w:themeFill="accent1" w:themeFillTint="66"/>
          </w:tcPr>
          <w:p w14:paraId="1622A30C" w14:textId="77777777" w:rsidR="007D6B92" w:rsidRPr="00764AE3" w:rsidRDefault="007D6B92" w:rsidP="00494371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Name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49D5B1AA" w14:textId="77777777" w:rsidR="007D6B92" w:rsidRPr="00764AE3" w:rsidRDefault="007D6B92" w:rsidP="00494371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Indicator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60DAA57" w14:textId="77777777" w:rsidR="007D6B92" w:rsidRPr="00764AE3" w:rsidRDefault="007D6B92" w:rsidP="00494371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Where to next</w:t>
            </w:r>
            <w:r>
              <w:rPr>
                <w:lang w:val="en-US"/>
              </w:rPr>
              <w:t xml:space="preserve"> (indicator)</w:t>
            </w:r>
          </w:p>
        </w:tc>
        <w:tc>
          <w:tcPr>
            <w:tcW w:w="4565" w:type="dxa"/>
            <w:shd w:val="clear" w:color="auto" w:fill="B4C6E7" w:themeFill="accent1" w:themeFillTint="66"/>
          </w:tcPr>
          <w:p w14:paraId="754C8E70" w14:textId="77777777" w:rsidR="007D6B92" w:rsidRPr="00764AE3" w:rsidRDefault="007D6B92" w:rsidP="00494371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7D6B92" w:rsidRPr="00764AE3" w14:paraId="7C410C1B" w14:textId="77777777" w:rsidTr="00A32050">
        <w:tc>
          <w:tcPr>
            <w:tcW w:w="2327" w:type="dxa"/>
            <w:shd w:val="clear" w:color="auto" w:fill="auto"/>
          </w:tcPr>
          <w:p w14:paraId="70C4A105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42623873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D1C6287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54FCAB36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</w:tr>
      <w:tr w:rsidR="007D6B92" w:rsidRPr="00764AE3" w14:paraId="2B090BC1" w14:textId="77777777" w:rsidTr="00A32050">
        <w:tc>
          <w:tcPr>
            <w:tcW w:w="2327" w:type="dxa"/>
            <w:shd w:val="clear" w:color="auto" w:fill="auto"/>
          </w:tcPr>
          <w:p w14:paraId="667A71AD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0267DC15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572CA1F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7FC105D0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</w:tr>
      <w:tr w:rsidR="007D6B92" w:rsidRPr="00764AE3" w14:paraId="760B031D" w14:textId="77777777" w:rsidTr="00A32050">
        <w:tc>
          <w:tcPr>
            <w:tcW w:w="2327" w:type="dxa"/>
            <w:shd w:val="clear" w:color="auto" w:fill="auto"/>
          </w:tcPr>
          <w:p w14:paraId="1514A316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53C150C4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445DDF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6BD218B7" w14:textId="77777777" w:rsidR="007D6B92" w:rsidRPr="00764AE3" w:rsidRDefault="007D6B92" w:rsidP="00590F7C">
            <w:pPr>
              <w:pStyle w:val="IOSbodytext2017"/>
              <w:rPr>
                <w:lang w:val="en-US" w:eastAsia="en-US"/>
              </w:rPr>
            </w:pPr>
          </w:p>
        </w:tc>
      </w:tr>
      <w:bookmarkEnd w:id="0"/>
      <w:bookmarkEnd w:id="1"/>
      <w:bookmarkEnd w:id="2"/>
    </w:tbl>
    <w:p w14:paraId="14299BE8" w14:textId="18816520" w:rsidR="00A36BC6" w:rsidRPr="00A36BC6" w:rsidRDefault="00A36BC6" w:rsidP="007D6B92">
      <w:pPr>
        <w:pStyle w:val="Title"/>
      </w:pPr>
    </w:p>
    <w:sectPr w:rsidR="00A36BC6" w:rsidRPr="00A36BC6" w:rsidSect="004959E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9BF" w14:textId="77777777" w:rsidR="00DB2B4B" w:rsidRDefault="00DB2B4B" w:rsidP="00191F45">
      <w:r>
        <w:separator/>
      </w:r>
    </w:p>
    <w:p w14:paraId="294C05B8" w14:textId="77777777" w:rsidR="00DB2B4B" w:rsidRDefault="00DB2B4B"/>
    <w:p w14:paraId="64843BCF" w14:textId="77777777" w:rsidR="00DB2B4B" w:rsidRDefault="00DB2B4B"/>
  </w:endnote>
  <w:endnote w:type="continuationSeparator" w:id="0">
    <w:p w14:paraId="0EE3D703" w14:textId="77777777" w:rsidR="00DB2B4B" w:rsidRDefault="00DB2B4B" w:rsidP="00191F45">
      <w:r>
        <w:continuationSeparator/>
      </w:r>
    </w:p>
    <w:p w14:paraId="55BC52F3" w14:textId="77777777" w:rsidR="00DB2B4B" w:rsidRDefault="00DB2B4B"/>
    <w:p w14:paraId="34C70B58" w14:textId="77777777" w:rsidR="00DB2B4B" w:rsidRDefault="00DB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7A79" w14:textId="160521F0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A37E1">
      <w:rPr>
        <w:noProof/>
      </w:rPr>
      <w:t>4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24CE">
          <w:rPr>
            <w:color w:val="000000" w:themeColor="text1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C689" w14:textId="184CC124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A37E1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AA37E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DACF" w14:textId="77777777" w:rsidR="00DB2B4B" w:rsidRDefault="00DB2B4B" w:rsidP="00191F45">
      <w:r>
        <w:separator/>
      </w:r>
    </w:p>
    <w:p w14:paraId="539913BD" w14:textId="77777777" w:rsidR="00DB2B4B" w:rsidRDefault="00DB2B4B"/>
    <w:p w14:paraId="329710A7" w14:textId="77777777" w:rsidR="00DB2B4B" w:rsidRDefault="00DB2B4B"/>
  </w:footnote>
  <w:footnote w:type="continuationSeparator" w:id="0">
    <w:p w14:paraId="45E4A487" w14:textId="77777777" w:rsidR="00DB2B4B" w:rsidRDefault="00DB2B4B" w:rsidP="00191F45">
      <w:r>
        <w:continuationSeparator/>
      </w:r>
    </w:p>
    <w:p w14:paraId="6F88B564" w14:textId="77777777" w:rsidR="00DB2B4B" w:rsidRDefault="00DB2B4B"/>
    <w:p w14:paraId="6AA3C22C" w14:textId="77777777" w:rsidR="00DB2B4B" w:rsidRDefault="00DB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D3E08"/>
    <w:multiLevelType w:val="hybridMultilevel"/>
    <w:tmpl w:val="EC0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63F07"/>
    <w:multiLevelType w:val="hybridMultilevel"/>
    <w:tmpl w:val="947E46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C63C79"/>
    <w:multiLevelType w:val="hybridMultilevel"/>
    <w:tmpl w:val="408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4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F0862"/>
    <w:multiLevelType w:val="hybridMultilevel"/>
    <w:tmpl w:val="87DEF598"/>
    <w:lvl w:ilvl="0" w:tplc="72F46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F428B"/>
    <w:multiLevelType w:val="hybridMultilevel"/>
    <w:tmpl w:val="337EE1BC"/>
    <w:lvl w:ilvl="0" w:tplc="72F46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AB13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B4A62"/>
    <w:multiLevelType w:val="hybridMultilevel"/>
    <w:tmpl w:val="9A6C94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0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20722"/>
    <w:multiLevelType w:val="hybridMultilevel"/>
    <w:tmpl w:val="C75CA8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8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31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29"/>
  </w:num>
  <w:num w:numId="5">
    <w:abstractNumId w:val="24"/>
  </w:num>
  <w:num w:numId="6">
    <w:abstractNumId w:val="8"/>
  </w:num>
  <w:num w:numId="7">
    <w:abstractNumId w:val="29"/>
  </w:num>
  <w:num w:numId="8">
    <w:abstractNumId w:val="20"/>
  </w:num>
  <w:num w:numId="9">
    <w:abstractNumId w:val="24"/>
  </w:num>
  <w:num w:numId="10">
    <w:abstractNumId w:val="29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8"/>
  </w:num>
  <w:num w:numId="20">
    <w:abstractNumId w:val="30"/>
  </w:num>
  <w:num w:numId="21">
    <w:abstractNumId w:val="9"/>
  </w:num>
  <w:num w:numId="22">
    <w:abstractNumId w:val="8"/>
  </w:num>
  <w:num w:numId="23">
    <w:abstractNumId w:val="29"/>
  </w:num>
  <w:num w:numId="24">
    <w:abstractNumId w:val="30"/>
  </w:num>
  <w:num w:numId="25">
    <w:abstractNumId w:val="23"/>
  </w:num>
  <w:num w:numId="26">
    <w:abstractNumId w:val="30"/>
  </w:num>
  <w:num w:numId="27">
    <w:abstractNumId w:val="31"/>
  </w:num>
  <w:num w:numId="28">
    <w:abstractNumId w:val="27"/>
  </w:num>
  <w:num w:numId="29">
    <w:abstractNumId w:val="1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5"/>
  </w:num>
  <w:num w:numId="39">
    <w:abstractNumId w:val="2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17"/>
  </w:num>
  <w:num w:numId="44">
    <w:abstractNumId w:val="26"/>
  </w:num>
  <w:num w:numId="45">
    <w:abstractNumId w:val="18"/>
  </w:num>
  <w:num w:numId="46">
    <w:abstractNumId w:val="16"/>
  </w:num>
  <w:num w:numId="47">
    <w:abstractNumId w:val="11"/>
  </w:num>
  <w:num w:numId="48">
    <w:abstractNumId w:val="12"/>
  </w:num>
  <w:num w:numId="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A7B12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371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6B9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4CE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2050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7E1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2D1C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0DD3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">
    <w:name w:val="IOS body text"/>
    <w:basedOn w:val="Normal"/>
    <w:link w:val="IOSbodytextChar"/>
    <w:qFormat/>
    <w:rsid w:val="007D6B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7D6B92"/>
    <w:rPr>
      <w:rFonts w:ascii="Arial" w:eastAsia="SimSun" w:hAnsi="Arial" w:cs="Times New Roman"/>
      <w:lang w:val="en-AU" w:eastAsia="zh-CN"/>
    </w:rPr>
  </w:style>
  <w:style w:type="paragraph" w:customStyle="1" w:styleId="IOSbodytext2017">
    <w:name w:val="IOS body text 2017"/>
    <w:basedOn w:val="Normal"/>
    <w:qFormat/>
    <w:rsid w:val="007D6B92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7D6B9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Normal"/>
    <w:next w:val="IOSbodytext2017"/>
    <w:qFormat/>
    <w:locked/>
    <w:rsid w:val="007D6B9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noProof/>
      <w:sz w:val="32"/>
      <w:szCs w:val="32"/>
      <w:lang w:val="en-US"/>
    </w:rPr>
  </w:style>
  <w:style w:type="paragraph" w:customStyle="1" w:styleId="IOSheading4">
    <w:name w:val="IOS heading 4"/>
    <w:basedOn w:val="Normal"/>
    <w:next w:val="IOSbodytext"/>
    <w:qFormat/>
    <w:rsid w:val="007D6B9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outcome">
    <w:name w:val="outcome"/>
    <w:autoRedefine/>
    <w:qFormat/>
    <w:rsid w:val="007D6B92"/>
    <w:pPr>
      <w:spacing w:before="120" w:after="120" w:line="240" w:lineRule="auto"/>
      <w:ind w:left="360" w:hanging="360"/>
    </w:pPr>
    <w:rPr>
      <w:rFonts w:ascii="Arial" w:eastAsia="Times New Roman" w:hAnsi="Arial" w:cs="Times New Roman"/>
      <w:bCs/>
      <w:lang w:val="en-AU"/>
    </w:rPr>
  </w:style>
  <w:style w:type="paragraph" w:customStyle="1" w:styleId="DoEbodytext2018">
    <w:name w:val="DoE body text 2018"/>
    <w:basedOn w:val="Normal"/>
    <w:qFormat/>
    <w:rsid w:val="007D6B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7D6B9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7D6B92"/>
    <w:pPr>
      <w:spacing w:before="280"/>
      <w:outlineLvl w:val="2"/>
    </w:pPr>
    <w:rPr>
      <w:sz w:val="32"/>
      <w:szCs w:val="4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7D6B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7D6B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7D6B92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geography-k10/cont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mali.DETNSW\Downloads\2019-doe-short-template-annotate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EAEB9-EF71-4534-8952-86E7DED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(14).dotx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2019-05-08T06:11:00Z</dcterms:created>
  <dcterms:modified xsi:type="dcterms:W3CDTF">2019-08-02T05:34:00Z</dcterms:modified>
  <cp:category/>
</cp:coreProperties>
</file>