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0076" w14:textId="5DF9E854" w:rsidR="00DC03C4" w:rsidRDefault="016E3F69" w:rsidP="00DC03C4">
      <w:pPr>
        <w:pStyle w:val="Title"/>
      </w:pPr>
      <w:bookmarkStart w:id="0" w:name="_GoBack"/>
      <w:bookmarkEnd w:id="0"/>
      <w:r>
        <w:t>Scope and sequence</w:t>
      </w:r>
    </w:p>
    <w:p w14:paraId="33F46A68" w14:textId="152E6D2B" w:rsidR="00AB5560" w:rsidRPr="00AB5560" w:rsidRDefault="00F92E57" w:rsidP="00AB5560">
      <w:pPr>
        <w:pStyle w:val="Heading2"/>
      </w:pPr>
      <w:r>
        <w:t>Stage 5 music – 100 hours</w:t>
      </w:r>
    </w:p>
    <w:p w14:paraId="0E7C4B73" w14:textId="30E4BBFA" w:rsidR="00DC03C4" w:rsidRDefault="00DC03C4" w:rsidP="24F7CBB5">
      <w:pPr>
        <w:pStyle w:val="Heading3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age 5 scope and sequence 100 hours"/>
        <w:tblDescription w:val="This table outlines the topic areas covered in terms one to four of stage 5 including the duration of the topic, the unit overview and assessment."/>
      </w:tblPr>
      <w:tblGrid>
        <w:gridCol w:w="1530"/>
        <w:gridCol w:w="1980"/>
        <w:gridCol w:w="2130"/>
        <w:gridCol w:w="1980"/>
        <w:gridCol w:w="1950"/>
      </w:tblGrid>
      <w:tr w:rsidR="24F7CBB5" w14:paraId="7AB02E26" w14:textId="77777777" w:rsidTr="261AF2F7">
        <w:tc>
          <w:tcPr>
            <w:tcW w:w="15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EBB7630" w14:textId="33D50077" w:rsidR="24F7CBB5" w:rsidRDefault="24F7CBB5"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 xml:space="preserve">Stage 5 </w:t>
            </w:r>
            <w:r w:rsidR="624B6D85"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m</w:t>
            </w:r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usic</w:t>
            </w:r>
          </w:p>
        </w:tc>
        <w:tc>
          <w:tcPr>
            <w:tcW w:w="198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2871561" w14:textId="551412A0" w:rsidR="24F7CBB5" w:rsidRDefault="24F7CBB5"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 xml:space="preserve">Popular </w:t>
            </w:r>
            <w:r w:rsidR="114837B3"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m</w:t>
            </w:r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usic</w:t>
            </w:r>
          </w:p>
        </w:tc>
        <w:tc>
          <w:tcPr>
            <w:tcW w:w="213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4BB0A24" w14:textId="680A5A5D" w:rsidR="24F7CBB5" w:rsidRDefault="00F92E57"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 xml:space="preserve">Music of a </w:t>
            </w:r>
            <w:r w:rsidR="47B6C6B5"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ulture</w:t>
            </w:r>
          </w:p>
        </w:tc>
        <w:tc>
          <w:tcPr>
            <w:tcW w:w="198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556FCF7" w14:textId="34610B18" w:rsidR="24F7CBB5" w:rsidRDefault="24F7CBB5"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 xml:space="preserve">Australian </w:t>
            </w:r>
            <w:r w:rsidR="6F296D01"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m</w:t>
            </w:r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usic</w:t>
            </w:r>
          </w:p>
        </w:tc>
        <w:tc>
          <w:tcPr>
            <w:tcW w:w="1950" w:type="dxa"/>
            <w:tcBorders>
              <w:top w:val="single" w:sz="24" w:space="0" w:color="1F3864" w:themeColor="accent1" w:themeShade="80"/>
              <w:left w:val="single" w:sz="24" w:space="0" w:color="1F3864" w:themeColor="accent1" w:themeShade="80"/>
              <w:bottom w:val="single" w:sz="24" w:space="0" w:color="C00000"/>
              <w:right w:val="single" w:sz="2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3AD165E" w14:textId="29814959" w:rsidR="24F7CBB5" w:rsidRDefault="00F92E57">
            <w:r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 xml:space="preserve">Classical </w:t>
            </w:r>
            <w:r w:rsidR="3BA61264"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m</w:t>
            </w:r>
            <w:r w:rsidR="24F7CBB5" w:rsidRPr="61E85997">
              <w:rPr>
                <w:rFonts w:eastAsia="Arial" w:cs="Arial"/>
                <w:b/>
                <w:bCs/>
                <w:color w:val="FFFFFF" w:themeColor="background1"/>
                <w:sz w:val="22"/>
                <w:szCs w:val="22"/>
              </w:rPr>
              <w:t>usic</w:t>
            </w:r>
          </w:p>
        </w:tc>
      </w:tr>
      <w:tr w:rsidR="24F7CBB5" w14:paraId="21BFC447" w14:textId="77777777" w:rsidTr="261AF2F7">
        <w:tc>
          <w:tcPr>
            <w:tcW w:w="1530" w:type="dxa"/>
            <w:tcBorders>
              <w:top w:val="single" w:sz="24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DF205" w14:textId="2C3F2953" w:rsidR="24F7CBB5" w:rsidRDefault="24F7CBB5">
            <w:r w:rsidRPr="24F7CBB5">
              <w:rPr>
                <w:rFonts w:eastAsia="Arial" w:cs="Arial"/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1980" w:type="dxa"/>
            <w:tcBorders>
              <w:top w:val="single" w:sz="24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BAA5A" w14:textId="19484C1A" w:rsidR="24F7CBB5" w:rsidRDefault="24F7CBB5">
            <w:r w:rsidRPr="24F7CBB5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24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A15D9" w14:textId="6EA6438D" w:rsidR="24F7CBB5" w:rsidRDefault="24F7CBB5">
            <w:r w:rsidRPr="24F7CBB5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24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74F15" w14:textId="197818A0" w:rsidR="24F7CBB5" w:rsidRDefault="24F7CBB5">
            <w:r w:rsidRPr="24F7CBB5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24" w:space="0" w:color="C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3C5D1" w14:textId="23B78D2A" w:rsidR="24F7CBB5" w:rsidRDefault="24F7CBB5">
            <w:r w:rsidRPr="24F7CBB5">
              <w:rPr>
                <w:rFonts w:eastAsia="Arial" w:cs="Arial"/>
                <w:sz w:val="22"/>
                <w:szCs w:val="22"/>
              </w:rPr>
              <w:t>4</w:t>
            </w:r>
          </w:p>
        </w:tc>
      </w:tr>
      <w:tr w:rsidR="24F7CBB5" w14:paraId="002DF2B7" w14:textId="77777777" w:rsidTr="261AF2F7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218A4F5" w14:textId="258405DF" w:rsidR="24F7CBB5" w:rsidRDefault="24F7CBB5">
            <w:r w:rsidRPr="24F7CBB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Duration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38FE967" w14:textId="2BF33CD5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10 weeks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C507E46" w14:textId="082544A0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10 weeks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0FD064A" w14:textId="24DB96B4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10 weeks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748E44D" w14:textId="6D8D84E8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10 weeks</w:t>
            </w:r>
          </w:p>
        </w:tc>
      </w:tr>
      <w:tr w:rsidR="24F7CBB5" w14:paraId="0E413060" w14:textId="77777777" w:rsidTr="261AF2F7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9A1C5" w14:textId="5FA01378" w:rsidR="24F7CBB5" w:rsidRDefault="24F7CBB5">
            <w:r w:rsidRPr="61E85997">
              <w:rPr>
                <w:rFonts w:eastAsia="Arial" w:cs="Arial"/>
                <w:b/>
                <w:bCs/>
                <w:sz w:val="22"/>
                <w:szCs w:val="22"/>
              </w:rPr>
              <w:t xml:space="preserve">Unit </w:t>
            </w:r>
            <w:r w:rsidR="755A2323" w:rsidRPr="61E85997">
              <w:rPr>
                <w:rFonts w:eastAsia="Arial" w:cs="Arial"/>
                <w:b/>
                <w:bCs/>
                <w:sz w:val="22"/>
                <w:szCs w:val="22"/>
              </w:rPr>
              <w:t>o</w:t>
            </w:r>
            <w:r w:rsidRPr="61E85997">
              <w:rPr>
                <w:rFonts w:eastAsia="Arial" w:cs="Arial"/>
                <w:b/>
                <w:bCs/>
                <w:sz w:val="22"/>
                <w:szCs w:val="22"/>
              </w:rPr>
              <w:t>verview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60BE9" w14:textId="4AF51ABF" w:rsidR="24F7CBB5" w:rsidRDefault="24F7CBB5">
            <w:r w:rsidRPr="261AF2F7">
              <w:rPr>
                <w:rFonts w:eastAsia="Arial" w:cs="Arial"/>
                <w:sz w:val="22"/>
                <w:szCs w:val="22"/>
              </w:rPr>
              <w:t>Students will learn about the concepts of music through a variety of popular music genres.</w:t>
            </w:r>
            <w:r w:rsidR="297AB37C" w:rsidRPr="261AF2F7">
              <w:rPr>
                <w:rFonts w:eastAsia="Arial" w:cs="Arial"/>
                <w:sz w:val="22"/>
                <w:szCs w:val="22"/>
              </w:rPr>
              <w:t xml:space="preserve"> Through </w:t>
            </w:r>
            <w:r w:rsidRPr="261AF2F7">
              <w:rPr>
                <w:rFonts w:eastAsia="Arial" w:cs="Arial"/>
                <w:sz w:val="22"/>
                <w:szCs w:val="22"/>
              </w:rPr>
              <w:t>performance, listening and composition activities students will identify, explore and learn how to create</w:t>
            </w:r>
            <w:r w:rsidR="00F92E57" w:rsidRPr="261AF2F7">
              <w:rPr>
                <w:rFonts w:eastAsia="Arial" w:cs="Arial"/>
                <w:sz w:val="22"/>
                <w:szCs w:val="22"/>
              </w:rPr>
              <w:t xml:space="preserve"> music</w:t>
            </w:r>
            <w:r w:rsidRPr="261AF2F7">
              <w:rPr>
                <w:rFonts w:eastAsia="Arial" w:cs="Arial"/>
                <w:sz w:val="22"/>
                <w:szCs w:val="22"/>
              </w:rPr>
              <w:t xml:space="preserve"> using the elements within each concept.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FDF81" w14:textId="6719A55D" w:rsidR="24F7CBB5" w:rsidRDefault="00F92E57"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In this unit, students will learn about the characteristics of Latin music and the importance of language and the arts for maintaining culture. Students explore a culture of their own choice in preparing for the listening assessment</w:t>
            </w:r>
            <w:r w:rsidR="6E862F11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291EE" w14:textId="14E1E09E" w:rsidR="24F7CBB5" w:rsidRPr="00F92E57" w:rsidRDefault="24F7CBB5">
            <w:pPr>
              <w:rPr>
                <w:sz w:val="22"/>
                <w:szCs w:val="22"/>
              </w:rPr>
            </w:pPr>
            <w:r w:rsidRPr="61E85997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This unit of work provides students with a </w:t>
            </w:r>
            <w:r w:rsidRPr="61E85997">
              <w:rPr>
                <w:rFonts w:eastAsia="Arial" w:cs="Arial"/>
                <w:sz w:val="22"/>
                <w:szCs w:val="22"/>
              </w:rPr>
              <w:t xml:space="preserve">broad understanding of Australian </w:t>
            </w:r>
            <w:r w:rsidR="752AD0B2" w:rsidRPr="61E85997">
              <w:rPr>
                <w:rFonts w:eastAsia="Arial" w:cs="Arial"/>
                <w:sz w:val="22"/>
                <w:szCs w:val="22"/>
              </w:rPr>
              <w:t>m</w:t>
            </w:r>
            <w:r w:rsidRPr="61E85997">
              <w:rPr>
                <w:rFonts w:eastAsia="Arial" w:cs="Arial"/>
                <w:sz w:val="22"/>
                <w:szCs w:val="22"/>
              </w:rPr>
              <w:t xml:space="preserve">usic within its historical and cultural context. </w:t>
            </w:r>
          </w:p>
          <w:p w14:paraId="6F3E1679" w14:textId="327E9020" w:rsidR="24F7CBB5" w:rsidRDefault="24F7CBB5">
            <w:r w:rsidRPr="00F92E57">
              <w:rPr>
                <w:rFonts w:eastAsia="Arial" w:cs="Arial"/>
                <w:color w:val="000000" w:themeColor="text1"/>
                <w:sz w:val="22"/>
                <w:szCs w:val="22"/>
              </w:rPr>
              <w:t>It explores a range of contemporary genres</w:t>
            </w:r>
            <w:r w:rsidRPr="00F92E57">
              <w:rPr>
                <w:rFonts w:eastAsia="Arial" w:cs="Arial"/>
                <w:sz w:val="22"/>
                <w:szCs w:val="22"/>
              </w:rPr>
              <w:t xml:space="preserve"> and their musical features through the concepts of music and how these are combined to form an Australian musical identity</w:t>
            </w:r>
            <w:r w:rsidRPr="24F7CBB5">
              <w:rPr>
                <w:rFonts w:eastAsia="Arial" w:cs="Arial"/>
              </w:rPr>
              <w:t xml:space="preserve">.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192D" w14:textId="4F16976B" w:rsidR="24F7CBB5" w:rsidRDefault="00F92E57"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Throughout this unit</w:t>
            </w:r>
            <w:r w:rsidR="40AC1BB1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students will learn about the musical characteristics of classical music. This unit focuses on developing students’ musical literacy skills through listening</w:t>
            </w:r>
            <w:r w:rsidR="151620BB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F33BC79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whilst developing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252C6F9E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ability to read 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musical notation through performance and composition activities.</w:t>
            </w:r>
          </w:p>
        </w:tc>
      </w:tr>
      <w:tr w:rsidR="24F7CBB5" w14:paraId="781A77EC" w14:textId="77777777" w:rsidTr="261AF2F7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C3CCB2C" w14:textId="64F4D84D" w:rsidR="24F7CBB5" w:rsidRDefault="24F7CBB5">
            <w:r w:rsidRPr="24F7CBB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Outcomes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F5AD715" w14:textId="3F29AFEF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5.1, 5.2, .5.3, 5.4, 5.5, 5.6, 5.7, 5.12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A6FC1FA" w14:textId="2F81DFD6" w:rsidR="24F7CBB5" w:rsidRDefault="24F7CBB5">
            <w:r w:rsidRPr="261AF2F7">
              <w:rPr>
                <w:rFonts w:eastAsia="Arial" w:cs="Arial"/>
                <w:color w:val="000000" w:themeColor="text1"/>
                <w:sz w:val="22"/>
                <w:szCs w:val="22"/>
              </w:rPr>
              <w:t>5.7, 5.8, 5.9, 5.10</w:t>
            </w:r>
            <w:r w:rsidR="0037591B" w:rsidRPr="261AF2F7">
              <w:rPr>
                <w:rFonts w:eastAsia="Arial" w:cs="Arial"/>
                <w:color w:val="000000" w:themeColor="text1"/>
                <w:sz w:val="22"/>
                <w:szCs w:val="22"/>
              </w:rPr>
              <w:t>, 5.11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D60922D" w14:textId="7DB5A8F8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5.4, 5.5, 5.6, 5.8, 5.9, 5.10, 5.12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30101B" w14:textId="1B537579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5.1, 5.2, 5.3, 5.7, 5.8, 5.9, 5.10</w:t>
            </w:r>
          </w:p>
        </w:tc>
      </w:tr>
      <w:tr w:rsidR="24F7CBB5" w14:paraId="7DBE7617" w14:textId="77777777" w:rsidTr="261AF2F7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AC24" w14:textId="201DFFE0" w:rsidR="24F7CBB5" w:rsidRDefault="24F7CBB5">
            <w:r w:rsidRPr="24F7CBB5">
              <w:rPr>
                <w:rFonts w:eastAsia="Arial" w:cs="Arial"/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E6F8" w14:textId="77E71525" w:rsidR="24F7CBB5" w:rsidRDefault="24F7CBB5" w:rsidP="61E85997">
            <w:pPr>
              <w:rPr>
                <w:rFonts w:eastAsia="Calibri"/>
                <w:sz w:val="22"/>
                <w:szCs w:val="22"/>
              </w:rPr>
            </w:pPr>
            <w:r w:rsidRPr="61E85997">
              <w:rPr>
                <w:rFonts w:eastAsia="Arial" w:cs="Arial"/>
                <w:sz w:val="22"/>
                <w:szCs w:val="22"/>
              </w:rPr>
              <w:t>Task 1</w:t>
            </w:r>
            <w:r w:rsidR="37E1C572" w:rsidRPr="61E85997">
              <w:rPr>
                <w:rFonts w:eastAsia="Arial" w:cs="Arial"/>
                <w:sz w:val="22"/>
                <w:szCs w:val="22"/>
              </w:rPr>
              <w:t xml:space="preserve"> –</w:t>
            </w:r>
          </w:p>
          <w:p w14:paraId="5ABA684D" w14:textId="540AEDF7" w:rsidR="24F7CBB5" w:rsidRDefault="24F7CBB5">
            <w:r w:rsidRPr="24F7CBB5">
              <w:rPr>
                <w:rFonts w:eastAsia="Arial" w:cs="Arial"/>
                <w:sz w:val="22"/>
                <w:szCs w:val="22"/>
              </w:rPr>
              <w:t>composition portfolio and performance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3196" w14:textId="1F83172E" w:rsidR="24F7CBB5" w:rsidRDefault="24F7CBB5" w:rsidP="61E85997">
            <w:pPr>
              <w:rPr>
                <w:rFonts w:eastAsia="Calibri"/>
                <w:sz w:val="22"/>
                <w:szCs w:val="22"/>
              </w:rPr>
            </w:pPr>
            <w:r w:rsidRPr="61E85997">
              <w:rPr>
                <w:rFonts w:eastAsia="Arial" w:cs="Arial"/>
                <w:sz w:val="22"/>
                <w:szCs w:val="22"/>
              </w:rPr>
              <w:t>Task 2</w:t>
            </w:r>
            <w:r w:rsidR="32D72918" w:rsidRPr="61E85997">
              <w:rPr>
                <w:rFonts w:eastAsia="Arial" w:cs="Arial"/>
                <w:sz w:val="22"/>
                <w:szCs w:val="22"/>
              </w:rPr>
              <w:t xml:space="preserve"> –</w:t>
            </w:r>
          </w:p>
          <w:p w14:paraId="585ACD2D" w14:textId="29F9B509" w:rsidR="24F7CBB5" w:rsidRDefault="24F7CBB5" w:rsidP="261AF2F7">
            <w:pPr>
              <w:rPr>
                <w:rFonts w:eastAsia="Arial" w:cs="Arial"/>
                <w:sz w:val="22"/>
                <w:szCs w:val="22"/>
              </w:rPr>
            </w:pPr>
            <w:r w:rsidRPr="261AF2F7">
              <w:rPr>
                <w:rFonts w:eastAsia="Arial" w:cs="Arial"/>
                <w:sz w:val="22"/>
                <w:szCs w:val="22"/>
              </w:rPr>
              <w:t xml:space="preserve">listening </w:t>
            </w:r>
            <w:r w:rsidR="74BD0911" w:rsidRPr="261AF2F7">
              <w:rPr>
                <w:rFonts w:eastAsia="Arial" w:cs="Arial"/>
                <w:sz w:val="22"/>
                <w:szCs w:val="22"/>
              </w:rPr>
              <w:t>analysis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816B" w14:textId="5C62DFCF" w:rsidR="24F7CBB5" w:rsidRDefault="24F7CBB5" w:rsidP="61E85997">
            <w:pPr>
              <w:rPr>
                <w:rFonts w:eastAsia="Calibri"/>
                <w:sz w:val="22"/>
                <w:szCs w:val="22"/>
              </w:rPr>
            </w:pPr>
            <w:r w:rsidRPr="61E85997">
              <w:rPr>
                <w:rFonts w:eastAsia="Arial" w:cs="Arial"/>
                <w:sz w:val="22"/>
                <w:szCs w:val="22"/>
              </w:rPr>
              <w:t>Task 3</w:t>
            </w:r>
            <w:r w:rsidR="69E29D3A" w:rsidRPr="61E85997">
              <w:rPr>
                <w:rFonts w:eastAsia="Arial" w:cs="Arial"/>
                <w:sz w:val="22"/>
                <w:szCs w:val="22"/>
              </w:rPr>
              <w:t xml:space="preserve"> –</w:t>
            </w:r>
          </w:p>
          <w:p w14:paraId="712E3D9F" w14:textId="78AED903" w:rsidR="24F7CBB5" w:rsidRDefault="24F7CBB5">
            <w:r w:rsidRPr="24F7CBB5">
              <w:rPr>
                <w:rFonts w:eastAsia="Arial" w:cs="Arial"/>
                <w:sz w:val="22"/>
                <w:szCs w:val="22"/>
              </w:rPr>
              <w:t>composition task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0CD6" w14:textId="2D340EE0" w:rsidR="24F7CBB5" w:rsidRDefault="24F7CBB5" w:rsidP="61E85997">
            <w:pPr>
              <w:rPr>
                <w:rFonts w:eastAsia="Calibri"/>
                <w:sz w:val="22"/>
                <w:szCs w:val="22"/>
              </w:rPr>
            </w:pPr>
            <w:r w:rsidRPr="61E85997">
              <w:rPr>
                <w:rFonts w:eastAsia="Arial" w:cs="Arial"/>
                <w:sz w:val="22"/>
                <w:szCs w:val="22"/>
              </w:rPr>
              <w:t>Task 4</w:t>
            </w:r>
            <w:r w:rsidR="73E6D17E" w:rsidRPr="61E85997">
              <w:rPr>
                <w:rFonts w:eastAsia="Arial" w:cs="Arial"/>
                <w:sz w:val="22"/>
                <w:szCs w:val="22"/>
              </w:rPr>
              <w:t xml:space="preserve"> –</w:t>
            </w:r>
          </w:p>
          <w:p w14:paraId="462FDEC1" w14:textId="5FFAD718" w:rsidR="24F7CBB5" w:rsidRDefault="73E6D17E">
            <w:r w:rsidRPr="61E85997">
              <w:rPr>
                <w:rFonts w:eastAsia="Arial" w:cs="Arial"/>
                <w:sz w:val="22"/>
                <w:szCs w:val="22"/>
              </w:rPr>
              <w:t>y</w:t>
            </w:r>
            <w:r w:rsidR="24F7CBB5" w:rsidRPr="61E85997">
              <w:rPr>
                <w:rFonts w:eastAsia="Arial" w:cs="Arial"/>
                <w:sz w:val="22"/>
                <w:szCs w:val="22"/>
              </w:rPr>
              <w:t xml:space="preserve">early </w:t>
            </w:r>
            <w:r w:rsidR="4DE623DF" w:rsidRPr="61E85997">
              <w:rPr>
                <w:rFonts w:eastAsia="Arial" w:cs="Arial"/>
                <w:sz w:val="22"/>
                <w:szCs w:val="22"/>
              </w:rPr>
              <w:t>e</w:t>
            </w:r>
            <w:r w:rsidR="24F7CBB5" w:rsidRPr="61E85997">
              <w:rPr>
                <w:rFonts w:eastAsia="Arial" w:cs="Arial"/>
                <w:sz w:val="22"/>
                <w:szCs w:val="22"/>
              </w:rPr>
              <w:t>xam</w:t>
            </w:r>
            <w:r w:rsidR="2DC90E44" w:rsidRPr="61E85997">
              <w:rPr>
                <w:rFonts w:eastAsia="Arial" w:cs="Arial"/>
                <w:sz w:val="22"/>
                <w:szCs w:val="22"/>
              </w:rPr>
              <w:t>ination</w:t>
            </w:r>
            <w:r w:rsidR="24F7CBB5" w:rsidRPr="61E85997">
              <w:rPr>
                <w:rFonts w:eastAsia="Arial" w:cs="Arial"/>
                <w:sz w:val="22"/>
                <w:szCs w:val="22"/>
              </w:rPr>
              <w:t xml:space="preserve"> – listening and performance</w:t>
            </w:r>
          </w:p>
        </w:tc>
      </w:tr>
      <w:tr w:rsidR="24F7CBB5" w14:paraId="6530F8C1" w14:textId="77777777" w:rsidTr="261AF2F7"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F719895" w14:textId="345AD247" w:rsidR="24F7CBB5" w:rsidRDefault="24F7CBB5">
            <w:r w:rsidRPr="24F7CBB5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Due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775073" w14:textId="13D870CE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Term 2 Week 3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F435D3A" w14:textId="446C7CB4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Term 2 Week 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567530" w14:textId="1568EDD6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Term 3 Week 9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0182CF" w14:textId="2B895400" w:rsidR="24F7CBB5" w:rsidRDefault="24F7CBB5">
            <w:r w:rsidRPr="24F7CBB5">
              <w:rPr>
                <w:rFonts w:eastAsia="Arial" w:cs="Arial"/>
                <w:color w:val="000000" w:themeColor="text1"/>
                <w:sz w:val="22"/>
                <w:szCs w:val="22"/>
              </w:rPr>
              <w:t>Term 4 Week 2</w:t>
            </w:r>
          </w:p>
        </w:tc>
      </w:tr>
    </w:tbl>
    <w:p w14:paraId="792ECA08" w14:textId="6F53ABCD" w:rsidR="00DC03C4" w:rsidRDefault="00DC03C4" w:rsidP="24F7CBB5">
      <w:pPr>
        <w:rPr>
          <w:rFonts w:eastAsia="Calibri"/>
          <w:lang w:eastAsia="zh-CN"/>
        </w:rPr>
      </w:pPr>
    </w:p>
    <w:sectPr w:rsidR="00DC03C4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9993" w14:textId="77777777" w:rsidR="00164186" w:rsidRDefault="00164186">
      <w:r>
        <w:separator/>
      </w:r>
    </w:p>
    <w:p w14:paraId="02D89E1B" w14:textId="77777777" w:rsidR="00164186" w:rsidRDefault="00164186"/>
  </w:endnote>
  <w:endnote w:type="continuationSeparator" w:id="0">
    <w:p w14:paraId="79AE1742" w14:textId="77777777" w:rsidR="00164186" w:rsidRDefault="00164186">
      <w:r>
        <w:continuationSeparator/>
      </w:r>
    </w:p>
    <w:p w14:paraId="26BF2794" w14:textId="77777777" w:rsidR="00164186" w:rsidRDefault="00164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6550409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2</w:t>
    </w:r>
    <w:r w:rsidRPr="002810D3">
      <w:fldChar w:fldCharType="end"/>
    </w:r>
    <w:r w:rsidRPr="002810D3">
      <w:tab/>
    </w:r>
    <w:r w:rsidR="00AB224F">
      <w:t>Podcast learning progression lesson - music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1ECC0961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F7CCB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556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77777777" w:rsidR="00493120" w:rsidRDefault="261AF2F7" w:rsidP="00493120">
    <w:pPr>
      <w:pStyle w:val="Logo"/>
    </w:pPr>
    <w:r w:rsidRPr="261AF2F7">
      <w:rPr>
        <w:sz w:val="24"/>
        <w:szCs w:val="24"/>
      </w:rPr>
      <w:t>education.nsw.gov.au</w:t>
    </w:r>
    <w:r w:rsidR="61E85997">
      <w:tab/>
    </w:r>
    <w:r>
      <w:rPr>
        <w:noProof/>
      </w:rPr>
      <w:drawing>
        <wp:inline distT="0" distB="0" distL="0" distR="0" wp14:anchorId="7DC6305D" wp14:editId="0D1F22B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6F41" w14:textId="77777777" w:rsidR="00164186" w:rsidRDefault="00164186">
      <w:r>
        <w:separator/>
      </w:r>
    </w:p>
    <w:p w14:paraId="3DA3C3DD" w14:textId="77777777" w:rsidR="00164186" w:rsidRDefault="00164186"/>
  </w:footnote>
  <w:footnote w:type="continuationSeparator" w:id="0">
    <w:p w14:paraId="18844043" w14:textId="77777777" w:rsidR="00164186" w:rsidRDefault="00164186">
      <w:r>
        <w:continuationSeparator/>
      </w:r>
    </w:p>
    <w:p w14:paraId="24A21771" w14:textId="77777777" w:rsidR="00164186" w:rsidRDefault="00164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1A66E01"/>
    <w:multiLevelType w:val="hybridMultilevel"/>
    <w:tmpl w:val="F81C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TM0NDU3MTcwMzRS0lEKTi0uzszPAykwrgUAuyDk/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3AD5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4186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591B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CF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116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20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B55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477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4F"/>
    <w:rsid w:val="00AB23C3"/>
    <w:rsid w:val="00AB24DB"/>
    <w:rsid w:val="00AB35D0"/>
    <w:rsid w:val="00AB556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6F4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3D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F79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3C4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5D2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7EF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2E57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6F3D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0FF7CCB"/>
    <w:rsid w:val="016E3F69"/>
    <w:rsid w:val="0F33BC79"/>
    <w:rsid w:val="114837B3"/>
    <w:rsid w:val="151620BB"/>
    <w:rsid w:val="17C795D8"/>
    <w:rsid w:val="19636639"/>
    <w:rsid w:val="20C66AB0"/>
    <w:rsid w:val="2385C042"/>
    <w:rsid w:val="24F7CBB5"/>
    <w:rsid w:val="252C6F9E"/>
    <w:rsid w:val="261AF2F7"/>
    <w:rsid w:val="297AB37C"/>
    <w:rsid w:val="2DC90E44"/>
    <w:rsid w:val="32D72918"/>
    <w:rsid w:val="37E1C572"/>
    <w:rsid w:val="3BA61264"/>
    <w:rsid w:val="3C9CEB5B"/>
    <w:rsid w:val="40AC1BB1"/>
    <w:rsid w:val="427D47CE"/>
    <w:rsid w:val="47B6C6B5"/>
    <w:rsid w:val="4DE623DF"/>
    <w:rsid w:val="5D14E874"/>
    <w:rsid w:val="5EE5E89E"/>
    <w:rsid w:val="61E85997"/>
    <w:rsid w:val="624B6D85"/>
    <w:rsid w:val="69E29D3A"/>
    <w:rsid w:val="6E862F11"/>
    <w:rsid w:val="6F296D01"/>
    <w:rsid w:val="73E6D17E"/>
    <w:rsid w:val="74BD0911"/>
    <w:rsid w:val="752AD0B2"/>
    <w:rsid w:val="755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 emphasis"/>
    <w:basedOn w:val="DefaultParagraphFont"/>
    <w:uiPriority w:val="28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B346F4"/>
    <w:rPr>
      <w:color w:val="808080"/>
    </w:rPr>
  </w:style>
  <w:style w:type="paragraph" w:customStyle="1" w:styleId="IOSbodytext2017">
    <w:name w:val="IOS body text 2017"/>
    <w:basedOn w:val="Normal"/>
    <w:qFormat/>
    <w:rsid w:val="00DC03C4"/>
    <w:pPr>
      <w:spacing w:line="300" w:lineRule="atLeast"/>
    </w:pPr>
    <w:rPr>
      <w:rFonts w:eastAsia="SimSun" w:cs="Times New Roman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3C4"/>
    <w:rPr>
      <w:color w:val="954F72" w:themeColor="followedHyperlink"/>
      <w:u w:val="single"/>
    </w:rPr>
  </w:style>
  <w:style w:type="paragraph" w:customStyle="1" w:styleId="Tabletext">
    <w:name w:val="ŠTable text"/>
    <w:basedOn w:val="Normal"/>
    <w:uiPriority w:val="23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DC03C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link w:val="IOSbodytext"/>
    <w:rsid w:val="00DC03C4"/>
    <w:rPr>
      <w:rFonts w:ascii="Arial" w:eastAsia="SimSun" w:hAnsi="Arial" w:cs="Times New Roman"/>
      <w:lang w:val="en-AU" w:eastAsia="zh-CN"/>
    </w:rPr>
  </w:style>
  <w:style w:type="paragraph" w:styleId="ListParagraph">
    <w:name w:val="List Paragraph"/>
    <w:basedOn w:val="Normal"/>
    <w:uiPriority w:val="34"/>
    <w:qFormat/>
    <w:rsid w:val="00DC03C4"/>
    <w:pPr>
      <w:spacing w:before="0" w:line="240" w:lineRule="auto"/>
      <w:ind w:left="720"/>
      <w:contextualSpacing/>
    </w:pPr>
    <w:rPr>
      <w:rFonts w:asciiTheme="minorHAnsi" w:hAnsiTheme="minorHAnsi"/>
    </w:rPr>
  </w:style>
  <w:style w:type="character" w:customStyle="1" w:styleId="normaltextrun">
    <w:name w:val="normaltextrun"/>
    <w:basedOn w:val="DefaultParagraphFont"/>
    <w:rsid w:val="00F92E57"/>
  </w:style>
  <w:style w:type="character" w:customStyle="1" w:styleId="eop">
    <w:name w:val="eop"/>
    <w:basedOn w:val="DefaultParagraphFont"/>
    <w:rsid w:val="00F92E57"/>
  </w:style>
  <w:style w:type="character" w:styleId="CommentReference">
    <w:name w:val="annotation reference"/>
    <w:basedOn w:val="DefaultParagraphFont"/>
    <w:uiPriority w:val="99"/>
    <w:semiHidden/>
    <w:rsid w:val="00FB6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6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3D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3D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3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3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purl.org/dc/elements/1.1/"/>
    <ds:schemaRef ds:uri="a3893891-f0a0-41d0-9ee8-6d125d8ab87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db038-1dcd-4d2d-acc3-074dba562d2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4DE0C-5BD1-40EB-A91D-D534840CD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9D268-7BDA-480B-A40A-F9DBD0A6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S5 Music scope and sequence sample</vt:lpstr>
    </vt:vector>
  </TitlesOfParts>
  <Manager/>
  <Company>NSW Department of Education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S5 Music scope and sequence sample</dc:title>
  <dc:subject>Music</dc:subject>
  <dc:creator>NSW Department of Education</dc:creator>
  <cp:keywords>Music, stage 5, scope and sequence, NSW</cp:keywords>
  <dc:description/>
  <cp:lastModifiedBy>Cathryn Horvat</cp:lastModifiedBy>
  <cp:revision>2</cp:revision>
  <cp:lastPrinted>2019-09-30T07:42:00Z</cp:lastPrinted>
  <dcterms:created xsi:type="dcterms:W3CDTF">2021-02-17T03:27:00Z</dcterms:created>
  <dcterms:modified xsi:type="dcterms:W3CDTF">2021-02-17T03:27:00Z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