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CF50" w14:textId="5EA80255" w:rsidR="00CD6723" w:rsidRDefault="00300080" w:rsidP="001C4388">
      <w:pPr>
        <w:pStyle w:val="Heading1"/>
      </w:pPr>
      <w:r>
        <w:t>Outdoor education</w:t>
      </w:r>
      <w:r w:rsidR="00A1057C" w:rsidRPr="00A1057C">
        <w:t xml:space="preserve"> </w:t>
      </w:r>
      <w:r w:rsidR="0056228C">
        <w:t xml:space="preserve">– </w:t>
      </w:r>
      <w:r w:rsidR="00B1009B">
        <w:t>A</w:t>
      </w:r>
      <w:r w:rsidR="00B23F99">
        <w:t>ssessment advice</w:t>
      </w:r>
    </w:p>
    <w:p w14:paraId="41DA10F2" w14:textId="77777777" w:rsidR="0025178D" w:rsidRPr="0025178D" w:rsidRDefault="0025178D" w:rsidP="0025178D">
      <w:pPr>
        <w:jc w:val="center"/>
      </w:pPr>
      <w:r>
        <w:rPr>
          <w:noProof/>
        </w:rPr>
        <w:drawing>
          <wp:inline distT="0" distB="0" distL="0" distR="0" wp14:anchorId="6CC49D7A" wp14:editId="13ADF787">
            <wp:extent cx="6195695" cy="676338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p>
    <w:p w14:paraId="65C8E86E" w14:textId="77777777" w:rsidR="005A6AAA" w:rsidRPr="00B23F99" w:rsidRDefault="0025178D" w:rsidP="00B23F99">
      <w:r>
        <w:br w:type="page"/>
      </w:r>
    </w:p>
    <w:p w14:paraId="6789BFF7" w14:textId="30C699EE" w:rsidR="0052654A" w:rsidRPr="001B71D6" w:rsidRDefault="0052654A" w:rsidP="001B71D6">
      <w:pPr>
        <w:pStyle w:val="Heading2"/>
      </w:pPr>
      <w:bookmarkStart w:id="0" w:name="_Toc104382530"/>
      <w:bookmarkStart w:id="1" w:name="_Toc113619558"/>
      <w:r w:rsidRPr="001B71D6">
        <w:lastRenderedPageBreak/>
        <w:t>Assessment</w:t>
      </w:r>
    </w:p>
    <w:p w14:paraId="0F34E646" w14:textId="77777777" w:rsidR="00D66945" w:rsidRDefault="00D66945" w:rsidP="00D66945">
      <w:r>
        <w:t>Outdoor education is a department approved elective course and is not eligible for credentialing on the Record of School Achievement (</w:t>
      </w:r>
      <w:proofErr w:type="spellStart"/>
      <w:r>
        <w:t>RoSA</w:t>
      </w:r>
      <w:proofErr w:type="spellEnd"/>
      <w:r>
        <w:t>).</w:t>
      </w:r>
    </w:p>
    <w:p w14:paraId="4E0C03DF" w14:textId="7B72C798" w:rsidR="00D66945" w:rsidRPr="00D66945" w:rsidRDefault="00D66945" w:rsidP="00D66945">
      <w:r>
        <w:t>The scheduling of assessment activities and the weightings applied should reflect the school's organisation of the course. Students should be given the opportunity to demonstrate their maximum level of achievement relative to the course performance descriptors.</w:t>
      </w:r>
    </w:p>
    <w:p w14:paraId="2A96582C" w14:textId="77777777" w:rsidR="0052654A" w:rsidRPr="001B71D6" w:rsidRDefault="0052654A" w:rsidP="001B71D6">
      <w:pPr>
        <w:pStyle w:val="Heading2"/>
      </w:pPr>
      <w:r w:rsidRPr="001B71D6">
        <w:t>General performance descriptors</w:t>
      </w:r>
    </w:p>
    <w:p w14:paraId="4EEFB150" w14:textId="77777777" w:rsidR="00203CC7" w:rsidRDefault="00203CC7" w:rsidP="00203CC7">
      <w:r w:rsidRPr="0035400D">
        <w:t>Schools may choose to use general performance descriptors to describe performance at each of 5 grade levels.</w:t>
      </w:r>
    </w:p>
    <w:p w14:paraId="5C722CBE" w14:textId="4A7E7B08" w:rsidR="00203CC7" w:rsidRDefault="00203CC7" w:rsidP="00203CC7">
      <w:pPr>
        <w:pStyle w:val="Caption"/>
      </w:pPr>
      <w:r>
        <w:t xml:space="preserve">Table </w:t>
      </w:r>
      <w:r w:rsidR="009501CA">
        <w:fldChar w:fldCharType="begin"/>
      </w:r>
      <w:r w:rsidR="009501CA">
        <w:instrText xml:space="preserve"> SEQ Table \* ARABIC </w:instrText>
      </w:r>
      <w:r w:rsidR="009501CA">
        <w:fldChar w:fldCharType="separate"/>
      </w:r>
      <w:r>
        <w:rPr>
          <w:noProof/>
        </w:rPr>
        <w:t>1</w:t>
      </w:r>
      <w:r w:rsidR="009501CA">
        <w:rPr>
          <w:noProof/>
        </w:rPr>
        <w:fldChar w:fldCharType="end"/>
      </w:r>
      <w:r>
        <w:t xml:space="preserve"> </w:t>
      </w:r>
      <w:r w:rsidR="00874F04">
        <w:t>–</w:t>
      </w:r>
      <w:r>
        <w:t xml:space="preserve"> Performance descriptors for the A-E grade scale</w:t>
      </w:r>
    </w:p>
    <w:tbl>
      <w:tblPr>
        <w:tblStyle w:val="Tableheader"/>
        <w:tblW w:w="5001" w:type="pct"/>
        <w:tblLayout w:type="fixed"/>
        <w:tblLook w:val="04A0" w:firstRow="1" w:lastRow="0" w:firstColumn="1" w:lastColumn="0" w:noHBand="0" w:noVBand="1"/>
        <w:tblDescription w:val="This table outlines the record of achievement/grade and the corresponding performance descriptors."/>
      </w:tblPr>
      <w:tblGrid>
        <w:gridCol w:w="988"/>
        <w:gridCol w:w="8642"/>
      </w:tblGrid>
      <w:tr w:rsidR="00203CC7" w14:paraId="41065F0A" w14:textId="77777777" w:rsidTr="00DB1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232B5755" w14:textId="77777777" w:rsidR="00203CC7" w:rsidRDefault="00203CC7" w:rsidP="008D162B">
            <w:r>
              <w:t>Grade</w:t>
            </w:r>
          </w:p>
        </w:tc>
        <w:tc>
          <w:tcPr>
            <w:tcW w:w="4487" w:type="pct"/>
          </w:tcPr>
          <w:p w14:paraId="50C21758" w14:textId="77777777" w:rsidR="00203CC7" w:rsidRDefault="00203CC7" w:rsidP="008D162B">
            <w:pPr>
              <w:cnfStyle w:val="100000000000" w:firstRow="1" w:lastRow="0" w:firstColumn="0" w:lastColumn="0" w:oddVBand="0" w:evenVBand="0" w:oddHBand="0" w:evenHBand="0" w:firstRowFirstColumn="0" w:firstRowLastColumn="0" w:lastRowFirstColumn="0" w:lastRowLastColumn="0"/>
            </w:pPr>
            <w:r>
              <w:t>Performance descriptors</w:t>
            </w:r>
          </w:p>
        </w:tc>
      </w:tr>
      <w:tr w:rsidR="00203CC7" w14:paraId="66B7CC07" w14:textId="77777777" w:rsidTr="00DB1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2C78D4D5" w14:textId="77777777" w:rsidR="00203CC7" w:rsidRDefault="00203CC7" w:rsidP="008D162B">
            <w:r>
              <w:t>A</w:t>
            </w:r>
          </w:p>
        </w:tc>
        <w:tc>
          <w:tcPr>
            <w:tcW w:w="4487" w:type="pct"/>
          </w:tcPr>
          <w:p w14:paraId="3289ACD2" w14:textId="77777777" w:rsidR="00203CC7" w:rsidRDefault="00203CC7" w:rsidP="008D162B">
            <w:pPr>
              <w:cnfStyle w:val="000000100000" w:firstRow="0" w:lastRow="0" w:firstColumn="0" w:lastColumn="0" w:oddVBand="0" w:evenVBand="0" w:oddHBand="1" w:evenHBand="0" w:firstRowFirstColumn="0" w:firstRowLastColumn="0" w:lastRowFirstColumn="0" w:lastRowLastColumn="0"/>
            </w:pPr>
            <w:r w:rsidRPr="00384330">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203CC7" w14:paraId="05A84492" w14:textId="77777777" w:rsidTr="00DB1B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341B1D48" w14:textId="77777777" w:rsidR="00203CC7" w:rsidRDefault="00203CC7" w:rsidP="008D162B">
            <w:r>
              <w:t>B</w:t>
            </w:r>
          </w:p>
        </w:tc>
        <w:tc>
          <w:tcPr>
            <w:tcW w:w="4487" w:type="pct"/>
          </w:tcPr>
          <w:p w14:paraId="0F3F2CD9" w14:textId="77777777" w:rsidR="00203CC7" w:rsidRDefault="00203CC7" w:rsidP="008D162B">
            <w:pPr>
              <w:cnfStyle w:val="000000010000" w:firstRow="0" w:lastRow="0" w:firstColumn="0" w:lastColumn="0" w:oddVBand="0" w:evenVBand="0" w:oddHBand="0" w:evenHBand="1" w:firstRowFirstColumn="0" w:firstRowLastColumn="0" w:lastRowFirstColumn="0" w:lastRowLastColumn="0"/>
            </w:pPr>
            <w:r w:rsidRPr="00015AAC">
              <w:t xml:space="preserve">The student has a thorough knowledge and understanding of the content and a high level of competence in the processes and skills. In addition, the student </w:t>
            </w:r>
            <w:proofErr w:type="gramStart"/>
            <w:r w:rsidRPr="00015AAC">
              <w:t>is able to</w:t>
            </w:r>
            <w:proofErr w:type="gramEnd"/>
            <w:r w:rsidRPr="00015AAC">
              <w:t xml:space="preserve"> apply this knowledge and these skills to most situations.</w:t>
            </w:r>
          </w:p>
        </w:tc>
      </w:tr>
      <w:tr w:rsidR="00203CC7" w14:paraId="7820F524" w14:textId="77777777" w:rsidTr="00DB1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235B504F" w14:textId="77777777" w:rsidR="00203CC7" w:rsidRDefault="00203CC7" w:rsidP="008D162B">
            <w:r>
              <w:t>C</w:t>
            </w:r>
          </w:p>
        </w:tc>
        <w:tc>
          <w:tcPr>
            <w:tcW w:w="4487" w:type="pct"/>
          </w:tcPr>
          <w:p w14:paraId="0124B42E" w14:textId="77777777" w:rsidR="00203CC7" w:rsidRDefault="00203CC7" w:rsidP="008D162B">
            <w:pPr>
              <w:cnfStyle w:val="000000100000" w:firstRow="0" w:lastRow="0" w:firstColumn="0" w:lastColumn="0" w:oddVBand="0" w:evenVBand="0" w:oddHBand="1" w:evenHBand="0" w:firstRowFirstColumn="0" w:firstRowLastColumn="0" w:lastRowFirstColumn="0" w:lastRowLastColumn="0"/>
            </w:pPr>
            <w:r w:rsidRPr="00BD2793">
              <w:t>The student has a sound knowledge and understanding of the main areas of content and has achieved an adequate level of competence in the processes and skills.</w:t>
            </w:r>
          </w:p>
        </w:tc>
      </w:tr>
      <w:tr w:rsidR="00203CC7" w14:paraId="5B1CE18F" w14:textId="77777777" w:rsidTr="00DB1B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23695B45" w14:textId="77777777" w:rsidR="00203CC7" w:rsidRDefault="00203CC7" w:rsidP="008D162B">
            <w:r>
              <w:t>D</w:t>
            </w:r>
          </w:p>
        </w:tc>
        <w:tc>
          <w:tcPr>
            <w:tcW w:w="4487" w:type="pct"/>
          </w:tcPr>
          <w:p w14:paraId="1BDF2861" w14:textId="3B691F9A" w:rsidR="00203CC7" w:rsidRDefault="00874F04" w:rsidP="008D162B">
            <w:pPr>
              <w:cnfStyle w:val="000000010000" w:firstRow="0" w:lastRow="0" w:firstColumn="0" w:lastColumn="0" w:oddVBand="0" w:evenVBand="0" w:oddHBand="0" w:evenHBand="1" w:firstRowFirstColumn="0" w:firstRowLastColumn="0" w:lastRowFirstColumn="0" w:lastRowLastColumn="0"/>
            </w:pPr>
            <w:r w:rsidRPr="00874F04">
              <w:t>The student has a basic knowledge and understanding of the content and has achieved a limited level of competence in the processes and skills.</w:t>
            </w:r>
          </w:p>
        </w:tc>
      </w:tr>
      <w:tr w:rsidR="00203CC7" w14:paraId="4405A964" w14:textId="77777777" w:rsidTr="00DB1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7E06205C" w14:textId="77777777" w:rsidR="00203CC7" w:rsidRDefault="00203CC7" w:rsidP="008D162B">
            <w:r>
              <w:t>E</w:t>
            </w:r>
          </w:p>
        </w:tc>
        <w:tc>
          <w:tcPr>
            <w:tcW w:w="4487" w:type="pct"/>
          </w:tcPr>
          <w:p w14:paraId="4C145B76" w14:textId="4AEE2B2A" w:rsidR="00203CC7" w:rsidRPr="00D6098C" w:rsidRDefault="00874F04" w:rsidP="008D162B">
            <w:pPr>
              <w:cnfStyle w:val="000000100000" w:firstRow="0" w:lastRow="0" w:firstColumn="0" w:lastColumn="0" w:oddVBand="0" w:evenVBand="0" w:oddHBand="1" w:evenHBand="0" w:firstRowFirstColumn="0" w:firstRowLastColumn="0" w:lastRowFirstColumn="0" w:lastRowLastColumn="0"/>
            </w:pPr>
            <w:r w:rsidRPr="00874F04">
              <w:t>The student has an elementary knowledge and understanding in few areas of the content and has achieved very limited competence in some of the processes and skills.</w:t>
            </w:r>
          </w:p>
        </w:tc>
      </w:tr>
    </w:tbl>
    <w:p w14:paraId="7E75823A" w14:textId="77777777" w:rsidR="003351B6" w:rsidRDefault="003351B6" w:rsidP="003351B6">
      <w:pPr>
        <w:pStyle w:val="Heading2"/>
      </w:pPr>
      <w:r>
        <w:lastRenderedPageBreak/>
        <w:t>Areas for assessment</w:t>
      </w:r>
    </w:p>
    <w:p w14:paraId="7D11E679" w14:textId="77777777" w:rsidR="003351B6" w:rsidRDefault="003351B6" w:rsidP="003351B6">
      <w:r>
        <w:t>The areas for assessment provide a framework for structuring an assessment program and may be used for reporting student achievement. They can be used as organisers for assessment of student achievement.</w:t>
      </w:r>
    </w:p>
    <w:p w14:paraId="32C3B674" w14:textId="37F0CDEE" w:rsidR="003351B6" w:rsidRDefault="003351B6" w:rsidP="003351B6">
      <w:r>
        <w:t>Quality assessment practice involves designing assessment activities that enable students to demonstrate their achievements and growth across the duration of the course. Teachers can use the areas for assessment when designing an assessment activity to ensure it is assessing performance in relation to a grouping of outcomes.</w:t>
      </w:r>
    </w:p>
    <w:p w14:paraId="193B5BC8" w14:textId="77777777" w:rsidR="003351B6" w:rsidRDefault="003351B6" w:rsidP="003351B6">
      <w:r>
        <w:t>In designing the assessment schedule for a course, teachers may find it useful to map each planned assessment activity to one or more of the areas for assessment. This allows teachers to ensure that assessment can occur across the year in a manageable way.</w:t>
      </w:r>
    </w:p>
    <w:p w14:paraId="153CC0C1" w14:textId="77777777" w:rsidR="003351B6" w:rsidRDefault="003351B6" w:rsidP="003351B6">
      <w:pPr>
        <w:pStyle w:val="Heading2"/>
      </w:pPr>
      <w:r>
        <w:t>Useful assessment strategies</w:t>
      </w:r>
    </w:p>
    <w:p w14:paraId="56BB6F53" w14:textId="77777777" w:rsidR="003351B6" w:rsidRDefault="003351B6" w:rsidP="003351B6">
      <w:r>
        <w:t>In developing and selecting activities for the purpose of assessing and reporting, teachers will use a range of different approaches.</w:t>
      </w:r>
    </w:p>
    <w:p w14:paraId="6FAA9A5E" w14:textId="77777777" w:rsidR="003351B6" w:rsidRDefault="003351B6" w:rsidP="003351B6">
      <w:pPr>
        <w:pStyle w:val="Heading3"/>
      </w:pPr>
      <w:r>
        <w:t>Inquiry-based research assignments and projects</w:t>
      </w:r>
    </w:p>
    <w:p w14:paraId="7EF0F278" w14:textId="77777777" w:rsidR="003351B6" w:rsidRDefault="003351B6" w:rsidP="003351B6">
      <w:r>
        <w:t>Assessment activities might include independent research tasks to investigate issues and processes, a web-based research assignment, or the development of a media portfolio.</w:t>
      </w:r>
    </w:p>
    <w:p w14:paraId="7C92DC34" w14:textId="77777777" w:rsidR="003351B6" w:rsidRDefault="003351B6" w:rsidP="003351B6">
      <w:r>
        <w:t>When this strategy is used for assessment purposes, students could be assessed on their ability to:</w:t>
      </w:r>
    </w:p>
    <w:p w14:paraId="2916A569" w14:textId="35CB4DB8" w:rsidR="003351B6" w:rsidRDefault="003351B6" w:rsidP="003351B6">
      <w:pPr>
        <w:pStyle w:val="ListBullet"/>
      </w:pPr>
      <w:r>
        <w:t>gather and analyse information</w:t>
      </w:r>
    </w:p>
    <w:p w14:paraId="64D483FC" w14:textId="3D23811B" w:rsidR="003351B6" w:rsidRDefault="003351B6" w:rsidP="003351B6">
      <w:pPr>
        <w:pStyle w:val="ListBullet"/>
      </w:pPr>
      <w:r>
        <w:t>research information</w:t>
      </w:r>
    </w:p>
    <w:p w14:paraId="47D84864" w14:textId="661CA63A" w:rsidR="003351B6" w:rsidRDefault="003351B6" w:rsidP="003351B6">
      <w:pPr>
        <w:pStyle w:val="ListBullet"/>
      </w:pPr>
      <w:r>
        <w:t>communicate information.</w:t>
      </w:r>
    </w:p>
    <w:p w14:paraId="4F5E091B" w14:textId="77777777" w:rsidR="003351B6" w:rsidRDefault="003351B6" w:rsidP="003351B6">
      <w:pPr>
        <w:pStyle w:val="Heading3"/>
      </w:pPr>
      <w:r>
        <w:t>Fieldwork activities</w:t>
      </w:r>
    </w:p>
    <w:p w14:paraId="65903669" w14:textId="2C190252" w:rsidR="003351B6" w:rsidRDefault="003351B6" w:rsidP="003351B6">
      <w:r>
        <w:t>Assessment activities might include pre-fieldwork and post-fieldwork tasks</w:t>
      </w:r>
      <w:r w:rsidR="00610292">
        <w:t>,</w:t>
      </w:r>
      <w:r>
        <w:t xml:space="preserve"> as well as the actual fieldwork itself (for example, the development of a questionnaire to be used in the fieldwork, the collection of information in the field, and the writing up of a report to communicate the fieldwork findings).</w:t>
      </w:r>
    </w:p>
    <w:p w14:paraId="68843FAC" w14:textId="77777777" w:rsidR="003351B6" w:rsidRDefault="003351B6" w:rsidP="003351B6">
      <w:pPr>
        <w:pStyle w:val="Heading3"/>
      </w:pPr>
      <w:r>
        <w:lastRenderedPageBreak/>
        <w:t>Presentations</w:t>
      </w:r>
    </w:p>
    <w:p w14:paraId="348B880B" w14:textId="777027FF" w:rsidR="003351B6" w:rsidRDefault="003351B6" w:rsidP="003351B6">
      <w:r>
        <w:t>Assessment activities might include prepared and impromptu oral presentations, role-plays, poster presentations, prepared digital recordings (video</w:t>
      </w:r>
      <w:r w:rsidR="00610292">
        <w:t xml:space="preserve"> or </w:t>
      </w:r>
      <w:r>
        <w:t>audio) and displays.</w:t>
      </w:r>
    </w:p>
    <w:p w14:paraId="67EEF0AD" w14:textId="3EDFD0B1" w:rsidR="003351B6" w:rsidRDefault="003351B6" w:rsidP="003351B6">
      <w:r>
        <w:t>When these strategies are used for assessment purposes</w:t>
      </w:r>
      <w:r w:rsidR="00610292">
        <w:t>,</w:t>
      </w:r>
      <w:r>
        <w:t xml:space="preserve"> students could be assessed on their ability to:</w:t>
      </w:r>
    </w:p>
    <w:p w14:paraId="5493FF27" w14:textId="74DDA60F" w:rsidR="003351B6" w:rsidRDefault="003351B6" w:rsidP="003351B6">
      <w:pPr>
        <w:pStyle w:val="ListBullet"/>
      </w:pPr>
      <w:r>
        <w:t>participate in scenarios</w:t>
      </w:r>
    </w:p>
    <w:p w14:paraId="4CB060FF" w14:textId="71B63BF6" w:rsidR="003351B6" w:rsidRDefault="003351B6" w:rsidP="003351B6">
      <w:pPr>
        <w:pStyle w:val="ListBullet"/>
      </w:pPr>
      <w:r>
        <w:t>communicate information effectively using oral and graphical forms.</w:t>
      </w:r>
    </w:p>
    <w:p w14:paraId="2585EAB5" w14:textId="77777777" w:rsidR="003351B6" w:rsidRDefault="003351B6" w:rsidP="003351B6">
      <w:pPr>
        <w:pStyle w:val="Heading3"/>
      </w:pPr>
      <w:r>
        <w:t>Case studies</w:t>
      </w:r>
    </w:p>
    <w:p w14:paraId="1D89F3F4" w14:textId="24BB48BD" w:rsidR="003351B6" w:rsidRDefault="003351B6" w:rsidP="003351B6">
      <w:r>
        <w:t>Assessment activities include exploring environmental issues</w:t>
      </w:r>
      <w:r w:rsidR="00774EA2">
        <w:t xml:space="preserve"> and</w:t>
      </w:r>
      <w:r>
        <w:t xml:space="preserve"> risk assessment for outdoor activities. When these strategies are used for assessment purposes</w:t>
      </w:r>
      <w:r w:rsidR="00774EA2">
        <w:t>,</w:t>
      </w:r>
      <w:r>
        <w:t xml:space="preserve"> students could be assessed on their ability to:</w:t>
      </w:r>
    </w:p>
    <w:p w14:paraId="50609515" w14:textId="17995EEE" w:rsidR="003351B6" w:rsidRDefault="003351B6" w:rsidP="003351B6">
      <w:pPr>
        <w:pStyle w:val="ListBullet"/>
      </w:pPr>
      <w:r>
        <w:t>assess the application of planning, risk assessment</w:t>
      </w:r>
      <w:r w:rsidR="00774EA2">
        <w:t>,</w:t>
      </w:r>
      <w:r>
        <w:t xml:space="preserve"> and management skills</w:t>
      </w:r>
    </w:p>
    <w:p w14:paraId="24441E5F" w14:textId="71DBA02F" w:rsidR="003351B6" w:rsidRDefault="003351B6" w:rsidP="003351B6">
      <w:pPr>
        <w:pStyle w:val="ListBullet"/>
      </w:pPr>
      <w:r>
        <w:t>question, analyse</w:t>
      </w:r>
      <w:r w:rsidR="00774EA2">
        <w:t>,</w:t>
      </w:r>
      <w:r>
        <w:t xml:space="preserve"> and interpret information </w:t>
      </w:r>
      <w:r w:rsidR="00DC1D53">
        <w:t>to</w:t>
      </w:r>
      <w:r>
        <w:t xml:space="preserve"> draw conclusions.</w:t>
      </w:r>
    </w:p>
    <w:p w14:paraId="644DF0E3" w14:textId="77777777" w:rsidR="003351B6" w:rsidRDefault="003351B6" w:rsidP="003351B6">
      <w:pPr>
        <w:pStyle w:val="Heading3"/>
      </w:pPr>
      <w:r>
        <w:t>Practical application</w:t>
      </w:r>
    </w:p>
    <w:p w14:paraId="1D1F0E28" w14:textId="77777777" w:rsidR="003351B6" w:rsidRDefault="003351B6" w:rsidP="003351B6">
      <w:r>
        <w:t>Practical application may include:</w:t>
      </w:r>
    </w:p>
    <w:p w14:paraId="4B6ED844" w14:textId="0D33CC4F" w:rsidR="003351B6" w:rsidRDefault="003351B6" w:rsidP="003351B6">
      <w:pPr>
        <w:pStyle w:val="ListBullet"/>
      </w:pPr>
      <w:r>
        <w:t>participating in outdoor education activities</w:t>
      </w:r>
    </w:p>
    <w:p w14:paraId="766B8A55" w14:textId="6781755A" w:rsidR="003351B6" w:rsidRDefault="003351B6" w:rsidP="003351B6">
      <w:pPr>
        <w:pStyle w:val="ListBullet"/>
      </w:pPr>
      <w:r>
        <w:t>assessment of interpersonal skills</w:t>
      </w:r>
    </w:p>
    <w:p w14:paraId="16A6D2B9" w14:textId="0408A012" w:rsidR="003351B6" w:rsidRDefault="003351B6" w:rsidP="003351B6">
      <w:pPr>
        <w:pStyle w:val="ListBullet"/>
      </w:pPr>
      <w:r>
        <w:t>assessment of technical skills</w:t>
      </w:r>
    </w:p>
    <w:p w14:paraId="18EEAFCB" w14:textId="1EB83B45" w:rsidR="003351B6" w:rsidRDefault="003351B6" w:rsidP="003351B6">
      <w:pPr>
        <w:pStyle w:val="ListBullet"/>
      </w:pPr>
      <w:r>
        <w:t>observing others participate</w:t>
      </w:r>
    </w:p>
    <w:p w14:paraId="17DAB526" w14:textId="07314427" w:rsidR="003351B6" w:rsidRDefault="003351B6" w:rsidP="003351B6">
      <w:pPr>
        <w:pStyle w:val="ListBullet"/>
      </w:pPr>
      <w:r>
        <w:t>an excursion</w:t>
      </w:r>
    </w:p>
    <w:p w14:paraId="3C642156" w14:textId="71A2F768" w:rsidR="003351B6" w:rsidRDefault="003351B6" w:rsidP="003351B6">
      <w:pPr>
        <w:pStyle w:val="ListBullet"/>
      </w:pPr>
      <w:r>
        <w:t>engagement with experts in the field or subject matter.</w:t>
      </w:r>
    </w:p>
    <w:p w14:paraId="685FB25D" w14:textId="77777777" w:rsidR="003351B6" w:rsidRDefault="003351B6" w:rsidP="003351B6">
      <w:pPr>
        <w:pStyle w:val="Heading3"/>
      </w:pPr>
      <w:r>
        <w:t>Peer assessment</w:t>
      </w:r>
    </w:p>
    <w:p w14:paraId="3A4A769F" w14:textId="119D0F1B" w:rsidR="003351B6" w:rsidRDefault="003351B6" w:rsidP="003351B6">
      <w:r>
        <w:t>Outdoor education encourages the active involvement of students in the learning process. Opportunities exist for individual and collaborative work. Activities involving peer assessment might include evaluating the contributions of individuals to a group task and reflecting on a peer presentation.</w:t>
      </w:r>
    </w:p>
    <w:p w14:paraId="55B58D9F" w14:textId="77777777" w:rsidR="003351B6" w:rsidRDefault="003351B6" w:rsidP="003351B6">
      <w:pPr>
        <w:pStyle w:val="Heading3"/>
      </w:pPr>
      <w:r>
        <w:lastRenderedPageBreak/>
        <w:t>Self-assessment</w:t>
      </w:r>
    </w:p>
    <w:p w14:paraId="69B3EEBF" w14:textId="3955BC48" w:rsidR="003351B6" w:rsidRDefault="003351B6" w:rsidP="003351B6">
      <w:r>
        <w:t xml:space="preserve">Outdoor education encourages students to become self-directed learners. Opportunities exist for students to reflect on their progress towards the achievement of the course outcomes. This reflection provides the basis for improving their learning. Developing self-assessment skills is an ongoing process that becomes increasingly more sophisticated and self-initiated as </w:t>
      </w:r>
      <w:proofErr w:type="spellStart"/>
      <w:r w:rsidR="00864182">
        <w:t>students</w:t>
      </w:r>
      <w:proofErr w:type="spellEnd"/>
      <w:r>
        <w:t xml:space="preserve"> progress.</w:t>
      </w:r>
      <w:r>
        <w:br w:type="page"/>
      </w:r>
    </w:p>
    <w:p w14:paraId="5DD7715D" w14:textId="3F48DF86" w:rsidR="004C731C" w:rsidRDefault="004C731C" w:rsidP="004C731C">
      <w:pPr>
        <w:pStyle w:val="Heading2"/>
      </w:pPr>
      <w:r>
        <w:lastRenderedPageBreak/>
        <w:t>Additional i</w:t>
      </w:r>
      <w:r w:rsidR="00A12C29">
        <w:t>nformation</w:t>
      </w:r>
    </w:p>
    <w:p w14:paraId="5CD72D4A" w14:textId="77777777" w:rsidR="00C55A7A" w:rsidRDefault="00C55A7A" w:rsidP="00C55A7A">
      <w:pPr>
        <w:pStyle w:val="Featurepink"/>
      </w:pPr>
      <w:r w:rsidRPr="00C2134A">
        <w:rPr>
          <w:b/>
          <w:bCs/>
        </w:rPr>
        <w:t>Resource evaluation and support</w:t>
      </w:r>
      <w:r>
        <w:t xml:space="preserve">: Please complete the following </w:t>
      </w:r>
      <w:hyperlink r:id="rId11" w:history="1">
        <w:r w:rsidRPr="00C2134A">
          <w:rPr>
            <w:rStyle w:val="Hyperlink"/>
          </w:rPr>
          <w:t>feedback form</w:t>
        </w:r>
      </w:hyperlink>
      <w:r>
        <w:t xml:space="preserve"> to help us improve our resources and support.</w:t>
      </w:r>
    </w:p>
    <w:p w14:paraId="2D24D6A0" w14:textId="1E74A987" w:rsidR="004C731C" w:rsidRDefault="00C55A7A" w:rsidP="004C731C">
      <w:r w:rsidRPr="00A12C29">
        <w:t xml:space="preserve">The information below can be used to support teachers when using this </w:t>
      </w:r>
      <w:r>
        <w:t>assessment advice</w:t>
      </w:r>
      <w:r w:rsidRPr="00A12C29">
        <w:t xml:space="preserve"> for </w:t>
      </w:r>
      <w:r>
        <w:t>Outdoor education</w:t>
      </w:r>
      <w:r w:rsidR="00A42791">
        <w:t>.</w:t>
      </w:r>
    </w:p>
    <w:p w14:paraId="73AA5EF5" w14:textId="1397E207" w:rsidR="00330114" w:rsidRDefault="00330114" w:rsidP="00330114">
      <w:pPr>
        <w:pStyle w:val="Heading3"/>
      </w:pPr>
      <w:bookmarkStart w:id="2" w:name="_Toc116394670"/>
      <w:r>
        <w:t>Rationale</w:t>
      </w:r>
      <w:bookmarkEnd w:id="2"/>
    </w:p>
    <w:p w14:paraId="1D531192" w14:textId="77777777" w:rsidR="001B71D6" w:rsidRDefault="001B71D6" w:rsidP="001B71D6">
      <w:bookmarkStart w:id="3" w:name="_Toc116394671"/>
      <w:r>
        <w:t>Outdoor education is based on experiential learning where students explore and gain a deeper understanding of their surroundings. Students learn through planning and participating in outdoor experiences and reflecting on their involvement.</w:t>
      </w:r>
    </w:p>
    <w:p w14:paraId="16D5D8BF" w14:textId="77777777" w:rsidR="001B71D6" w:rsidRDefault="001B71D6" w:rsidP="001B71D6">
      <w:r>
        <w:t>Through participation in a range of outdoor activities, students will develop and apply their knowledge and skills to work together to be active and safe in a variety of outdoor environments. They learn to assess risk, identifying and applying appropriate management strategies and emergency response procedures.</w:t>
      </w:r>
    </w:p>
    <w:p w14:paraId="24E8CE89" w14:textId="77777777" w:rsidR="001B71D6" w:rsidRDefault="001B71D6" w:rsidP="001B71D6">
      <w:r>
        <w:t xml:space="preserve">Through studying outdoor education, students will develop personal wellbeing and a sense of place and connection </w:t>
      </w:r>
      <w:proofErr w:type="gramStart"/>
      <w:r>
        <w:t>as a result of</w:t>
      </w:r>
      <w:proofErr w:type="gramEnd"/>
      <w:r>
        <w:t xml:space="preserve"> a greater understanding and appreciation of the local natural environment. Outdoor education has the potential to explicitly promote and encourage on-Country learning and include Aboriginal perspectives.</w:t>
      </w:r>
    </w:p>
    <w:p w14:paraId="12482BA0" w14:textId="77777777" w:rsidR="001B71D6" w:rsidRDefault="001B71D6" w:rsidP="001B71D6">
      <w:r>
        <w:t xml:space="preserve">Students learn skills that encourage them to minimise their impact on the environment and understand why this is so important. They will have opportunities to understand environmental management, including the ways </w:t>
      </w:r>
      <w:r w:rsidRPr="00D9323D">
        <w:t xml:space="preserve">Aboriginal </w:t>
      </w:r>
      <w:r>
        <w:t>p</w:t>
      </w:r>
      <w:r w:rsidRPr="00D9323D">
        <w:t>eoples manage</w:t>
      </w:r>
      <w:r>
        <w:t xml:space="preserve"> and work to actively conserve environments.</w:t>
      </w:r>
    </w:p>
    <w:p w14:paraId="75BE4208" w14:textId="77777777" w:rsidR="001B71D6" w:rsidRDefault="001B71D6" w:rsidP="001B71D6">
      <w:r>
        <w:t>The course has links with NSW Stage 5 HSIE, science and PDHPE curriculum.</w:t>
      </w:r>
    </w:p>
    <w:p w14:paraId="1EF833DB" w14:textId="77777777" w:rsidR="001B71D6" w:rsidRDefault="001B71D6" w:rsidP="001B71D6">
      <w:r>
        <w:t>The course will provide students with a pathway into 3 proposed Stage 6 courses:</w:t>
      </w:r>
    </w:p>
    <w:p w14:paraId="32EA1148" w14:textId="77777777" w:rsidR="001B71D6" w:rsidRDefault="001B71D6" w:rsidP="001B71D6">
      <w:pPr>
        <w:pStyle w:val="ListBullet"/>
      </w:pPr>
      <w:r>
        <w:t>Course A: Outdoor and environmental studies (ATAR).</w:t>
      </w:r>
    </w:p>
    <w:p w14:paraId="58A5BDE3" w14:textId="77777777" w:rsidR="001B71D6" w:rsidRDefault="001B71D6" w:rsidP="001B71D6">
      <w:pPr>
        <w:pStyle w:val="ListBullet"/>
      </w:pPr>
      <w:r>
        <w:t>Course B: Outdoor education general course.</w:t>
      </w:r>
    </w:p>
    <w:p w14:paraId="69729949" w14:textId="77777777" w:rsidR="001B71D6" w:rsidRDefault="001B71D6" w:rsidP="001B71D6">
      <w:pPr>
        <w:pStyle w:val="ListBullet"/>
      </w:pPr>
      <w:r>
        <w:t>Course C: Certificate II in outdoor recreation.</w:t>
      </w:r>
    </w:p>
    <w:p w14:paraId="6C6F6DF8" w14:textId="77777777" w:rsidR="001B71D6" w:rsidRPr="00643879" w:rsidRDefault="001B71D6" w:rsidP="001B71D6">
      <w:r>
        <w:t xml:space="preserve">The course is relevant to all students and will prepare students for pathways into further high school studies and subsequently tertiary or vocational education and training </w:t>
      </w:r>
      <w:r>
        <w:lastRenderedPageBreak/>
        <w:t xml:space="preserve">pathways. Career pathways include outdoor leadership and guiding, environmental interpretation, environmental planning, ecotourism, outdoor </w:t>
      </w:r>
      <w:proofErr w:type="gramStart"/>
      <w:r>
        <w:t>education</w:t>
      </w:r>
      <w:proofErr w:type="gramEnd"/>
      <w:r>
        <w:t xml:space="preserve"> and many of the evolving career paths of the outdoor industry.</w:t>
      </w:r>
    </w:p>
    <w:p w14:paraId="1C368034" w14:textId="77777777" w:rsidR="00330114" w:rsidRDefault="00330114" w:rsidP="00330114">
      <w:pPr>
        <w:pStyle w:val="Heading3"/>
      </w:pPr>
      <w:r>
        <w:t>Aim</w:t>
      </w:r>
      <w:bookmarkEnd w:id="3"/>
    </w:p>
    <w:p w14:paraId="1F5C61C3" w14:textId="77777777" w:rsidR="001B71D6" w:rsidRDefault="001B71D6" w:rsidP="001B71D6">
      <w:r>
        <w:t>Outdoor education aims to enable students to develop:</w:t>
      </w:r>
    </w:p>
    <w:p w14:paraId="361F4950" w14:textId="77777777" w:rsidR="001B71D6" w:rsidRDefault="001B71D6" w:rsidP="001B71D6">
      <w:pPr>
        <w:pStyle w:val="ListBullet"/>
      </w:pPr>
      <w:r>
        <w:t>a range of interpersonal skills, self-</w:t>
      </w:r>
      <w:proofErr w:type="gramStart"/>
      <w:r>
        <w:t>management</w:t>
      </w:r>
      <w:proofErr w:type="gramEnd"/>
      <w:r>
        <w:t xml:space="preserve"> and specialised movement skills to participate safely in a range of outdoor activities and challenges</w:t>
      </w:r>
    </w:p>
    <w:p w14:paraId="694C42E0" w14:textId="77777777" w:rsidR="001B71D6" w:rsidRDefault="001B71D6" w:rsidP="001B71D6">
      <w:pPr>
        <w:pStyle w:val="ListBullet"/>
      </w:pPr>
      <w:r>
        <w:t xml:space="preserve">technical knowledge, </w:t>
      </w:r>
      <w:proofErr w:type="gramStart"/>
      <w:r>
        <w:t>awareness</w:t>
      </w:r>
      <w:proofErr w:type="gramEnd"/>
      <w:r>
        <w:t xml:space="preserve"> and skills to plan and prepare for safe participation in a range of outdoor activities</w:t>
      </w:r>
    </w:p>
    <w:p w14:paraId="2DAE69C9" w14:textId="77777777" w:rsidR="001B71D6" w:rsidRDefault="001B71D6" w:rsidP="001B71D6">
      <w:pPr>
        <w:pStyle w:val="ListBullet"/>
      </w:pPr>
      <w:r>
        <w:t>responsible attitudes towards respecting and protecting the natural environment</w:t>
      </w:r>
    </w:p>
    <w:p w14:paraId="171D18C4" w14:textId="77777777" w:rsidR="001B71D6" w:rsidRPr="006877E1" w:rsidRDefault="001B71D6" w:rsidP="001B71D6">
      <w:pPr>
        <w:pStyle w:val="ListBullet"/>
      </w:pPr>
      <w:r>
        <w:t>positive habits and behaviours to connect with the natural environment and support lifelong health and wellbeing.</w:t>
      </w:r>
    </w:p>
    <w:p w14:paraId="65726CCC" w14:textId="77777777" w:rsidR="00310B7E" w:rsidRDefault="00310B7E" w:rsidP="00310B7E">
      <w:pPr>
        <w:pStyle w:val="Heading3"/>
      </w:pPr>
      <w:r>
        <w:t>Purpose and audience</w:t>
      </w:r>
    </w:p>
    <w:p w14:paraId="71C4C731" w14:textId="60A09F29" w:rsidR="00310B7E" w:rsidRDefault="00310B7E" w:rsidP="00310B7E">
      <w:pPr>
        <w:rPr>
          <w:lang w:eastAsia="zh-CN"/>
        </w:rPr>
      </w:pPr>
      <w:r>
        <w:t xml:space="preserve">This assessment advice provides performance band descriptors which align with the A-E grading scale. It also outlines a range of assessment strategies and how they could be applied to the course. This resource is for teachers and leaders when planning for assessment and reporting of the </w:t>
      </w:r>
      <w:r w:rsidR="00A42791">
        <w:t>Outdoor education</w:t>
      </w:r>
      <w:r w:rsidR="00C17204">
        <w:t xml:space="preserve"> </w:t>
      </w:r>
      <w:r>
        <w:t>course.</w:t>
      </w:r>
    </w:p>
    <w:p w14:paraId="251A9106" w14:textId="77777777" w:rsidR="00310B7E" w:rsidRDefault="00310B7E" w:rsidP="00310B7E">
      <w:pPr>
        <w:pStyle w:val="Heading3"/>
      </w:pPr>
      <w:r>
        <w:t>When and how to use this document</w:t>
      </w:r>
    </w:p>
    <w:p w14:paraId="073A4E27" w14:textId="7C60A346" w:rsidR="00310B7E" w:rsidRDefault="00310B7E" w:rsidP="004C731C">
      <w:pPr>
        <w:rPr>
          <w:lang w:eastAsia="zh-CN"/>
        </w:rPr>
      </w:pPr>
      <w:r>
        <w:t xml:space="preserve">Use the assessment advice to guide the development of an effective assessment schedule, formative tasks, and summative tasks which allow all students to demonstrate their achievement of course outcomes. This assessment advice should also be used when designing reporting processes for the </w:t>
      </w:r>
      <w:r w:rsidR="00A42791">
        <w:t>Outdoor education</w:t>
      </w:r>
      <w:r w:rsidR="00C17204">
        <w:t xml:space="preserve"> </w:t>
      </w:r>
      <w:r>
        <w:t>course.</w:t>
      </w:r>
    </w:p>
    <w:p w14:paraId="35BF9A2A" w14:textId="77777777" w:rsidR="00B61501" w:rsidRDefault="00B61501" w:rsidP="00B61501">
      <w:pPr>
        <w:pStyle w:val="Heading3"/>
      </w:pPr>
      <w:bookmarkStart w:id="4" w:name="_Toc118968044"/>
      <w:r>
        <w:t>Assessment for learning</w:t>
      </w:r>
      <w:bookmarkEnd w:id="4"/>
    </w:p>
    <w:p w14:paraId="128A1DC5" w14:textId="77777777" w:rsidR="00B61501" w:rsidRDefault="00B61501" w:rsidP="00B61501">
      <w:r w:rsidRPr="00A12C29">
        <w:t>Possible formative assessment strategies that could be included</w:t>
      </w:r>
      <w:r>
        <w:t>:</w:t>
      </w:r>
    </w:p>
    <w:p w14:paraId="57A4CBB5" w14:textId="77777777" w:rsidR="00B61501" w:rsidRDefault="00B61501" w:rsidP="00B61501">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w:t>
      </w:r>
      <w:r>
        <w:lastRenderedPageBreak/>
        <w:t xml:space="preserve">provide a framework for reflection and feedback. </w:t>
      </w:r>
      <w:hyperlink r:id="rId12" w:history="1">
        <w:r w:rsidRPr="00A16172">
          <w:rPr>
            <w:rStyle w:val="Hyperlink"/>
          </w:rPr>
          <w:t>Online tools</w:t>
        </w:r>
      </w:hyperlink>
      <w:r>
        <w:t xml:space="preserve"> can assist implementation of this formative assessment strategy.</w:t>
      </w:r>
    </w:p>
    <w:p w14:paraId="6827C0FC" w14:textId="77777777" w:rsidR="00B61501" w:rsidRDefault="00B61501" w:rsidP="00B61501">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13">
        <w:r w:rsidRPr="3A874A9E">
          <w:rPr>
            <w:rStyle w:val="Hyperlink"/>
          </w:rPr>
          <w:t>exit tickets</w:t>
        </w:r>
      </w:hyperlink>
      <w:r>
        <w:t xml:space="preserve">, mini whiteboards (actual or </w:t>
      </w:r>
      <w:hyperlink r:id="rId14">
        <w:r w:rsidRPr="3A874A9E">
          <w:rPr>
            <w:rStyle w:val="Hyperlink"/>
          </w:rPr>
          <w:t>digital</w:t>
        </w:r>
      </w:hyperlink>
      <w:r>
        <w:t xml:space="preserve">), </w:t>
      </w:r>
      <w:hyperlink r:id="rId15">
        <w:r w:rsidRPr="3A874A9E">
          <w:rPr>
            <w:rStyle w:val="Hyperlink"/>
          </w:rPr>
          <w:t>hinge questions</w:t>
        </w:r>
      </w:hyperlink>
      <w:r>
        <w:t xml:space="preserve">, </w:t>
      </w:r>
      <w:hyperlink r:id="rId16" w:history="1">
        <w:r w:rsidRPr="00A81EF9">
          <w:rPr>
            <w:rStyle w:val="Hyperlink"/>
          </w:rPr>
          <w:t>Kahoot</w:t>
        </w:r>
      </w:hyperlink>
      <w:r>
        <w:t xml:space="preserve">, </w:t>
      </w:r>
      <w:hyperlink r:id="rId17" w:history="1">
        <w:r w:rsidRPr="00A81EF9">
          <w:rPr>
            <w:rStyle w:val="Hyperlink"/>
          </w:rPr>
          <w:t>Socrative</w:t>
        </w:r>
      </w:hyperlink>
      <w:r>
        <w:t>, or quick quizzes to ensure that individual student progress can be monitored and the lesson sequence adjusted based on formative data collected.</w:t>
      </w:r>
    </w:p>
    <w:p w14:paraId="58236268" w14:textId="77777777" w:rsidR="00B61501" w:rsidRDefault="00B61501" w:rsidP="00B61501">
      <w:pPr>
        <w:pStyle w:val="ListBullet"/>
        <w:numPr>
          <w:ilvl w:val="0"/>
          <w:numId w:val="2"/>
        </w:numPr>
      </w:pPr>
      <w:r>
        <w:t xml:space="preserve">Feedback is designed to close the gap between current and desired performance by informing teacher and student behaviour (AITSL 2017). AITSL provides a </w:t>
      </w:r>
      <w:hyperlink r:id="rId18" w:anchor=":~:text=FEEDBACK-,Factsheet,-A%20quick%20guide" w:history="1">
        <w:r w:rsidRPr="00A16172">
          <w:rPr>
            <w:rStyle w:val="Hyperlink"/>
          </w:rPr>
          <w:t>factsheet to support evidence-based feedback</w:t>
        </w:r>
      </w:hyperlink>
      <w:r>
        <w:t>.</w:t>
      </w:r>
    </w:p>
    <w:p w14:paraId="608307F8" w14:textId="77777777" w:rsidR="00B61501" w:rsidRDefault="009501CA" w:rsidP="00B61501">
      <w:pPr>
        <w:pStyle w:val="ListBullet"/>
        <w:numPr>
          <w:ilvl w:val="0"/>
          <w:numId w:val="2"/>
        </w:numPr>
      </w:pPr>
      <w:hyperlink r:id="rId19" w:history="1">
        <w:r w:rsidR="00B61501" w:rsidRPr="00DA1B0D">
          <w:rPr>
            <w:rStyle w:val="Hyperlink"/>
          </w:rPr>
          <w:t>Peer feedback</w:t>
        </w:r>
      </w:hyperlink>
      <w:r w:rsidR="00B61501">
        <w:t xml:space="preserve"> is a structured process where students evaluate the work of their peers by providing valuable feedback in relation to learning intentions and success criteria. It can be supported by </w:t>
      </w:r>
      <w:hyperlink r:id="rId20" w:history="1">
        <w:r w:rsidR="00B61501" w:rsidRPr="00A16172">
          <w:rPr>
            <w:rStyle w:val="Hyperlink"/>
          </w:rPr>
          <w:t>online tools</w:t>
        </w:r>
      </w:hyperlink>
      <w:r w:rsidR="00B61501">
        <w:t>.</w:t>
      </w:r>
    </w:p>
    <w:p w14:paraId="1DD5AD48" w14:textId="77777777" w:rsidR="00B61501" w:rsidRDefault="00B61501" w:rsidP="00B61501">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21">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22">
        <w:r w:rsidRPr="3A874A9E">
          <w:rPr>
            <w:rStyle w:val="Hyperlink"/>
          </w:rPr>
          <w:t>KWLH charts</w:t>
        </w:r>
      </w:hyperlink>
      <w:r>
        <w:t xml:space="preserve">, </w:t>
      </w:r>
      <w:hyperlink r:id="rId23">
        <w:r w:rsidRPr="3A874A9E">
          <w:rPr>
            <w:rStyle w:val="Hyperlink"/>
          </w:rPr>
          <w:t>learning portfolios</w:t>
        </w:r>
      </w:hyperlink>
      <w:r>
        <w:t xml:space="preserve"> and </w:t>
      </w:r>
      <w:hyperlink r:id="rId24">
        <w:r w:rsidRPr="3A874A9E">
          <w:rPr>
            <w:rStyle w:val="Hyperlink"/>
          </w:rPr>
          <w:t>learning logs</w:t>
        </w:r>
      </w:hyperlink>
      <w:r>
        <w:t>.</w:t>
      </w:r>
    </w:p>
    <w:p w14:paraId="2965641F" w14:textId="77777777" w:rsidR="00B61501" w:rsidRDefault="00B61501" w:rsidP="00B61501">
      <w:pPr>
        <w:pStyle w:val="FeatureBox"/>
      </w:pPr>
      <w:r>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31BEBF3F" w14:textId="77777777" w:rsidR="00B61501" w:rsidRDefault="00B61501" w:rsidP="00B61501">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7DBBA063" w14:textId="77777777" w:rsidR="00B61501" w:rsidRDefault="009501CA" w:rsidP="00B61501">
      <w:pPr>
        <w:pStyle w:val="FeatureBox"/>
      </w:pPr>
      <w:hyperlink r:id="rId25" w:history="1">
        <w:r w:rsidR="00B61501" w:rsidRPr="00C2134A">
          <w:rPr>
            <w:rStyle w:val="Hyperlink"/>
          </w:rPr>
          <w:t>What works best update 2020</w:t>
        </w:r>
      </w:hyperlink>
      <w:r w:rsidR="00B61501" w:rsidRPr="008D59F5">
        <w:t xml:space="preserve"> (CESE 2020a)</w:t>
      </w:r>
    </w:p>
    <w:p w14:paraId="2204E144" w14:textId="77777777" w:rsidR="00B61501" w:rsidRDefault="00B61501" w:rsidP="00B61501">
      <w:pPr>
        <w:pStyle w:val="Heading3"/>
      </w:pPr>
      <w:bookmarkStart w:id="5" w:name="_Toc118968045"/>
      <w:r>
        <w:lastRenderedPageBreak/>
        <w:t>Differentiation</w:t>
      </w:r>
      <w:bookmarkEnd w:id="5"/>
    </w:p>
    <w:p w14:paraId="3042A560" w14:textId="77777777" w:rsidR="00B61501" w:rsidRDefault="00B61501" w:rsidP="00B61501">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26" w:history="1">
        <w:r>
          <w:rPr>
            <w:rStyle w:val="Hyperlink"/>
          </w:rPr>
          <w:t>Differentiating learning</w:t>
        </w:r>
      </w:hyperlink>
      <w:r>
        <w:t xml:space="preserve"> and </w:t>
      </w:r>
      <w:hyperlink r:id="rId27" w:history="1">
        <w:r>
          <w:rPr>
            <w:rStyle w:val="Hyperlink"/>
          </w:rPr>
          <w:t>Differentiation</w:t>
        </w:r>
      </w:hyperlink>
      <w:r>
        <w:t>.</w:t>
      </w:r>
    </w:p>
    <w:p w14:paraId="07CF2C25" w14:textId="77777777" w:rsidR="00B61501" w:rsidRDefault="00B61501" w:rsidP="00B61501">
      <w:r>
        <w:t>When using these resources in the classroom, it is important for teachers to consider the needs of all students in their class, including:</w:t>
      </w:r>
    </w:p>
    <w:p w14:paraId="31DD39DF" w14:textId="77777777" w:rsidR="00B61501" w:rsidRDefault="00B61501" w:rsidP="00B61501">
      <w:pPr>
        <w:pStyle w:val="ListBullet"/>
        <w:numPr>
          <w:ilvl w:val="0"/>
          <w:numId w:val="2"/>
        </w:numPr>
      </w:pPr>
      <w:r w:rsidRPr="00973DAE">
        <w:rPr>
          <w:b/>
          <w:bCs/>
        </w:rPr>
        <w:t>Aboriginal and Torres Strait Islander students</w:t>
      </w:r>
      <w:r>
        <w:t xml:space="preserve">. Targeted </w:t>
      </w:r>
      <w:hyperlink r:id="rId28"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0F01DCDB" w14:textId="77777777" w:rsidR="00B61501" w:rsidRDefault="00B61501" w:rsidP="00B61501">
      <w:pPr>
        <w:pStyle w:val="ListBullet"/>
        <w:numPr>
          <w:ilvl w:val="0"/>
          <w:numId w:val="2"/>
        </w:numPr>
      </w:pPr>
      <w:r w:rsidRPr="00973DAE">
        <w:rPr>
          <w:b/>
          <w:bCs/>
        </w:rPr>
        <w:t>EAL/D learners</w:t>
      </w:r>
      <w:r>
        <w:t xml:space="preserve">. EAL/D learners will require explicit English language support and scaffolding, informed by the </w:t>
      </w:r>
      <w:hyperlink r:id="rId29" w:history="1">
        <w:r w:rsidRPr="00973DAE">
          <w:rPr>
            <w:rStyle w:val="Hyperlink"/>
          </w:rPr>
          <w:t>EAL/D enhanced teaching and learning cycle</w:t>
        </w:r>
      </w:hyperlink>
      <w:r>
        <w:t xml:space="preserve"> and the student’s phase on the </w:t>
      </w:r>
      <w:hyperlink r:id="rId30" w:history="1">
        <w:r w:rsidRPr="00973DAE">
          <w:rPr>
            <w:rStyle w:val="Hyperlink"/>
          </w:rPr>
          <w:t>EAL/D Learning Progression</w:t>
        </w:r>
      </w:hyperlink>
      <w:r>
        <w:t xml:space="preserve">. In addition, teachers can access information about </w:t>
      </w:r>
      <w:hyperlink r:id="rId31" w:history="1">
        <w:r w:rsidRPr="00973DAE">
          <w:rPr>
            <w:rStyle w:val="Hyperlink"/>
          </w:rPr>
          <w:t>supporting EAL/D learners</w:t>
        </w:r>
      </w:hyperlink>
      <w:r>
        <w:t xml:space="preserve"> and </w:t>
      </w:r>
      <w:hyperlink r:id="rId32" w:history="1">
        <w:r w:rsidRPr="00A53C65">
          <w:rPr>
            <w:rStyle w:val="Hyperlink"/>
          </w:rPr>
          <w:t>literacy and numeracy support specific to EAL/D learners</w:t>
        </w:r>
      </w:hyperlink>
      <w:r>
        <w:t>.</w:t>
      </w:r>
    </w:p>
    <w:p w14:paraId="558283EA" w14:textId="77777777" w:rsidR="00B61501" w:rsidRDefault="00B61501" w:rsidP="00B61501">
      <w:pPr>
        <w:pStyle w:val="ListBullet"/>
        <w:numPr>
          <w:ilvl w:val="0"/>
          <w:numId w:val="2"/>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33">
        <w:r w:rsidRPr="6667E0D0">
          <w:rPr>
            <w:rStyle w:val="Hyperlink"/>
          </w:rPr>
          <w:t>adjustments</w:t>
        </w:r>
      </w:hyperlink>
      <w:r w:rsidRPr="6667E0D0">
        <w:t xml:space="preserve"> to ensure a personalised approach to student learning. </w:t>
      </w:r>
      <w:r>
        <w:t xml:space="preserve">In addition, the </w:t>
      </w:r>
      <w:hyperlink r:id="rId34"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35" w:history="1">
        <w:r w:rsidRPr="00C03F0A">
          <w:rPr>
            <w:rStyle w:val="Hyperlink"/>
          </w:rPr>
          <w:t>Inclusive Practice hub</w:t>
        </w:r>
      </w:hyperlink>
      <w:r>
        <w:t>.</w:t>
      </w:r>
    </w:p>
    <w:p w14:paraId="0B0B975B" w14:textId="77777777" w:rsidR="00B61501" w:rsidRDefault="00B61501" w:rsidP="00B61501">
      <w:pPr>
        <w:pStyle w:val="ListBullet"/>
        <w:numPr>
          <w:ilvl w:val="0"/>
          <w:numId w:val="2"/>
        </w:numPr>
      </w:pPr>
      <w:r w:rsidRPr="00973DAE">
        <w:rPr>
          <w:b/>
          <w:bCs/>
        </w:rPr>
        <w:t>High potential and gifted learners</w:t>
      </w:r>
      <w:r>
        <w:t xml:space="preserve">. </w:t>
      </w:r>
      <w:hyperlink r:id="rId36"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37">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38">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w:t>
      </w:r>
      <w:r w:rsidRPr="00D21087">
        <w:t xml:space="preserve">can be used to support the specific learning needs of high potential and gifted students. The </w:t>
      </w:r>
      <w:hyperlink r:id="rId39">
        <w:r w:rsidRPr="6667E0D0">
          <w:rPr>
            <w:rStyle w:val="Hyperlink"/>
          </w:rPr>
          <w:t>High Potential and Gifted Education Professional Learning and Resource Hub</w:t>
        </w:r>
      </w:hyperlink>
      <w:r w:rsidRPr="00D21087">
        <w:t xml:space="preserve"> supports school leaders and teachers to effectively implement the High Potential and Gifted Education Policy in their unique contexts.</w:t>
      </w:r>
    </w:p>
    <w:p w14:paraId="56BA2E63" w14:textId="77777777" w:rsidR="00B61501" w:rsidRDefault="00B61501" w:rsidP="00B61501">
      <w:pPr>
        <w:pStyle w:val="FeatureBox"/>
      </w:pPr>
      <w:r>
        <w:lastRenderedPageBreak/>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4FE064BE" w14:textId="77777777" w:rsidR="004C731C" w:rsidRDefault="004C731C" w:rsidP="004A541C">
      <w:pPr>
        <w:pStyle w:val="Heading2"/>
      </w:pPr>
      <w:r>
        <w:t>About this resource</w:t>
      </w:r>
    </w:p>
    <w:p w14:paraId="18E937C1" w14:textId="77777777" w:rsidR="004C731C" w:rsidRDefault="004C731C" w:rsidP="004C731C">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40" w:history="1">
        <w:r w:rsidRPr="000E35AF">
          <w:rPr>
            <w:rStyle w:val="Hyperlink"/>
          </w:rPr>
          <w:t>secondaryteachingandlearning@det.nsw.edu.au</w:t>
        </w:r>
      </w:hyperlink>
      <w:r>
        <w:t>.</w:t>
      </w:r>
    </w:p>
    <w:p w14:paraId="460C944C" w14:textId="77777777" w:rsidR="004C731C" w:rsidRDefault="004C731C" w:rsidP="004C731C">
      <w:r w:rsidRPr="00C2134A">
        <w:rPr>
          <w:b/>
          <w:bCs/>
        </w:rPr>
        <w:t>Alignment to system priorities and/or needs</w:t>
      </w:r>
      <w:r>
        <w:t>:</w:t>
      </w:r>
    </w:p>
    <w:p w14:paraId="6BA1EF63" w14:textId="77777777" w:rsidR="004C731C" w:rsidRDefault="004C731C" w:rsidP="004C731C">
      <w:r>
        <w:t>This resource aligns to the School Excellence Framework elements of curriculum (curriculum provision) and effective classroom practice (lesson planning, explicit teaching).</w:t>
      </w:r>
    </w:p>
    <w:p w14:paraId="3E69A99E" w14:textId="5A7799B0" w:rsidR="004C731C" w:rsidRDefault="004C731C" w:rsidP="004C731C">
      <w:r>
        <w:t xml:space="preserve">This resource supports teachers to address </w:t>
      </w:r>
      <w:hyperlink r:id="rId41" w:history="1">
        <w:r w:rsidRPr="00794810">
          <w:rPr>
            <w:rStyle w:val="Hyperlink"/>
          </w:rPr>
          <w:t>Australian Professional Teaching Standards</w:t>
        </w:r>
      </w:hyperlink>
      <w:r>
        <w:t xml:space="preserve"> </w:t>
      </w:r>
      <w:r w:rsidR="009D1FAD">
        <w:t>5.1.2, 5.5.2</w:t>
      </w:r>
    </w:p>
    <w:p w14:paraId="769CE797" w14:textId="50D314AE" w:rsidR="004C731C" w:rsidRDefault="004C731C" w:rsidP="004C731C">
      <w:r>
        <w:t xml:space="preserve">This resource has been designed to support schools with successful implementation of new curriculum, specifically the NSW Department of Education approved elective course, </w:t>
      </w:r>
      <w:r w:rsidR="00502433" w:rsidRPr="00502433">
        <w:t>Outdoor education</w:t>
      </w:r>
      <w:r w:rsidRPr="00502433">
        <w:t xml:space="preserve"> © 2021 NSW</w:t>
      </w:r>
      <w:r>
        <w:t xml:space="preserve"> Department of Education for and on behalf of the Crown in right of the State of New South Wales.</w:t>
      </w:r>
    </w:p>
    <w:p w14:paraId="7C6D79D9"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0EE86C8D" w14:textId="6B2DB82A" w:rsidR="004C731C" w:rsidRDefault="004C731C" w:rsidP="004C731C">
      <w:r w:rsidRPr="00CE344E">
        <w:rPr>
          <w:b/>
          <w:bCs/>
        </w:rPr>
        <w:t>Department approved elective course</w:t>
      </w:r>
      <w:r w:rsidRPr="00CE344E">
        <w:t>:</w:t>
      </w:r>
      <w:r w:rsidR="00502433">
        <w:t xml:space="preserve"> Outdoor education </w:t>
      </w:r>
    </w:p>
    <w:p w14:paraId="0599144D" w14:textId="5E6016A1" w:rsidR="004C731C" w:rsidRDefault="004C731C" w:rsidP="004C731C">
      <w:r w:rsidRPr="00CE344E">
        <w:rPr>
          <w:b/>
          <w:bCs/>
        </w:rPr>
        <w:t>Course outcomes</w:t>
      </w:r>
      <w:r w:rsidRPr="00CE344E">
        <w:t xml:space="preserve">: </w:t>
      </w:r>
      <w:r w:rsidR="00DD0E68" w:rsidRPr="00231B5E">
        <w:t>OE5-</w:t>
      </w:r>
      <w:r w:rsidR="00DD0E68">
        <w:t>1,</w:t>
      </w:r>
      <w:r w:rsidR="00DD0E68" w:rsidRPr="00231B5E">
        <w:t xml:space="preserve"> OE5-</w:t>
      </w:r>
      <w:r w:rsidR="00DD0E68">
        <w:t>2,</w:t>
      </w:r>
      <w:r w:rsidR="00DD0E68" w:rsidRPr="00231B5E">
        <w:t xml:space="preserve"> OE5</w:t>
      </w:r>
      <w:r w:rsidR="00DD0E68">
        <w:t xml:space="preserve">-3, </w:t>
      </w:r>
      <w:r w:rsidR="00DD0E68" w:rsidRPr="00231B5E">
        <w:t>OE5-</w:t>
      </w:r>
      <w:r w:rsidR="00DD0E68">
        <w:t xml:space="preserve">4, </w:t>
      </w:r>
      <w:r w:rsidR="00DD0E68" w:rsidRPr="00231B5E">
        <w:t>OE5-</w:t>
      </w:r>
      <w:r w:rsidR="00DD0E68">
        <w:t xml:space="preserve">5, </w:t>
      </w:r>
      <w:r w:rsidR="00DD0E68" w:rsidRPr="00231B5E">
        <w:t>OE5-</w:t>
      </w:r>
      <w:r w:rsidR="00DD0E68">
        <w:t xml:space="preserve">6, </w:t>
      </w:r>
      <w:r w:rsidR="00DD0E68" w:rsidRPr="00231B5E">
        <w:t>OE5-</w:t>
      </w:r>
      <w:r w:rsidR="00DD0E68">
        <w:t xml:space="preserve">7, </w:t>
      </w:r>
      <w:r w:rsidR="00DD0E68" w:rsidRPr="00231B5E">
        <w:t>OE5-</w:t>
      </w:r>
      <w:r w:rsidR="00DD0E68">
        <w:t xml:space="preserve">8, </w:t>
      </w:r>
      <w:r w:rsidR="00DD0E68" w:rsidRPr="00231B5E">
        <w:t>OE5-</w:t>
      </w:r>
      <w:r w:rsidR="00DD0E68">
        <w:t xml:space="preserve">9, </w:t>
      </w:r>
      <w:r w:rsidR="00DD0E68" w:rsidRPr="00231B5E">
        <w:t>OE5-</w:t>
      </w:r>
      <w:r w:rsidR="00DD0E68">
        <w:t xml:space="preserve">10, </w:t>
      </w:r>
      <w:r w:rsidR="00DD0E68" w:rsidRPr="00231B5E">
        <w:t>OE5-</w:t>
      </w:r>
      <w:r w:rsidR="00DD0E68">
        <w:t xml:space="preserve">11, </w:t>
      </w:r>
      <w:r w:rsidR="00DD0E68" w:rsidRPr="00231B5E">
        <w:t>OE5-</w:t>
      </w:r>
      <w:r w:rsidR="00DD0E68">
        <w:t xml:space="preserve">12, </w:t>
      </w:r>
      <w:r w:rsidR="00DD0E68" w:rsidRPr="00231B5E">
        <w:t>OE5-</w:t>
      </w:r>
      <w:r w:rsidR="00DD0E68">
        <w:t>13</w:t>
      </w:r>
    </w:p>
    <w:p w14:paraId="5CAC6E7D" w14:textId="77777777" w:rsidR="004C731C" w:rsidRDefault="004C731C" w:rsidP="004C731C">
      <w:r w:rsidRPr="00C2134A">
        <w:rPr>
          <w:b/>
          <w:bCs/>
        </w:rPr>
        <w:t>Author</w:t>
      </w:r>
      <w:r>
        <w:t>: Curriculum Secondary Learners</w:t>
      </w:r>
    </w:p>
    <w:p w14:paraId="5E17AB2B" w14:textId="77777777" w:rsidR="004C731C" w:rsidRDefault="004C731C" w:rsidP="004C731C">
      <w:r w:rsidRPr="00C2134A">
        <w:rPr>
          <w:b/>
          <w:bCs/>
        </w:rPr>
        <w:t>Publisher</w:t>
      </w:r>
      <w:r>
        <w:t>: State of NSW, Department of Education</w:t>
      </w:r>
    </w:p>
    <w:p w14:paraId="4D0E70D4" w14:textId="77777777" w:rsidR="004C731C" w:rsidRDefault="004C731C" w:rsidP="004C731C">
      <w:r w:rsidRPr="00C2134A">
        <w:rPr>
          <w:b/>
          <w:bCs/>
        </w:rPr>
        <w:t>Resource</w:t>
      </w:r>
      <w:r>
        <w:t xml:space="preserve">: </w:t>
      </w:r>
      <w:r w:rsidR="00A12C29">
        <w:t>Teaching resource</w:t>
      </w:r>
    </w:p>
    <w:p w14:paraId="3E0B578C" w14:textId="3C198425" w:rsidR="004C731C" w:rsidRDefault="004C731C" w:rsidP="004C731C">
      <w:r w:rsidRPr="00C2134A">
        <w:rPr>
          <w:b/>
          <w:bCs/>
        </w:rPr>
        <w:lastRenderedPageBreak/>
        <w:t>Related resources</w:t>
      </w:r>
      <w:r>
        <w:t xml:space="preserve">: </w:t>
      </w:r>
      <w:r w:rsidRPr="008E1EDD">
        <w:t xml:space="preserve">Further resources to support </w:t>
      </w:r>
      <w:r w:rsidR="008E1EDD" w:rsidRPr="008E1EDD">
        <w:t>Outdoor education</w:t>
      </w:r>
      <w:r w:rsidRPr="008E1EDD">
        <w:t xml:space="preserve"> can be found on the Department approved elective courses webpage including course document, sample scope and sequences, assessment materials and other learning sequences.</w:t>
      </w:r>
    </w:p>
    <w:p w14:paraId="542A6A3A" w14:textId="77777777" w:rsidR="004C731C" w:rsidRDefault="004C731C" w:rsidP="004C731C">
      <w:r w:rsidRPr="00C2134A">
        <w:rPr>
          <w:b/>
          <w:bCs/>
        </w:rPr>
        <w:t>Professional Learning</w:t>
      </w:r>
      <w:r>
        <w:t xml:space="preserve">: Join the </w:t>
      </w:r>
      <w:hyperlink r:id="rId42" w:history="1">
        <w:r w:rsidRPr="00C2134A">
          <w:rPr>
            <w:rStyle w:val="Hyperlink"/>
          </w:rPr>
          <w:t xml:space="preserve">Teaching and Learning 7-12 </w:t>
        </w:r>
        <w:proofErr w:type="spellStart"/>
        <w:r w:rsidRPr="00C2134A">
          <w:rPr>
            <w:rStyle w:val="Hyperlink"/>
          </w:rPr>
          <w:t>statewide</w:t>
        </w:r>
        <w:proofErr w:type="spellEnd"/>
        <w:r w:rsidRPr="00C2134A">
          <w:rPr>
            <w:rStyle w:val="Hyperlink"/>
          </w:rPr>
          <w:t xml:space="preserve"> staffroom</w:t>
        </w:r>
      </w:hyperlink>
      <w:r>
        <w:t xml:space="preserve"> for information regarding professional learning opportunities.</w:t>
      </w:r>
    </w:p>
    <w:p w14:paraId="7A3A2123" w14:textId="77777777" w:rsidR="004C731C" w:rsidRDefault="004C731C" w:rsidP="004C731C">
      <w:r w:rsidRPr="00C2134A">
        <w:rPr>
          <w:b/>
          <w:bCs/>
        </w:rPr>
        <w:t>Universal Design for Learning Tool</w:t>
      </w:r>
      <w:r>
        <w:t xml:space="preserve">: </w:t>
      </w:r>
      <w:hyperlink r:id="rId43" w:history="1">
        <w:r w:rsidRPr="00C2134A">
          <w:rPr>
            <w:rStyle w:val="Hyperlink"/>
          </w:rPr>
          <w:t>Universal Design for Learning planning tool</w:t>
        </w:r>
      </w:hyperlink>
      <w:r>
        <w:t>. Support the diverse learning needs of students using inclusive teaching and learning strategies.</w:t>
      </w:r>
    </w:p>
    <w:p w14:paraId="23163567" w14:textId="225E7585" w:rsidR="004C731C" w:rsidRDefault="004C731C" w:rsidP="004C731C">
      <w:r w:rsidRPr="00C2134A">
        <w:rPr>
          <w:b/>
          <w:bCs/>
        </w:rPr>
        <w:t xml:space="preserve">Consulted </w:t>
      </w:r>
      <w:r w:rsidRPr="00DD17CC">
        <w:rPr>
          <w:b/>
          <w:bCs/>
        </w:rPr>
        <w:t>with</w:t>
      </w:r>
      <w:r w:rsidRPr="00DD17CC">
        <w:t>: Aboriginal Outcomes and Partnerships, Inclusion and Wellbeing, EAL/D.</w:t>
      </w:r>
    </w:p>
    <w:p w14:paraId="260B634C"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1DED1AE6" w14:textId="3C533D18" w:rsidR="004C731C" w:rsidRDefault="004C731C" w:rsidP="004C731C">
      <w:r w:rsidRPr="00C2134A">
        <w:rPr>
          <w:b/>
          <w:bCs/>
        </w:rPr>
        <w:t>Creation date</w:t>
      </w:r>
      <w:r>
        <w:t>:</w:t>
      </w:r>
      <w:r w:rsidR="00A27FCB">
        <w:t xml:space="preserve"> 1 December 2021</w:t>
      </w:r>
    </w:p>
    <w:p w14:paraId="2C2DBD8D" w14:textId="77777777" w:rsidR="004C731C" w:rsidRDefault="004C731C" w:rsidP="004C731C">
      <w:r w:rsidRPr="00C2134A">
        <w:rPr>
          <w:b/>
          <w:bCs/>
        </w:rPr>
        <w:t>Rights</w:t>
      </w:r>
      <w:r>
        <w:t>: © State of New South Wales, Department of Education</w:t>
      </w:r>
    </w:p>
    <w:p w14:paraId="71CD9573" w14:textId="77777777" w:rsidR="004C731C" w:rsidRDefault="004C731C" w:rsidP="004C731C">
      <w:r w:rsidRPr="00C2134A">
        <w:rPr>
          <w:b/>
          <w:bCs/>
        </w:rPr>
        <w:t>Evidence Base</w:t>
      </w:r>
      <w:r>
        <w:t>:</w:t>
      </w:r>
    </w:p>
    <w:p w14:paraId="2B959B47" w14:textId="77777777" w:rsidR="004A541C" w:rsidRDefault="004A541C" w:rsidP="004A541C">
      <w:r>
        <w:t>The range of assessment strategies outlined in the advice encourages a variety of assessment methods each lesson to check for students’ understanding and inform what should be taught next” (CESE 2020b:22). The assessment strategies outlined are student-centred, providing “students with opportunities to reflect on their progress to inform future learning goals” (CESE 2020b:22).</w:t>
      </w:r>
    </w:p>
    <w:p w14:paraId="2572AE96" w14:textId="797C13D7" w:rsidR="004A541C" w:rsidRDefault="004A541C" w:rsidP="004A541C">
      <w:r>
        <w:t>The assessment advice complies with NESA’s assessment advice, outlined on NESA’s ACE website, NESA official notices and department memorandums</w:t>
      </w:r>
      <w:r w:rsidR="599F3FB4">
        <w:t>. They</w:t>
      </w:r>
      <w:r>
        <w:t>:</w:t>
      </w:r>
    </w:p>
    <w:p w14:paraId="3BA08862" w14:textId="77777777" w:rsidR="004A541C" w:rsidRDefault="004A541C" w:rsidP="004A541C">
      <w:pPr>
        <w:pStyle w:val="ListBullet"/>
        <w:numPr>
          <w:ilvl w:val="0"/>
          <w:numId w:val="2"/>
        </w:numPr>
      </w:pPr>
      <w:r>
        <w:t>include statements of school procedures for allocating grades in Year 10</w:t>
      </w:r>
    </w:p>
    <w:p w14:paraId="189CF3EA" w14:textId="260C1B4A" w:rsidR="004A541C" w:rsidRDefault="004A541C" w:rsidP="004A541C">
      <w:pPr>
        <w:pStyle w:val="ListBullet"/>
        <w:numPr>
          <w:ilvl w:val="0"/>
          <w:numId w:val="2"/>
        </w:numPr>
      </w:pPr>
      <w:r>
        <w:t xml:space="preserve">set out requirements to retain student work samples to support grade allocation as required by NESA for the </w:t>
      </w:r>
      <w:proofErr w:type="spellStart"/>
      <w:r>
        <w:t>RoSA</w:t>
      </w:r>
      <w:proofErr w:type="spellEnd"/>
      <w:r>
        <w:t xml:space="preserve"> (</w:t>
      </w:r>
      <w:r w:rsidRPr="008E5407">
        <w:t>NSW Department of Education 2021</w:t>
      </w:r>
      <w:r>
        <w:t>).</w:t>
      </w:r>
    </w:p>
    <w:p w14:paraId="23A3D743" w14:textId="2E20AEB9" w:rsidR="004C731C" w:rsidRPr="004C731C" w:rsidRDefault="004A541C" w:rsidP="004A541C">
      <w:r>
        <w:t xml:space="preserve">The assessment strategies outlined provide teachers </w:t>
      </w:r>
      <w:r w:rsidR="00485C6E">
        <w:t xml:space="preserve">with </w:t>
      </w:r>
      <w:r>
        <w:t xml:space="preserve">important information about whether students learned what they intended. </w:t>
      </w:r>
      <w:proofErr w:type="spellStart"/>
      <w:r>
        <w:t>Wiliam</w:t>
      </w:r>
      <w:proofErr w:type="spellEnd"/>
      <w:r>
        <w:t xml:space="preserve"> (2013:15) claims “the term formative should apply not to the assessment but to the function that the evidence generated by the assessment actually serve.”</w:t>
      </w:r>
      <w:r w:rsidR="004C731C">
        <w:br w:type="page"/>
      </w:r>
    </w:p>
    <w:p w14:paraId="5F85F4FD" w14:textId="575BC962" w:rsidR="00A1057C" w:rsidRDefault="00A1057C" w:rsidP="00A1057C">
      <w:pPr>
        <w:pStyle w:val="Heading2"/>
      </w:pPr>
      <w:r>
        <w:lastRenderedPageBreak/>
        <w:t>References</w:t>
      </w:r>
      <w:bookmarkEnd w:id="0"/>
      <w:bookmarkEnd w:id="1"/>
    </w:p>
    <w:p w14:paraId="053908DA" w14:textId="77777777" w:rsidR="00A1057C" w:rsidRPr="00A1057C" w:rsidRDefault="00A1057C" w:rsidP="00A1057C">
      <w:pPr>
        <w:pStyle w:val="FeatureBox2"/>
        <w:rPr>
          <w:rStyle w:val="Strong"/>
        </w:rPr>
      </w:pPr>
      <w:r w:rsidRPr="00A1057C">
        <w:rPr>
          <w:rStyle w:val="Strong"/>
        </w:rPr>
        <w:t>Links to third-party material and websites</w:t>
      </w:r>
    </w:p>
    <w:p w14:paraId="78154804" w14:textId="77777777"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14:paraId="1D868BED" w14:textId="6378C3D4" w:rsidR="00A1057C" w:rsidRDefault="00A1057C" w:rsidP="00A1057C">
      <w:pPr>
        <w:pStyle w:val="FeatureBox2"/>
      </w:pPr>
      <w:r>
        <w:t>If you use the links provided in this document to access a third</w:t>
      </w:r>
      <w:r w:rsidR="000E783F">
        <w:t>-</w:t>
      </w:r>
      <w:r>
        <w:t>party's website, you acknowledge that the terms of use, including licence terms set out on the third</w:t>
      </w:r>
      <w:r w:rsidR="000E783F">
        <w:t>-</w:t>
      </w:r>
      <w:r>
        <w:t xml:space="preserve">party's website apply to the use which may be made of the materials on that third-party website or </w:t>
      </w:r>
      <w:proofErr w:type="gramStart"/>
      <w:r>
        <w:t>where</w:t>
      </w:r>
      <w:proofErr w:type="gramEnd"/>
      <w:r>
        <w:t xml:space="preserve"> permitted by the </w:t>
      </w:r>
      <w:r w:rsidRPr="00F40721">
        <w:rPr>
          <w:i/>
        </w:rPr>
        <w:t>Copyright Act 1968</w:t>
      </w:r>
      <w:r>
        <w:t xml:space="preserve"> (</w:t>
      </w:r>
      <w:proofErr w:type="spellStart"/>
      <w:r>
        <w:t>Cth</w:t>
      </w:r>
      <w:proofErr w:type="spellEnd"/>
      <w:r>
        <w:t>). The department accepts no responsibility for content on third-party websites.</w:t>
      </w:r>
    </w:p>
    <w:p w14:paraId="0D39ACEE" w14:textId="77777777" w:rsidR="00B719AD" w:rsidRDefault="00B719AD" w:rsidP="00B719AD">
      <w:r>
        <w:t xml:space="preserve">All material </w:t>
      </w:r>
      <w:hyperlink r:id="rId44" w:history="1">
        <w:r w:rsidRPr="00417F01">
          <w:rPr>
            <w:rStyle w:val="Hyperlink"/>
          </w:rPr>
          <w:t>© State of New South Wales (Department of Education), 2021</w:t>
        </w:r>
      </w:hyperlink>
      <w:r>
        <w:t xml:space="preserve"> unless otherwise indicated. All other material used by permission or under licence.</w:t>
      </w:r>
    </w:p>
    <w:p w14:paraId="78ABCD0C" w14:textId="0E4B2AAD" w:rsidR="00B719AD" w:rsidRDefault="00B719AD" w:rsidP="00B719AD">
      <w:r w:rsidRPr="006B34BA">
        <w:t>AITSL (Australian Institute for Teaching and School Leadership (2017) ‘</w:t>
      </w:r>
      <w:hyperlink r:id="rId45" w:anchor=":~:text=FEEDBACK-,Factsheet,-A%20quick%20guide" w:history="1">
        <w:r w:rsidRPr="00AD7703">
          <w:rPr>
            <w:rStyle w:val="Hyperlink"/>
          </w:rPr>
          <w:t>Feedback Factsheet</w:t>
        </w:r>
      </w:hyperlink>
      <w:r w:rsidRPr="006B34BA">
        <w:t xml:space="preserve">’, AITSL, </w:t>
      </w:r>
      <w:r>
        <w:t>accessed 1</w:t>
      </w:r>
      <w:r w:rsidR="000E783F">
        <w:t>6</w:t>
      </w:r>
      <w:r>
        <w:t xml:space="preserve"> November 2022.</w:t>
      </w:r>
    </w:p>
    <w:p w14:paraId="3FED4713" w14:textId="24BDE3AD" w:rsidR="00740FCD" w:rsidRPr="00F90EB9" w:rsidRDefault="009E720C" w:rsidP="00740FCD">
      <w:pPr>
        <w:rPr>
          <w:b/>
          <w:bCs/>
        </w:rPr>
      </w:pPr>
      <w:r w:rsidRPr="00EC038F">
        <w:t>NESA (NSW Education Standards Authority) (202</w:t>
      </w:r>
      <w:r>
        <w:t>2</w:t>
      </w:r>
      <w:r w:rsidRPr="00EC038F">
        <w:t xml:space="preserve">) </w:t>
      </w:r>
      <w:r>
        <w:t>‘</w:t>
      </w:r>
      <w:hyperlink r:id="rId46"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accessed 1</w:t>
      </w:r>
      <w:r>
        <w:t>6</w:t>
      </w:r>
      <w:r w:rsidRPr="00EC038F">
        <w:t xml:space="preserve"> November 2022.</w:t>
      </w:r>
    </w:p>
    <w:p w14:paraId="71E6341A" w14:textId="21D453AF" w:rsidR="00B719AD" w:rsidRPr="006E3DA0" w:rsidRDefault="00B719AD" w:rsidP="00B719AD">
      <w:bookmarkStart w:id="6" w:name="_Hlk118282940"/>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47" w:history="1">
        <w:r w:rsidRPr="006E3DA0">
          <w:rPr>
            <w:rStyle w:val="Hyperlink"/>
          </w:rPr>
          <w:t>What works best: 2020 update</w:t>
        </w:r>
      </w:hyperlink>
      <w:r>
        <w:t>’,</w:t>
      </w:r>
      <w:r w:rsidRPr="006E3DA0">
        <w:t xml:space="preserve"> </w:t>
      </w:r>
      <w:r>
        <w:t xml:space="preserve">CESE, </w:t>
      </w:r>
      <w:r w:rsidRPr="006E3DA0">
        <w:t>NSW Department of Education</w:t>
      </w:r>
      <w:r>
        <w:t>, accessed 1</w:t>
      </w:r>
      <w:r w:rsidR="000E783F">
        <w:t>6</w:t>
      </w:r>
      <w:r>
        <w:t xml:space="preserve"> November 2022.</w:t>
      </w:r>
    </w:p>
    <w:p w14:paraId="005B01E7" w14:textId="77777777" w:rsidR="00740FCD" w:rsidRDefault="00B719AD" w:rsidP="00B719AD">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48" w:history="1">
        <w:r w:rsidRPr="006E3DA0">
          <w:rPr>
            <w:rStyle w:val="Hyperlink"/>
          </w:rPr>
          <w:t>What works best in practice</w:t>
        </w:r>
      </w:hyperlink>
      <w:r>
        <w:t>’,</w:t>
      </w:r>
      <w:r w:rsidRPr="006E3DA0">
        <w:t xml:space="preserve"> </w:t>
      </w:r>
      <w:r>
        <w:t xml:space="preserve">CESE, </w:t>
      </w:r>
      <w:r w:rsidRPr="006E3DA0">
        <w:t>NSW Department of Education</w:t>
      </w:r>
      <w:r>
        <w:t>, accessed 1</w:t>
      </w:r>
      <w:r w:rsidR="000E783F">
        <w:t>6</w:t>
      </w:r>
      <w:r>
        <w:t xml:space="preserve"> November 2022.</w:t>
      </w:r>
    </w:p>
    <w:p w14:paraId="4060720D" w14:textId="4A9E0104" w:rsidR="00740FCD" w:rsidRDefault="009E720C" w:rsidP="00740FCD">
      <w:bookmarkStart w:id="7" w:name="_Toc104382531"/>
      <w:bookmarkStart w:id="8" w:name="_Toc113619559"/>
      <w:bookmarkEnd w:id="6"/>
      <w:r>
        <w:t>State of New South Wales</w:t>
      </w:r>
      <w:r w:rsidRPr="006E3DA0">
        <w:t xml:space="preserve"> </w:t>
      </w:r>
      <w:r>
        <w:t>(</w:t>
      </w:r>
      <w:r w:rsidRPr="006E3DA0">
        <w:t>Department of Education</w:t>
      </w:r>
      <w:r>
        <w:t>)</w:t>
      </w:r>
      <w:r w:rsidRPr="006E3DA0">
        <w:t xml:space="preserve"> (20</w:t>
      </w:r>
      <w:r>
        <w:t>21</w:t>
      </w:r>
      <w:r w:rsidRPr="006E3DA0">
        <w:t xml:space="preserve">) </w:t>
      </w:r>
      <w:r>
        <w:t>‘</w:t>
      </w:r>
      <w:hyperlink r:id="rId49" w:history="1">
        <w:r>
          <w:rPr>
            <w:rStyle w:val="Hyperlink"/>
          </w:rPr>
          <w:t>COVID-19 Interim Policy Standards – 2022: Implementation document for Curriculum planning and programming, assessing and reporting to parents K-12 policy</w:t>
        </w:r>
      </w:hyperlink>
      <w:r>
        <w:t>’,</w:t>
      </w:r>
      <w:r w:rsidRPr="006E3DA0">
        <w:t xml:space="preserve"> </w:t>
      </w:r>
      <w:r>
        <w:t>NSW Department of Education, accessed 15 November 2022.</w:t>
      </w:r>
    </w:p>
    <w:p w14:paraId="6842FBD9" w14:textId="3E649D9C" w:rsidR="00D41B29" w:rsidRPr="003B19DF" w:rsidRDefault="00B719AD" w:rsidP="00B719AD">
      <w:pPr>
        <w:rPr>
          <w:rFonts w:ascii="Calibri" w:eastAsia="Calibri" w:hAnsi="Calibri" w:cs="Calibri"/>
          <w:bCs/>
        </w:rPr>
      </w:pPr>
      <w:r>
        <w:rPr>
          <w:noProof/>
        </w:rPr>
        <w:t>Wiliam D (2013) ‘</w:t>
      </w:r>
      <w:hyperlink r:id="rId50" w:history="1">
        <w:r w:rsidRPr="00257FEF">
          <w:rPr>
            <w:rStyle w:val="Hyperlink"/>
            <w:noProof/>
          </w:rPr>
          <w:t xml:space="preserve">Assessment: The </w:t>
        </w:r>
        <w:r>
          <w:rPr>
            <w:rStyle w:val="Hyperlink"/>
            <w:noProof/>
          </w:rPr>
          <w:t>B</w:t>
        </w:r>
        <w:r w:rsidRPr="00257FEF">
          <w:rPr>
            <w:rStyle w:val="Hyperlink"/>
            <w:noProof/>
          </w:rPr>
          <w:t xml:space="preserve">ridge between </w:t>
        </w:r>
        <w:r>
          <w:rPr>
            <w:rStyle w:val="Hyperlink"/>
            <w:noProof/>
          </w:rPr>
          <w:t>T</w:t>
        </w:r>
        <w:r w:rsidRPr="00257FEF">
          <w:rPr>
            <w:rStyle w:val="Hyperlink"/>
            <w:noProof/>
          </w:rPr>
          <w:t xml:space="preserve">eaching and </w:t>
        </w:r>
        <w:r>
          <w:rPr>
            <w:rStyle w:val="Hyperlink"/>
            <w:noProof/>
          </w:rPr>
          <w:t>L</w:t>
        </w:r>
        <w:r w:rsidRPr="00257FEF">
          <w:rPr>
            <w:rStyle w:val="Hyperlink"/>
            <w:noProof/>
          </w:rPr>
          <w:t>earning</w:t>
        </w:r>
      </w:hyperlink>
      <w:r>
        <w:rPr>
          <w:noProof/>
        </w:rPr>
        <w:t xml:space="preserve">’, </w:t>
      </w:r>
      <w:r w:rsidRPr="00257FEF">
        <w:rPr>
          <w:i/>
          <w:iCs/>
          <w:noProof/>
        </w:rPr>
        <w:t>Voices from the Middle</w:t>
      </w:r>
      <w:r>
        <w:rPr>
          <w:noProof/>
        </w:rPr>
        <w:t xml:space="preserve">, 21(2):15–20, </w:t>
      </w:r>
      <w:bookmarkEnd w:id="7"/>
      <w:bookmarkEnd w:id="8"/>
      <w:r>
        <w:t>accessed 1</w:t>
      </w:r>
      <w:r w:rsidR="00387B9D">
        <w:t>5</w:t>
      </w:r>
      <w:r>
        <w:t xml:space="preserve"> November 2022</w:t>
      </w:r>
      <w:r w:rsidR="00827E7C">
        <w:t>.</w:t>
      </w:r>
    </w:p>
    <w:sectPr w:rsidR="00D41B29" w:rsidRPr="003B19DF" w:rsidSect="000F285F">
      <w:footerReference w:type="even" r:id="rId51"/>
      <w:footerReference w:type="default" r:id="rId52"/>
      <w:headerReference w:type="first" r:id="rId53"/>
      <w:footerReference w:type="first" r:id="rId54"/>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505C" w14:textId="77777777" w:rsidR="00F9287E" w:rsidRDefault="00F9287E" w:rsidP="00E51733">
      <w:r>
        <w:separator/>
      </w:r>
    </w:p>
  </w:endnote>
  <w:endnote w:type="continuationSeparator" w:id="0">
    <w:p w14:paraId="6E219639" w14:textId="77777777" w:rsidR="00F9287E" w:rsidRDefault="00F9287E" w:rsidP="00E51733">
      <w:r>
        <w:continuationSeparator/>
      </w:r>
    </w:p>
  </w:endnote>
  <w:endnote w:type="continuationNotice" w:id="1">
    <w:p w14:paraId="4FE403B0" w14:textId="77777777" w:rsidR="00344012" w:rsidRDefault="003440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AB7D" w14:textId="4BC2625E"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501CA">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0E19" w14:textId="517D43CD"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1639F6" w:rsidRPr="001639F6">
      <w:t xml:space="preserve">Outdoor education – </w:t>
    </w:r>
    <w:r w:rsidR="00B1009B">
      <w:t>A</w:t>
    </w:r>
    <w:r w:rsidR="001639F6" w:rsidRPr="001639F6">
      <w:t>ssessment advice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854D" w14:textId="1198421A" w:rsidR="00DA3FDE" w:rsidRPr="009B05C3" w:rsidRDefault="00677835" w:rsidP="00387B9D">
    <w:pPr>
      <w:pStyle w:val="Logo"/>
    </w:pPr>
    <w:r w:rsidRPr="009B05C3">
      <w:t>education.nsw.gov.au</w:t>
    </w:r>
    <w:r>
      <w:rPr>
        <w:noProof/>
        <w:lang w:eastAsia="en-AU"/>
      </w:rPr>
      <w:ptab w:relativeTo="margin" w:alignment="right" w:leader="none"/>
    </w:r>
    <w:r w:rsidRPr="00387B9D">
      <w:rPr>
        <w:noProof/>
      </w:rPr>
      <w:drawing>
        <wp:inline distT="0" distB="0" distL="0" distR="0" wp14:anchorId="5799F979" wp14:editId="49048879">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B122" w14:textId="77777777" w:rsidR="00F9287E" w:rsidRDefault="00F9287E" w:rsidP="00E51733">
      <w:r>
        <w:separator/>
      </w:r>
    </w:p>
  </w:footnote>
  <w:footnote w:type="continuationSeparator" w:id="0">
    <w:p w14:paraId="5B28E912" w14:textId="77777777" w:rsidR="00F9287E" w:rsidRDefault="00F9287E" w:rsidP="00E51733">
      <w:r>
        <w:continuationSeparator/>
      </w:r>
    </w:p>
  </w:footnote>
  <w:footnote w:type="continuationNotice" w:id="1">
    <w:p w14:paraId="5C1D6E60" w14:textId="77777777" w:rsidR="00344012" w:rsidRDefault="0034401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DABA"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A440AB3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1"/>
  </w:num>
  <w:num w:numId="2" w16cid:durableId="1136610306">
    <w:abstractNumId w:val="0"/>
  </w:num>
  <w:num w:numId="3" w16cid:durableId="626854738">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3"/>
  </w:num>
  <w:num w:numId="5" w16cid:durableId="1937201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0"/>
  </w:num>
  <w:num w:numId="13" w16cid:durableId="1100835658">
    <w:abstractNumId w:val="3"/>
  </w:num>
  <w:num w:numId="14" w16cid:durableId="142549166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CD"/>
    <w:rsid w:val="00002419"/>
    <w:rsid w:val="000075E2"/>
    <w:rsid w:val="00013FF2"/>
    <w:rsid w:val="000246EA"/>
    <w:rsid w:val="000252CB"/>
    <w:rsid w:val="0003508B"/>
    <w:rsid w:val="00045F0D"/>
    <w:rsid w:val="0004750C"/>
    <w:rsid w:val="00061D5B"/>
    <w:rsid w:val="00074F0F"/>
    <w:rsid w:val="000801CC"/>
    <w:rsid w:val="000C24ED"/>
    <w:rsid w:val="000D3BBE"/>
    <w:rsid w:val="000D3F39"/>
    <w:rsid w:val="000D7466"/>
    <w:rsid w:val="000E55FE"/>
    <w:rsid w:val="000E783F"/>
    <w:rsid w:val="000F285F"/>
    <w:rsid w:val="00100EB2"/>
    <w:rsid w:val="001038BF"/>
    <w:rsid w:val="0010442A"/>
    <w:rsid w:val="00107026"/>
    <w:rsid w:val="00112528"/>
    <w:rsid w:val="001639F6"/>
    <w:rsid w:val="00190C6F"/>
    <w:rsid w:val="001A2D64"/>
    <w:rsid w:val="001A3009"/>
    <w:rsid w:val="001A3E1F"/>
    <w:rsid w:val="001B71D6"/>
    <w:rsid w:val="001C4388"/>
    <w:rsid w:val="001C7E97"/>
    <w:rsid w:val="001D5230"/>
    <w:rsid w:val="001E390D"/>
    <w:rsid w:val="001F32CD"/>
    <w:rsid w:val="001F46D3"/>
    <w:rsid w:val="001F62D3"/>
    <w:rsid w:val="00203CC7"/>
    <w:rsid w:val="002105AD"/>
    <w:rsid w:val="002159DF"/>
    <w:rsid w:val="00246E32"/>
    <w:rsid w:val="00247EBA"/>
    <w:rsid w:val="00250FAC"/>
    <w:rsid w:val="0025178D"/>
    <w:rsid w:val="00260DBE"/>
    <w:rsid w:val="00261781"/>
    <w:rsid w:val="0026548C"/>
    <w:rsid w:val="00266207"/>
    <w:rsid w:val="0027370C"/>
    <w:rsid w:val="00290C80"/>
    <w:rsid w:val="00293923"/>
    <w:rsid w:val="002A28B4"/>
    <w:rsid w:val="002A2B8C"/>
    <w:rsid w:val="002A35CF"/>
    <w:rsid w:val="002A475D"/>
    <w:rsid w:val="002B467C"/>
    <w:rsid w:val="002D4D48"/>
    <w:rsid w:val="002E48E4"/>
    <w:rsid w:val="002F7CFE"/>
    <w:rsid w:val="00300080"/>
    <w:rsid w:val="0030572D"/>
    <w:rsid w:val="00306C23"/>
    <w:rsid w:val="00310B7E"/>
    <w:rsid w:val="00323352"/>
    <w:rsid w:val="00330114"/>
    <w:rsid w:val="003351B6"/>
    <w:rsid w:val="00340DD9"/>
    <w:rsid w:val="00344012"/>
    <w:rsid w:val="003560E4"/>
    <w:rsid w:val="00360E17"/>
    <w:rsid w:val="0036209C"/>
    <w:rsid w:val="00383021"/>
    <w:rsid w:val="00385DFB"/>
    <w:rsid w:val="00387B9D"/>
    <w:rsid w:val="003930E4"/>
    <w:rsid w:val="003A5190"/>
    <w:rsid w:val="003B19DF"/>
    <w:rsid w:val="003B240E"/>
    <w:rsid w:val="003D13EF"/>
    <w:rsid w:val="003E1E2D"/>
    <w:rsid w:val="003E3B3A"/>
    <w:rsid w:val="003E47E4"/>
    <w:rsid w:val="004006EB"/>
    <w:rsid w:val="00401084"/>
    <w:rsid w:val="00407A17"/>
    <w:rsid w:val="00407EF0"/>
    <w:rsid w:val="00412F2B"/>
    <w:rsid w:val="004178B3"/>
    <w:rsid w:val="00417F01"/>
    <w:rsid w:val="00430F12"/>
    <w:rsid w:val="004662AB"/>
    <w:rsid w:val="00480185"/>
    <w:rsid w:val="00485C6E"/>
    <w:rsid w:val="0048642E"/>
    <w:rsid w:val="004A541C"/>
    <w:rsid w:val="004B484F"/>
    <w:rsid w:val="004B539A"/>
    <w:rsid w:val="004C0FF4"/>
    <w:rsid w:val="004C731C"/>
    <w:rsid w:val="004E036B"/>
    <w:rsid w:val="004E7B2B"/>
    <w:rsid w:val="004F48DD"/>
    <w:rsid w:val="004F6AF2"/>
    <w:rsid w:val="00502433"/>
    <w:rsid w:val="00506DFA"/>
    <w:rsid w:val="00511863"/>
    <w:rsid w:val="0052654A"/>
    <w:rsid w:val="00526795"/>
    <w:rsid w:val="00541FBB"/>
    <w:rsid w:val="0056228C"/>
    <w:rsid w:val="005649D2"/>
    <w:rsid w:val="0058102D"/>
    <w:rsid w:val="00583731"/>
    <w:rsid w:val="005934B4"/>
    <w:rsid w:val="005A67CA"/>
    <w:rsid w:val="005A6AAA"/>
    <w:rsid w:val="005B0A47"/>
    <w:rsid w:val="005B184F"/>
    <w:rsid w:val="005B77E0"/>
    <w:rsid w:val="005C14A7"/>
    <w:rsid w:val="005D49FE"/>
    <w:rsid w:val="005E12F3"/>
    <w:rsid w:val="005E1F63"/>
    <w:rsid w:val="005E3ECC"/>
    <w:rsid w:val="00610292"/>
    <w:rsid w:val="00626BBF"/>
    <w:rsid w:val="0064273E"/>
    <w:rsid w:val="00643879"/>
    <w:rsid w:val="00643CC4"/>
    <w:rsid w:val="006460B8"/>
    <w:rsid w:val="00651B50"/>
    <w:rsid w:val="00662E0E"/>
    <w:rsid w:val="00670F4E"/>
    <w:rsid w:val="00677835"/>
    <w:rsid w:val="00680388"/>
    <w:rsid w:val="0068187E"/>
    <w:rsid w:val="00696410"/>
    <w:rsid w:val="006A3884"/>
    <w:rsid w:val="006B5FC6"/>
    <w:rsid w:val="006C52D9"/>
    <w:rsid w:val="006D00B0"/>
    <w:rsid w:val="006D1CF3"/>
    <w:rsid w:val="006E54D3"/>
    <w:rsid w:val="006F3E04"/>
    <w:rsid w:val="007029C6"/>
    <w:rsid w:val="007114CE"/>
    <w:rsid w:val="00717237"/>
    <w:rsid w:val="00740FCD"/>
    <w:rsid w:val="00763861"/>
    <w:rsid w:val="00766D19"/>
    <w:rsid w:val="00774EA2"/>
    <w:rsid w:val="00794810"/>
    <w:rsid w:val="007A65FC"/>
    <w:rsid w:val="007B020C"/>
    <w:rsid w:val="007B25AE"/>
    <w:rsid w:val="007B523A"/>
    <w:rsid w:val="007C61E6"/>
    <w:rsid w:val="007F066A"/>
    <w:rsid w:val="007F6BE6"/>
    <w:rsid w:val="0080248A"/>
    <w:rsid w:val="00804F58"/>
    <w:rsid w:val="008073B1"/>
    <w:rsid w:val="008108DD"/>
    <w:rsid w:val="00827E7C"/>
    <w:rsid w:val="008559F3"/>
    <w:rsid w:val="00856CA3"/>
    <w:rsid w:val="00864182"/>
    <w:rsid w:val="00865BC1"/>
    <w:rsid w:val="0087496A"/>
    <w:rsid w:val="00874F04"/>
    <w:rsid w:val="00890EEE"/>
    <w:rsid w:val="008A4CF6"/>
    <w:rsid w:val="008A5FD8"/>
    <w:rsid w:val="008C6BD5"/>
    <w:rsid w:val="008D774B"/>
    <w:rsid w:val="008E1EDD"/>
    <w:rsid w:val="008E3DE9"/>
    <w:rsid w:val="008F0C05"/>
    <w:rsid w:val="00905449"/>
    <w:rsid w:val="009107ED"/>
    <w:rsid w:val="009108D5"/>
    <w:rsid w:val="009138BF"/>
    <w:rsid w:val="00931D1C"/>
    <w:rsid w:val="0093679E"/>
    <w:rsid w:val="00941C04"/>
    <w:rsid w:val="009501CA"/>
    <w:rsid w:val="009739C8"/>
    <w:rsid w:val="00982157"/>
    <w:rsid w:val="009831C3"/>
    <w:rsid w:val="00993CC3"/>
    <w:rsid w:val="009A687A"/>
    <w:rsid w:val="009B1280"/>
    <w:rsid w:val="009C2DB5"/>
    <w:rsid w:val="009C5B0E"/>
    <w:rsid w:val="009D1FAD"/>
    <w:rsid w:val="009D5430"/>
    <w:rsid w:val="009E720C"/>
    <w:rsid w:val="009F5A91"/>
    <w:rsid w:val="009F703C"/>
    <w:rsid w:val="00A016EE"/>
    <w:rsid w:val="00A1057C"/>
    <w:rsid w:val="00A119B4"/>
    <w:rsid w:val="00A12C29"/>
    <w:rsid w:val="00A16172"/>
    <w:rsid w:val="00A170A2"/>
    <w:rsid w:val="00A27FCB"/>
    <w:rsid w:val="00A375DA"/>
    <w:rsid w:val="00A423D3"/>
    <w:rsid w:val="00A42791"/>
    <w:rsid w:val="00A46A90"/>
    <w:rsid w:val="00A52147"/>
    <w:rsid w:val="00A534B8"/>
    <w:rsid w:val="00A54063"/>
    <w:rsid w:val="00A5409F"/>
    <w:rsid w:val="00A57460"/>
    <w:rsid w:val="00A63054"/>
    <w:rsid w:val="00A71A61"/>
    <w:rsid w:val="00A936D9"/>
    <w:rsid w:val="00AB099B"/>
    <w:rsid w:val="00AB1340"/>
    <w:rsid w:val="00AB2F2E"/>
    <w:rsid w:val="00AC13C5"/>
    <w:rsid w:val="00AD3C8E"/>
    <w:rsid w:val="00B1009B"/>
    <w:rsid w:val="00B176A3"/>
    <w:rsid w:val="00B179BA"/>
    <w:rsid w:val="00B2036D"/>
    <w:rsid w:val="00B23F99"/>
    <w:rsid w:val="00B26C50"/>
    <w:rsid w:val="00B37D1D"/>
    <w:rsid w:val="00B46033"/>
    <w:rsid w:val="00B61501"/>
    <w:rsid w:val="00B6356C"/>
    <w:rsid w:val="00B65452"/>
    <w:rsid w:val="00B719AD"/>
    <w:rsid w:val="00B72931"/>
    <w:rsid w:val="00B80AAD"/>
    <w:rsid w:val="00BA7230"/>
    <w:rsid w:val="00BA7AAB"/>
    <w:rsid w:val="00BC71FD"/>
    <w:rsid w:val="00BC7849"/>
    <w:rsid w:val="00BF35D4"/>
    <w:rsid w:val="00BF732E"/>
    <w:rsid w:val="00C1097D"/>
    <w:rsid w:val="00C10A5C"/>
    <w:rsid w:val="00C17204"/>
    <w:rsid w:val="00C26AC8"/>
    <w:rsid w:val="00C436AB"/>
    <w:rsid w:val="00C4397D"/>
    <w:rsid w:val="00C55A7A"/>
    <w:rsid w:val="00C62B29"/>
    <w:rsid w:val="00C664FC"/>
    <w:rsid w:val="00C671F4"/>
    <w:rsid w:val="00C7209F"/>
    <w:rsid w:val="00CA0226"/>
    <w:rsid w:val="00CB2145"/>
    <w:rsid w:val="00CB66B0"/>
    <w:rsid w:val="00CB7840"/>
    <w:rsid w:val="00CD6723"/>
    <w:rsid w:val="00CF0B00"/>
    <w:rsid w:val="00CF73E9"/>
    <w:rsid w:val="00D06247"/>
    <w:rsid w:val="00D136E3"/>
    <w:rsid w:val="00D15A52"/>
    <w:rsid w:val="00D21087"/>
    <w:rsid w:val="00D31E35"/>
    <w:rsid w:val="00D32C41"/>
    <w:rsid w:val="00D41B29"/>
    <w:rsid w:val="00D56F8D"/>
    <w:rsid w:val="00D61CE0"/>
    <w:rsid w:val="00D66945"/>
    <w:rsid w:val="00D678DB"/>
    <w:rsid w:val="00D77E26"/>
    <w:rsid w:val="00D963BE"/>
    <w:rsid w:val="00D967F3"/>
    <w:rsid w:val="00DA1B0D"/>
    <w:rsid w:val="00DB1BD9"/>
    <w:rsid w:val="00DC1D53"/>
    <w:rsid w:val="00DC74E1"/>
    <w:rsid w:val="00DD0E68"/>
    <w:rsid w:val="00DD17CC"/>
    <w:rsid w:val="00DD2F4E"/>
    <w:rsid w:val="00DE07A5"/>
    <w:rsid w:val="00DE2CE3"/>
    <w:rsid w:val="00E04470"/>
    <w:rsid w:val="00E04DAF"/>
    <w:rsid w:val="00E112C7"/>
    <w:rsid w:val="00E140AB"/>
    <w:rsid w:val="00E26B70"/>
    <w:rsid w:val="00E33064"/>
    <w:rsid w:val="00E37E07"/>
    <w:rsid w:val="00E4272D"/>
    <w:rsid w:val="00E5058E"/>
    <w:rsid w:val="00E51733"/>
    <w:rsid w:val="00E5428B"/>
    <w:rsid w:val="00E56264"/>
    <w:rsid w:val="00E604B6"/>
    <w:rsid w:val="00E61F4F"/>
    <w:rsid w:val="00E66CA0"/>
    <w:rsid w:val="00E836F5"/>
    <w:rsid w:val="00E94927"/>
    <w:rsid w:val="00EA69C9"/>
    <w:rsid w:val="00EC045A"/>
    <w:rsid w:val="00EE5947"/>
    <w:rsid w:val="00F07AF0"/>
    <w:rsid w:val="00F142B0"/>
    <w:rsid w:val="00F14D7F"/>
    <w:rsid w:val="00F20AC8"/>
    <w:rsid w:val="00F3454B"/>
    <w:rsid w:val="00F412DD"/>
    <w:rsid w:val="00F522E3"/>
    <w:rsid w:val="00F66145"/>
    <w:rsid w:val="00F67719"/>
    <w:rsid w:val="00F81980"/>
    <w:rsid w:val="00F83A0D"/>
    <w:rsid w:val="00F9287E"/>
    <w:rsid w:val="00F97F56"/>
    <w:rsid w:val="00FA3555"/>
    <w:rsid w:val="00FA606B"/>
    <w:rsid w:val="00FD0A93"/>
    <w:rsid w:val="00FD596D"/>
    <w:rsid w:val="00FE5E0D"/>
    <w:rsid w:val="38A3E3DA"/>
    <w:rsid w:val="599F3FB4"/>
    <w:rsid w:val="5A504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66E7F"/>
  <w15:chartTrackingRefBased/>
  <w15:docId w15:val="{D8041CD4-F2AE-49D7-BC82-2C0EE509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D3F3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D3F3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D3F3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D3F3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D3F3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D3F3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D3F39"/>
    <w:pPr>
      <w:keepNext/>
      <w:spacing w:after="200" w:line="240" w:lineRule="auto"/>
    </w:pPr>
    <w:rPr>
      <w:b/>
      <w:iCs/>
      <w:szCs w:val="18"/>
    </w:rPr>
  </w:style>
  <w:style w:type="table" w:customStyle="1" w:styleId="Tableheader">
    <w:name w:val="ŠTable header"/>
    <w:basedOn w:val="TableNormal"/>
    <w:uiPriority w:val="99"/>
    <w:rsid w:val="000D3F3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D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D3F39"/>
    <w:pPr>
      <w:numPr>
        <w:numId w:val="14"/>
      </w:numPr>
    </w:pPr>
  </w:style>
  <w:style w:type="paragraph" w:styleId="ListNumber2">
    <w:name w:val="List Number 2"/>
    <w:aliases w:val="ŠList Number 2"/>
    <w:basedOn w:val="Normal"/>
    <w:uiPriority w:val="9"/>
    <w:qFormat/>
    <w:rsid w:val="000D3F39"/>
    <w:pPr>
      <w:numPr>
        <w:numId w:val="13"/>
      </w:numPr>
    </w:pPr>
  </w:style>
  <w:style w:type="paragraph" w:styleId="ListBullet">
    <w:name w:val="List Bullet"/>
    <w:aliases w:val="ŠList Bullet"/>
    <w:basedOn w:val="Normal"/>
    <w:uiPriority w:val="10"/>
    <w:qFormat/>
    <w:rsid w:val="000D3F39"/>
    <w:pPr>
      <w:numPr>
        <w:numId w:val="12"/>
      </w:numPr>
    </w:pPr>
  </w:style>
  <w:style w:type="paragraph" w:styleId="ListBullet2">
    <w:name w:val="List Bullet 2"/>
    <w:aliases w:val="ŠList Bullet 2"/>
    <w:basedOn w:val="Normal"/>
    <w:uiPriority w:val="11"/>
    <w:qFormat/>
    <w:rsid w:val="000D3F39"/>
    <w:pPr>
      <w:numPr>
        <w:numId w:val="11"/>
      </w:numPr>
      <w:contextualSpacing/>
    </w:pPr>
  </w:style>
  <w:style w:type="character" w:styleId="SubtleReference">
    <w:name w:val="Subtle Reference"/>
    <w:aliases w:val="ŠSubtle Reference"/>
    <w:uiPriority w:val="31"/>
    <w:qFormat/>
    <w:rsid w:val="000D3F39"/>
    <w:rPr>
      <w:rFonts w:ascii="Arial" w:hAnsi="Arial"/>
      <w:sz w:val="22"/>
    </w:rPr>
  </w:style>
  <w:style w:type="paragraph" w:styleId="Quote">
    <w:name w:val="Quote"/>
    <w:aliases w:val="ŠQuote"/>
    <w:basedOn w:val="Normal"/>
    <w:next w:val="Normal"/>
    <w:link w:val="QuoteChar"/>
    <w:uiPriority w:val="29"/>
    <w:qFormat/>
    <w:rsid w:val="000D3F39"/>
    <w:pPr>
      <w:keepNext/>
      <w:spacing w:before="200" w:after="200" w:line="240" w:lineRule="atLeast"/>
      <w:ind w:left="567" w:right="567"/>
    </w:pPr>
  </w:style>
  <w:style w:type="paragraph" w:styleId="Date">
    <w:name w:val="Date"/>
    <w:aliases w:val="ŠDate"/>
    <w:basedOn w:val="Normal"/>
    <w:next w:val="Normal"/>
    <w:link w:val="DateChar"/>
    <w:uiPriority w:val="99"/>
    <w:rsid w:val="000D3F39"/>
    <w:pPr>
      <w:spacing w:before="0" w:after="0" w:line="720" w:lineRule="atLeast"/>
    </w:pPr>
  </w:style>
  <w:style w:type="character" w:customStyle="1" w:styleId="DateChar">
    <w:name w:val="Date Char"/>
    <w:aliases w:val="ŠDate Char"/>
    <w:basedOn w:val="DefaultParagraphFont"/>
    <w:link w:val="Date"/>
    <w:uiPriority w:val="99"/>
    <w:rsid w:val="000D3F39"/>
    <w:rPr>
      <w:rFonts w:ascii="Arial" w:hAnsi="Arial" w:cs="Arial"/>
      <w:sz w:val="24"/>
      <w:szCs w:val="24"/>
    </w:rPr>
  </w:style>
  <w:style w:type="paragraph" w:styleId="Signature">
    <w:name w:val="Signature"/>
    <w:aliases w:val="ŠSignature"/>
    <w:basedOn w:val="Normal"/>
    <w:link w:val="SignatureChar"/>
    <w:uiPriority w:val="99"/>
    <w:rsid w:val="000D3F39"/>
    <w:pPr>
      <w:spacing w:before="0" w:after="0" w:line="720" w:lineRule="atLeast"/>
    </w:pPr>
  </w:style>
  <w:style w:type="character" w:customStyle="1" w:styleId="SignatureChar">
    <w:name w:val="Signature Char"/>
    <w:aliases w:val="ŠSignature Char"/>
    <w:basedOn w:val="DefaultParagraphFont"/>
    <w:link w:val="Signature"/>
    <w:uiPriority w:val="99"/>
    <w:rsid w:val="000D3F39"/>
    <w:rPr>
      <w:rFonts w:ascii="Arial" w:hAnsi="Arial" w:cs="Arial"/>
      <w:sz w:val="24"/>
      <w:szCs w:val="24"/>
    </w:rPr>
  </w:style>
  <w:style w:type="character" w:styleId="Strong">
    <w:name w:val="Strong"/>
    <w:aliases w:val="ŠStrong,ŠStrong bold,ŠStrong emphasis"/>
    <w:uiPriority w:val="1"/>
    <w:qFormat/>
    <w:rsid w:val="000D3F39"/>
    <w:rPr>
      <w:b/>
    </w:rPr>
  </w:style>
  <w:style w:type="character" w:customStyle="1" w:styleId="QuoteChar">
    <w:name w:val="Quote Char"/>
    <w:aliases w:val="ŠQuote Char"/>
    <w:basedOn w:val="DefaultParagraphFont"/>
    <w:link w:val="Quote"/>
    <w:uiPriority w:val="29"/>
    <w:rsid w:val="000D3F39"/>
    <w:rPr>
      <w:rFonts w:ascii="Arial" w:hAnsi="Arial" w:cs="Arial"/>
      <w:sz w:val="24"/>
      <w:szCs w:val="24"/>
    </w:rPr>
  </w:style>
  <w:style w:type="paragraph" w:customStyle="1" w:styleId="FeatureBox2">
    <w:name w:val="ŠFeature Box 2"/>
    <w:basedOn w:val="Normal"/>
    <w:next w:val="Normal"/>
    <w:uiPriority w:val="12"/>
    <w:qFormat/>
    <w:rsid w:val="000D3F3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D3F3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D3F3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D3F3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D3F3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D3F39"/>
    <w:rPr>
      <w:color w:val="2F5496" w:themeColor="accent1" w:themeShade="BF"/>
      <w:u w:val="single"/>
    </w:rPr>
  </w:style>
  <w:style w:type="paragraph" w:customStyle="1" w:styleId="Logo">
    <w:name w:val="ŠLogo"/>
    <w:basedOn w:val="Normal"/>
    <w:uiPriority w:val="22"/>
    <w:qFormat/>
    <w:rsid w:val="000D3F3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1639F6"/>
    <w:pPr>
      <w:tabs>
        <w:tab w:val="right" w:leader="dot" w:pos="14570"/>
      </w:tabs>
      <w:spacing w:before="0" w:after="0"/>
    </w:pPr>
    <w:rPr>
      <w:b/>
      <w:noProof/>
    </w:rPr>
  </w:style>
  <w:style w:type="paragraph" w:styleId="TOC2">
    <w:name w:val="toc 2"/>
    <w:aliases w:val="ŠTOC 2"/>
    <w:basedOn w:val="Normal"/>
    <w:next w:val="Normal"/>
    <w:uiPriority w:val="39"/>
    <w:unhideWhenUsed/>
    <w:rsid w:val="001639F6"/>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0D3F39"/>
    <w:pPr>
      <w:spacing w:before="0" w:after="0"/>
      <w:ind w:left="482"/>
    </w:pPr>
  </w:style>
  <w:style w:type="paragraph" w:styleId="Title">
    <w:name w:val="Title"/>
    <w:aliases w:val="ŠTitle"/>
    <w:basedOn w:val="Normal"/>
    <w:next w:val="Normal"/>
    <w:link w:val="TitleChar"/>
    <w:uiPriority w:val="2"/>
    <w:qFormat/>
    <w:rsid w:val="000D3F3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D3F3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0D3F3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0D3F3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0D3F39"/>
    <w:pPr>
      <w:outlineLvl w:val="9"/>
    </w:pPr>
    <w:rPr>
      <w:sz w:val="40"/>
      <w:szCs w:val="40"/>
    </w:rPr>
  </w:style>
  <w:style w:type="paragraph" w:styleId="Footer">
    <w:name w:val="footer"/>
    <w:aliases w:val="ŠFooter"/>
    <w:basedOn w:val="Normal"/>
    <w:link w:val="FooterChar"/>
    <w:uiPriority w:val="99"/>
    <w:rsid w:val="000D3F3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0D3F39"/>
    <w:rPr>
      <w:rFonts w:ascii="Arial" w:hAnsi="Arial" w:cs="Arial"/>
      <w:sz w:val="18"/>
      <w:szCs w:val="18"/>
    </w:rPr>
  </w:style>
  <w:style w:type="paragraph" w:styleId="Header">
    <w:name w:val="header"/>
    <w:aliases w:val="ŠHeader"/>
    <w:basedOn w:val="Normal"/>
    <w:link w:val="HeaderChar"/>
    <w:uiPriority w:val="24"/>
    <w:unhideWhenUsed/>
    <w:rsid w:val="000D3F3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0D3F3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0D3F39"/>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0D3F39"/>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0D3F39"/>
    <w:rPr>
      <w:rFonts w:ascii="Arial" w:hAnsi="Arial" w:cs="Arial"/>
      <w:color w:val="002664"/>
      <w:sz w:val="32"/>
      <w:szCs w:val="32"/>
    </w:rPr>
  </w:style>
  <w:style w:type="character" w:styleId="UnresolvedMention">
    <w:name w:val="Unresolved Mention"/>
    <w:basedOn w:val="DefaultParagraphFont"/>
    <w:uiPriority w:val="99"/>
    <w:semiHidden/>
    <w:unhideWhenUsed/>
    <w:rsid w:val="000D3F39"/>
    <w:rPr>
      <w:color w:val="605E5C"/>
      <w:shd w:val="clear" w:color="auto" w:fill="E1DFDD"/>
    </w:rPr>
  </w:style>
  <w:style w:type="character" w:styleId="Emphasis">
    <w:name w:val="Emphasis"/>
    <w:aliases w:val="ŠLanguage or scientific"/>
    <w:uiPriority w:val="20"/>
    <w:qFormat/>
    <w:rsid w:val="000D3F39"/>
    <w:rPr>
      <w:i/>
      <w:iCs/>
    </w:rPr>
  </w:style>
  <w:style w:type="character" w:styleId="SubtleEmphasis">
    <w:name w:val="Subtle Emphasis"/>
    <w:basedOn w:val="DefaultParagraphFont"/>
    <w:uiPriority w:val="19"/>
    <w:semiHidden/>
    <w:qFormat/>
    <w:rsid w:val="000D3F39"/>
    <w:rPr>
      <w:i/>
      <w:iCs/>
      <w:color w:val="404040" w:themeColor="text1" w:themeTint="BF"/>
    </w:rPr>
  </w:style>
  <w:style w:type="paragraph" w:styleId="TOC4">
    <w:name w:val="toc 4"/>
    <w:aliases w:val="ŠTOC 4"/>
    <w:basedOn w:val="Normal"/>
    <w:next w:val="Normal"/>
    <w:autoRedefine/>
    <w:uiPriority w:val="39"/>
    <w:unhideWhenUsed/>
    <w:rsid w:val="000D3F39"/>
    <w:pPr>
      <w:spacing w:before="0" w:after="0"/>
      <w:ind w:left="720"/>
    </w:pPr>
  </w:style>
  <w:style w:type="character" w:styleId="CommentReference">
    <w:name w:val="annotation reference"/>
    <w:basedOn w:val="DefaultParagraphFont"/>
    <w:uiPriority w:val="99"/>
    <w:semiHidden/>
    <w:unhideWhenUsed/>
    <w:rsid w:val="000D3F39"/>
    <w:rPr>
      <w:sz w:val="16"/>
      <w:szCs w:val="16"/>
    </w:rPr>
  </w:style>
  <w:style w:type="paragraph" w:styleId="CommentText">
    <w:name w:val="annotation text"/>
    <w:basedOn w:val="Normal"/>
    <w:link w:val="CommentTextChar"/>
    <w:uiPriority w:val="99"/>
    <w:unhideWhenUsed/>
    <w:rsid w:val="000D3F39"/>
    <w:pPr>
      <w:spacing w:line="240" w:lineRule="auto"/>
    </w:pPr>
    <w:rPr>
      <w:sz w:val="20"/>
      <w:szCs w:val="20"/>
    </w:rPr>
  </w:style>
  <w:style w:type="character" w:customStyle="1" w:styleId="CommentTextChar">
    <w:name w:val="Comment Text Char"/>
    <w:basedOn w:val="DefaultParagraphFont"/>
    <w:link w:val="CommentText"/>
    <w:uiPriority w:val="99"/>
    <w:rsid w:val="000D3F3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D3F39"/>
    <w:rPr>
      <w:b/>
      <w:bCs/>
    </w:rPr>
  </w:style>
  <w:style w:type="character" w:customStyle="1" w:styleId="CommentSubjectChar">
    <w:name w:val="Comment Subject Char"/>
    <w:basedOn w:val="CommentTextChar"/>
    <w:link w:val="CommentSubject"/>
    <w:uiPriority w:val="99"/>
    <w:semiHidden/>
    <w:rsid w:val="000D3F39"/>
    <w:rPr>
      <w:rFonts w:ascii="Arial" w:hAnsi="Arial" w:cs="Arial"/>
      <w:b/>
      <w:bCs/>
      <w:sz w:val="20"/>
      <w:szCs w:val="20"/>
    </w:rPr>
  </w:style>
  <w:style w:type="paragraph" w:styleId="ListParagraph">
    <w:name w:val="List Paragraph"/>
    <w:basedOn w:val="Normal"/>
    <w:uiPriority w:val="34"/>
    <w:unhideWhenUsed/>
    <w:qFormat/>
    <w:rsid w:val="000D3F39"/>
    <w:pPr>
      <w:ind w:left="720"/>
      <w:contextualSpacing/>
    </w:pPr>
  </w:style>
  <w:style w:type="character" w:styleId="FollowedHyperlink">
    <w:name w:val="FollowedHyperlink"/>
    <w:basedOn w:val="DefaultParagraphFont"/>
    <w:uiPriority w:val="99"/>
    <w:semiHidden/>
    <w:unhideWhenUsed/>
    <w:rsid w:val="00B719AD"/>
    <w:rPr>
      <w:color w:val="954F72" w:themeColor="followedHyperlink"/>
      <w:u w:val="single"/>
    </w:rPr>
  </w:style>
  <w:style w:type="paragraph" w:styleId="Revision">
    <w:name w:val="Revision"/>
    <w:hidden/>
    <w:uiPriority w:val="99"/>
    <w:semiHidden/>
    <w:rsid w:val="00344012"/>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43" TargetMode="External"/><Relationship Id="rId18" Type="http://schemas.openxmlformats.org/officeDocument/2006/relationships/hyperlink" Target="https://www.aitsl.edu.au/teach/improve-practice/feedback" TargetMode="External"/><Relationship Id="rId26" Type="http://schemas.openxmlformats.org/officeDocument/2006/relationships/hyperlink" Target="https://education.nsw.gov.au/teaching-and-learning/professional-learning/teacher-quality-and-accreditation/strong-start-great-teachers/refining-practice/differentiating-learning" TargetMode="External"/><Relationship Id="rId39" Type="http://schemas.openxmlformats.org/officeDocument/2006/relationships/hyperlink" Target="https://schoolsnsw.sharepoint.com/sites/HPGEHub/SitePages/Home.aspx" TargetMode="External"/><Relationship Id="rId21" Type="http://schemas.openxmlformats.org/officeDocument/2006/relationships/hyperlink" Target="https://app.education.nsw.gov.au/digital-learning-selector/LearningActivity/Card/645" TargetMode="External"/><Relationship Id="rId34" Type="http://schemas.openxmlformats.org/officeDocument/2006/relationships/hyperlink" Target="https://education.nsw.gov.au/teaching-and-learning/learning-from-home/teaching-at-home/teaching-and-learning-resources/universal-design-for-learning" TargetMode="External"/><Relationship Id="rId42" Type="http://schemas.openxmlformats.org/officeDocument/2006/relationships/hyperlink" Target="https://education.nsw.gov.au/teaching-and-learning/curriculum/statewide-staffrooms" TargetMode="External"/><Relationship Id="rId47" Type="http://schemas.openxmlformats.org/officeDocument/2006/relationships/hyperlink" Target="https://education.nsw.gov.au/about-us/educational-data/cese/publications/research-reports/what-works-best-2020-update" TargetMode="External"/><Relationship Id="rId50" Type="http://schemas.openxmlformats.org/officeDocument/2006/relationships/hyperlink" Target="https://www.researchgate.net/publication/258423377_Assessment_The_bridge_between_teaching_and_learning"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pp.education.nsw.gov.au/digital-learning-selector/LearningTool/Card/621" TargetMode="External"/><Relationship Id="rId29" Type="http://schemas.openxmlformats.org/officeDocument/2006/relationships/hyperlink" Target="https://education.nsw.gov.au/teaching-and-learning/curriculum/literacy-and-numeracy/resources-for-schools/eald/enhanced-teaching-and-learning-cycle" TargetMode="External"/><Relationship Id="rId11" Type="http://schemas.openxmlformats.org/officeDocument/2006/relationships/hyperlink" Target="https://forms.office.com/Pages/ResponsePage.aspx?id=muagBYpBwUecJZOHJhv5kbKo2q_ZUXlHndJMnh2Wd8NUOUk0VTIzUDVVSlVFQVM5MkdOMkJGTjVKNCQlQCN0PWcu" TargetMode="External"/><Relationship Id="rId24" Type="http://schemas.openxmlformats.org/officeDocument/2006/relationships/hyperlink" Target="https://app.education.nsw.gov.au/digital-learning-selector/LearningActivity/Card/564" TargetMode="External"/><Relationship Id="rId32" Type="http://schemas.openxmlformats.org/officeDocument/2006/relationships/hyperlink" Target="https://education.nsw.gov.au/teaching-and-learning/curriculum/literacy-and-numeracy/resources-for-schools/eald" TargetMode="External"/><Relationship Id="rId37" Type="http://schemas.openxmlformats.org/officeDocument/2006/relationships/hyperlink" Target="https://education.nsw.gov.au/teaching-and-learning/high-potential-and-gifted-education/supporting-educators/evaluate" TargetMode="External"/><Relationship Id="rId40" Type="http://schemas.openxmlformats.org/officeDocument/2006/relationships/hyperlink" Target="mailto:secondaryteachingandlearning@det.nsw.edu.au" TargetMode="External"/><Relationship Id="rId45" Type="http://schemas.openxmlformats.org/officeDocument/2006/relationships/hyperlink" Target="https://www.aitsl.edu.au/teach/improve-practice/feedback" TargetMode="External"/><Relationship Id="rId53"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app.education.nsw.gov.au/digital-learning-selector/LearningActivity/Card/549" TargetMode="External"/><Relationship Id="rId31" Type="http://schemas.openxmlformats.org/officeDocument/2006/relationships/hyperlink" Target="https://education.nsw.gov.au/teaching-and-learning/curriculum/multicultural-education/english-as-an-additional-language-or-dialect/planning-eald-support/english-language-proficiency" TargetMode="External"/><Relationship Id="rId44" Type="http://schemas.openxmlformats.org/officeDocument/2006/relationships/hyperlink" Target="https://education.nsw.gov.au/about-us/copyright"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education.nsw.gov.au/digital-learning-selector/LearningActivity/Card/575" TargetMode="External"/><Relationship Id="rId22" Type="http://schemas.openxmlformats.org/officeDocument/2006/relationships/hyperlink" Target="https://app.education.nsw.gov.au/digital-learning-selector/LearningActivity/Card/562" TargetMode="External"/><Relationship Id="rId27" Type="http://schemas.openxmlformats.org/officeDocument/2006/relationships/hyperlink" Target="https://education.nsw.gov.au/campaigns/inclusive-practice-hub/primary-school/teaching-strategies/differentiation" TargetMode="External"/><Relationship Id="rId30" Type="http://schemas.openxmlformats.org/officeDocument/2006/relationships/hyperlink" Target="https://education.nsw.gov.au/teaching-and-learning/curriculum/multicultural-education/english-as-an-additional-language-or-dialect/planning-eald-support/english-language-proficiency" TargetMode="External"/><Relationship Id="rId35" Type="http://schemas.openxmlformats.org/officeDocument/2006/relationships/hyperlink" Target="https://education.nsw.gov.au/campaigns/inclusive-practice-hub/primary-school/teaching-strategies/differentiation" TargetMode="External"/><Relationship Id="rId43" Type="http://schemas.openxmlformats.org/officeDocument/2006/relationships/hyperlink" Target="https://education.nsw.gov.au/teaching-and-learning/learning-from-home/teaching-at-home/teaching-and-learning-resources/universal-design-for-learning" TargetMode="External"/><Relationship Id="rId48" Type="http://schemas.openxmlformats.org/officeDocument/2006/relationships/hyperlink" Target="https://education.nsw.gov.au/about-us/educational-data/cese/publications/practical-guides-for-educators-/what-works-best-in-practice"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app.education.nsw.gov.au/digital-learning-selector/LearningActivity/Card/622" TargetMode="External"/><Relationship Id="rId17" Type="http://schemas.openxmlformats.org/officeDocument/2006/relationships/hyperlink" Target="https://app.education.nsw.gov.au/digital-learning-selector/LearningTool/Card/587" TargetMode="External"/><Relationship Id="rId25" Type="http://schemas.openxmlformats.org/officeDocument/2006/relationships/hyperlink" Target="https://education.nsw.gov.au/about-us/educational-data/cese/publications/research-reports/what-works-best-2020-update" TargetMode="External"/><Relationship Id="rId33" Type="http://schemas.openxmlformats.org/officeDocument/2006/relationships/hyperlink" Target="https://education.nsw.gov.au/teaching-and-learning/disability-learning-and-support/personalised-support-for-learning/adjustments-to-teaching-and-learning" TargetMode="External"/><Relationship Id="rId38" Type="http://schemas.openxmlformats.org/officeDocument/2006/relationships/hyperlink" Target="https://education.nsw.gov.au/teaching-and-learning/high-potential-and-gifted-education/supporting-educators/implement/differentiation-adjustment-strategies" TargetMode="External"/><Relationship Id="rId46" Type="http://schemas.openxmlformats.org/officeDocument/2006/relationships/hyperlink" Target="https://educationstandards.nsw.edu.au/wps/portal/nesa/teacher-accreditation/meeting-requirements/the-standards/proficient-teacher" TargetMode="External"/><Relationship Id="rId20" Type="http://schemas.openxmlformats.org/officeDocument/2006/relationships/hyperlink" Target="https://app.education.nsw.gov.au/digital-learning-selector/LearningActivity/Browser?cache_id=1d29b" TargetMode="External"/><Relationship Id="rId41" Type="http://schemas.openxmlformats.org/officeDocument/2006/relationships/hyperlink" Target="https://educationstandards.nsw.edu.au/wps/portal/nesa/teacher-accreditation/meeting-requirements/the-standards/proficient-teacher"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pp.education.nsw.gov.au/digital-learning-selector/LearningActivity/Card/557" TargetMode="External"/><Relationship Id="rId23" Type="http://schemas.openxmlformats.org/officeDocument/2006/relationships/hyperlink" Target="https://app.education.nsw.gov.au/digital-learning-selector/LearningActivity/Card/583" TargetMode="External"/><Relationship Id="rId28" Type="http://schemas.openxmlformats.org/officeDocument/2006/relationships/hyperlink" Target="https://education.nsw.gov.au/teaching-and-learning/aec/aboriginal-education-in-nsw-public-schools" TargetMode="External"/><Relationship Id="rId36" Type="http://schemas.openxmlformats.org/officeDocument/2006/relationships/hyperlink" Target="https://education.nsw.gov.au/teaching-and-learning/high-potential-and-gifted-education/supporting-educators/assess-and-identify" TargetMode="External"/><Relationship Id="rId49" Type="http://schemas.openxmlformats.org/officeDocument/2006/relationships/hyperlink" Target="https://education.nsw.gov.au/policy-library/policies/pd-2005-029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50EC5-EA74-4C6F-8A44-DD50962FF26D}">
  <ds:schemaRefs>
    <ds:schemaRef ds:uri="http://schemas.microsoft.com/sharepoint/v3/contenttype/forms"/>
  </ds:schemaRefs>
</ds:datastoreItem>
</file>

<file path=customXml/itemProps2.xml><?xml version="1.0" encoding="utf-8"?>
<ds:datastoreItem xmlns:ds="http://schemas.openxmlformats.org/officeDocument/2006/customXml" ds:itemID="{0CAA1C19-EFA6-459A-B89A-B9CB81F942F9}">
  <ds:schemaRefs>
    <ds:schemaRef ds:uri="http://www.w3.org/XML/1998/namespace"/>
    <ds:schemaRef ds:uri="71c5a270-2cab-4081-bd60-6681928412a9"/>
    <ds:schemaRef ds:uri="http://schemas.microsoft.com/office/2006/documentManagement/types"/>
    <ds:schemaRef ds:uri="http://purl.org/dc/terms/"/>
    <ds:schemaRef ds:uri="http://purl.org/dc/elements/1.1/"/>
    <ds:schemaRef ds:uri="http://schemas.microsoft.com/office/2006/metadata/properties"/>
    <ds:schemaRef ds:uri="654a006b-cedf-4f35-a676-59854467968c"/>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B12FF6B-6D03-464D-8ABA-AA2DBEA87D7E}"/>
</file>

<file path=docProps/app.xml><?xml version="1.0" encoding="utf-8"?>
<Properties xmlns="http://schemas.openxmlformats.org/officeDocument/2006/extended-properties" xmlns:vt="http://schemas.openxmlformats.org/officeDocument/2006/docPropsVTypes">
  <Template>Normal.dotm</Template>
  <TotalTime>1</TotalTime>
  <Pages>12</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DAE-outdoor-education-assessment-advice</vt:lpstr>
    </vt:vector>
  </TitlesOfParts>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DAE-outdoor-education-assessment-advice</dc:title>
  <dc:subject/>
  <dc:creator>NSW Department of Education</dc:creator>
  <cp:keywords/>
  <dc:description/>
  <cp:lastModifiedBy>Taryn Ablott</cp:lastModifiedBy>
  <cp:revision>5</cp:revision>
  <dcterms:created xsi:type="dcterms:W3CDTF">2022-11-16T05:12:00Z</dcterms:created>
  <dcterms:modified xsi:type="dcterms:W3CDTF">2022-11-16T06:15:00Z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ies>
</file>