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E1AB" w14:textId="04802335" w:rsidR="00CD6723" w:rsidRDefault="003823A4" w:rsidP="001C4388">
      <w:pPr>
        <w:pStyle w:val="Heading1"/>
      </w:pPr>
      <w:r>
        <w:t>iSTEM</w:t>
      </w:r>
      <w:r w:rsidR="00A1057C" w:rsidRPr="00A1057C">
        <w:t xml:space="preserve"> </w:t>
      </w:r>
      <w:r w:rsidR="0056228C">
        <w:t xml:space="preserve">– </w:t>
      </w:r>
      <w:r w:rsidR="000832D7">
        <w:t>A</w:t>
      </w:r>
      <w:r w:rsidR="00B23F99">
        <w:t>ssessment advice</w:t>
      </w:r>
    </w:p>
    <w:p w14:paraId="60740282" w14:textId="77777777" w:rsidR="0025178D" w:rsidRPr="0025178D" w:rsidRDefault="0025178D" w:rsidP="0025178D">
      <w:pPr>
        <w:jc w:val="center"/>
      </w:pPr>
      <w:r>
        <w:rPr>
          <w:noProof/>
        </w:rPr>
        <w:drawing>
          <wp:inline distT="0" distB="0" distL="0" distR="0" wp14:anchorId="08440004" wp14:editId="33C13E05">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5D912791" w14:textId="77777777" w:rsidR="005A6AAA" w:rsidRPr="00B23F99" w:rsidRDefault="0025178D" w:rsidP="00B23F99">
      <w:r>
        <w:br w:type="page"/>
      </w:r>
    </w:p>
    <w:p w14:paraId="24A7C68F" w14:textId="18BD2BFF" w:rsidR="0052654A" w:rsidRPr="000832D7" w:rsidRDefault="0052654A" w:rsidP="000832D7">
      <w:pPr>
        <w:pStyle w:val="Heading2"/>
      </w:pPr>
      <w:bookmarkStart w:id="0" w:name="_Toc104382530"/>
      <w:bookmarkStart w:id="1" w:name="_Toc113619558"/>
      <w:bookmarkStart w:id="2" w:name="_Toc119501294"/>
      <w:r w:rsidRPr="000832D7">
        <w:lastRenderedPageBreak/>
        <w:t>Assessment</w:t>
      </w:r>
      <w:bookmarkEnd w:id="2"/>
    </w:p>
    <w:p w14:paraId="00483A4B" w14:textId="77777777" w:rsidR="00EB4E48" w:rsidRDefault="00EB4E48" w:rsidP="00EB4E48">
      <w:r>
        <w:t>iSTEM is a department approved elective course and is not eligible for credentialing on the Record of School Achievement (RoSA).</w:t>
      </w:r>
    </w:p>
    <w:p w14:paraId="1BE53FCC" w14:textId="6DF11022" w:rsidR="00EB4E48" w:rsidRPr="00EB4E48" w:rsidRDefault="00EB4E48" w:rsidP="00EB4E48">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53793078" w14:textId="77777777" w:rsidR="0052654A" w:rsidRPr="000832D7" w:rsidRDefault="0052654A" w:rsidP="000832D7">
      <w:pPr>
        <w:pStyle w:val="Heading2"/>
      </w:pPr>
      <w:bookmarkStart w:id="3" w:name="_Toc119501295"/>
      <w:r w:rsidRPr="000832D7">
        <w:t>General performance descriptors</w:t>
      </w:r>
      <w:bookmarkEnd w:id="3"/>
    </w:p>
    <w:p w14:paraId="096E7DDC" w14:textId="77777777" w:rsidR="0028138A" w:rsidRDefault="0028138A" w:rsidP="0028138A">
      <w:r w:rsidRPr="0035400D">
        <w:t>Schools may choose to use general performance descriptors to describe performance at each of 5 grade levels.</w:t>
      </w:r>
    </w:p>
    <w:p w14:paraId="6EDF0782" w14:textId="3DA430BF" w:rsidR="0028138A" w:rsidRDefault="0028138A" w:rsidP="0028138A">
      <w:pPr>
        <w:pStyle w:val="Caption"/>
      </w:pPr>
      <w:r>
        <w:t xml:space="preserve">Table </w:t>
      </w:r>
      <w:fldSimple w:instr=" SEQ Table \* ARABIC ">
        <w:r>
          <w:rPr>
            <w:noProof/>
          </w:rPr>
          <w:t>1</w:t>
        </w:r>
      </w:fldSimple>
      <w:r>
        <w:t xml:space="preserve"> </w:t>
      </w:r>
      <w:r w:rsidR="003E39DC">
        <w:t>–</w:t>
      </w:r>
      <w:r>
        <w:t xml:space="preserve"> Performance descriptors for the A-E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1"/>
        <w:gridCol w:w="8357"/>
      </w:tblGrid>
      <w:tr w:rsidR="0028138A" w14:paraId="294A2E89" w14:textId="77777777" w:rsidTr="00083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D2FF4F8" w14:textId="77777777" w:rsidR="0028138A" w:rsidRDefault="0028138A" w:rsidP="008D162B">
            <w:r>
              <w:t>Grade</w:t>
            </w:r>
          </w:p>
        </w:tc>
        <w:tc>
          <w:tcPr>
            <w:tcW w:w="4340" w:type="pct"/>
          </w:tcPr>
          <w:p w14:paraId="33D5B9EB" w14:textId="77777777" w:rsidR="0028138A" w:rsidRDefault="0028138A"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28138A" w14:paraId="7FC9CA94" w14:textId="77777777" w:rsidTr="00083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DE80029" w14:textId="77777777" w:rsidR="0028138A" w:rsidRDefault="0028138A" w:rsidP="008D162B">
            <w:r>
              <w:t>A</w:t>
            </w:r>
          </w:p>
        </w:tc>
        <w:tc>
          <w:tcPr>
            <w:tcW w:w="4340" w:type="pct"/>
          </w:tcPr>
          <w:p w14:paraId="685AD5D2" w14:textId="77777777" w:rsidR="0028138A" w:rsidRDefault="0028138A"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28138A" w14:paraId="219372A9" w14:textId="77777777" w:rsidTr="000832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B6D822E" w14:textId="77777777" w:rsidR="0028138A" w:rsidRDefault="0028138A" w:rsidP="008D162B">
            <w:r>
              <w:t>B</w:t>
            </w:r>
          </w:p>
        </w:tc>
        <w:tc>
          <w:tcPr>
            <w:tcW w:w="4340" w:type="pct"/>
          </w:tcPr>
          <w:p w14:paraId="332806A3" w14:textId="77777777" w:rsidR="0028138A" w:rsidRDefault="0028138A"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28138A" w14:paraId="6A816E62" w14:textId="77777777" w:rsidTr="00083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0A26FE6" w14:textId="77777777" w:rsidR="0028138A" w:rsidRDefault="0028138A" w:rsidP="008D162B">
            <w:r>
              <w:t>C</w:t>
            </w:r>
          </w:p>
        </w:tc>
        <w:tc>
          <w:tcPr>
            <w:tcW w:w="4340" w:type="pct"/>
          </w:tcPr>
          <w:p w14:paraId="62AB8E5D" w14:textId="77777777" w:rsidR="0028138A" w:rsidRDefault="0028138A"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28138A" w14:paraId="5802D1AC" w14:textId="77777777" w:rsidTr="000832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2749553" w14:textId="77777777" w:rsidR="0028138A" w:rsidRDefault="0028138A" w:rsidP="008D162B">
            <w:r>
              <w:t>D</w:t>
            </w:r>
          </w:p>
        </w:tc>
        <w:tc>
          <w:tcPr>
            <w:tcW w:w="4340" w:type="pct"/>
          </w:tcPr>
          <w:p w14:paraId="4D913DF5" w14:textId="4A77B688" w:rsidR="0028138A" w:rsidRDefault="00475555" w:rsidP="008D162B">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28138A" w14:paraId="53B039E2" w14:textId="77777777" w:rsidTr="00083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F329304" w14:textId="77777777" w:rsidR="0028138A" w:rsidRDefault="0028138A" w:rsidP="008D162B">
            <w:r>
              <w:t>E</w:t>
            </w:r>
          </w:p>
        </w:tc>
        <w:tc>
          <w:tcPr>
            <w:tcW w:w="4340" w:type="pct"/>
          </w:tcPr>
          <w:p w14:paraId="523EF0FF" w14:textId="09D065D8" w:rsidR="0028138A" w:rsidRPr="00D6098C" w:rsidRDefault="00475555" w:rsidP="008D162B">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1420C28F" w14:textId="77777777" w:rsidR="003632E3" w:rsidRPr="000832D7" w:rsidRDefault="003632E3" w:rsidP="000832D7">
      <w:pPr>
        <w:pStyle w:val="Heading2"/>
      </w:pPr>
      <w:bookmarkStart w:id="4" w:name="_Toc119501296"/>
      <w:r w:rsidRPr="000832D7">
        <w:lastRenderedPageBreak/>
        <w:t>Planning for assessment</w:t>
      </w:r>
      <w:bookmarkEnd w:id="4"/>
    </w:p>
    <w:p w14:paraId="47D4B4AD" w14:textId="77777777" w:rsidR="003632E3" w:rsidRPr="003632E3" w:rsidRDefault="003632E3" w:rsidP="003632E3">
      <w:r w:rsidRPr="003632E3">
        <w:t>All outcomes for the course are addressed in every topic allowing for flexibility in planning for assessment. In developing the assessment schedule for this course, teachers may find it useful to map each planned assessment activity to outcomes that are best achieved by that task. Determining a project for each topic at the beginning of the planning process can help guide the development of effective and authentic assessment. It is important to ensure a balance of outcomes across the assessment schedule.</w:t>
      </w:r>
    </w:p>
    <w:p w14:paraId="46242AB0" w14:textId="77777777" w:rsidR="003632E3" w:rsidRPr="003632E3" w:rsidRDefault="003632E3" w:rsidP="003632E3">
      <w:r w:rsidRPr="003632E3">
        <w:t>iSTEM utilises problem, project, and inquiry-based learning pedagogies and these should be reflected in assessment planning. Determining what knowledge and skills you want to assess are essential to identify learning activities that meet the needs of students.</w:t>
      </w:r>
    </w:p>
    <w:p w14:paraId="7486739B" w14:textId="77777777" w:rsidR="003632E3" w:rsidRPr="003632E3" w:rsidRDefault="003632E3" w:rsidP="003632E3">
      <w:r w:rsidRPr="003632E3">
        <w:t>The course structure should guide the form and number of assessment activities. Combining topics and integrating content can provide greater opportunity for students to demonstrate deeper knowledge and understanding of the topics and reduce the number of assessment items required.</w:t>
      </w:r>
    </w:p>
    <w:p w14:paraId="650E010F" w14:textId="77777777" w:rsidR="003632E3" w:rsidRPr="000832D7" w:rsidRDefault="003632E3" w:rsidP="000832D7">
      <w:pPr>
        <w:pStyle w:val="Heading3"/>
      </w:pPr>
      <w:bookmarkStart w:id="5" w:name="_Toc119501297"/>
      <w:r w:rsidRPr="000832D7">
        <w:t>Designing assessment activities</w:t>
      </w:r>
      <w:bookmarkEnd w:id="5"/>
    </w:p>
    <w:p w14:paraId="654B911C" w14:textId="77777777" w:rsidR="003632E3" w:rsidRPr="003632E3" w:rsidRDefault="003632E3" w:rsidP="003632E3">
      <w:r w:rsidRPr="003632E3">
        <w:t>Quality assessment practice involves designing assessment activities that enable students to demonstrate their achievements and growth throughout the duration of the course, using a range of task types.</w:t>
      </w:r>
    </w:p>
    <w:p w14:paraId="1F0AD842" w14:textId="2E6FFED8" w:rsidR="003632E3" w:rsidRPr="003632E3" w:rsidRDefault="003632E3" w:rsidP="003632E3">
      <w:r w:rsidRPr="003632E3">
        <w:t xml:space="preserve">The aim of iSTEM is to engage and encourage student interest and skills in STEM, </w:t>
      </w:r>
      <w:r w:rsidR="00D8378B">
        <w:t xml:space="preserve">and </w:t>
      </w:r>
      <w:r w:rsidRPr="003632E3">
        <w:t>appreciate the scope, impact and pathways into STEM careers while learning how to work collaboratively, entrepreneurially, and innovatively to solve real-world problems. Teachers should consider this aim when developing assessment items for the course.</w:t>
      </w:r>
    </w:p>
    <w:p w14:paraId="58C683A2" w14:textId="2CC0A26A" w:rsidR="003632E3" w:rsidRPr="003632E3" w:rsidRDefault="003632E3" w:rsidP="003632E3">
      <w:r w:rsidRPr="003632E3">
        <w:t>Assessment should include criteria to clarify what aspects of learning are being assessed and enable students and teachers to use feedback effectively and reflect on the learning. In selecting and developing activities for the purpose of assessing and reporting, teachers should use a range of different approaches.</w:t>
      </w:r>
    </w:p>
    <w:p w14:paraId="52B4D55D" w14:textId="77777777" w:rsidR="003632E3" w:rsidRPr="003632E3" w:rsidRDefault="003632E3" w:rsidP="003632E3">
      <w:r w:rsidRPr="003632E3">
        <w:t>Quality assessment activities should:</w:t>
      </w:r>
    </w:p>
    <w:p w14:paraId="7E6A1FC2" w14:textId="2B605709" w:rsidR="003632E3" w:rsidRPr="003632E3" w:rsidRDefault="003632E3" w:rsidP="00EF0F99">
      <w:pPr>
        <w:pStyle w:val="ListBullet"/>
      </w:pPr>
      <w:r w:rsidRPr="003632E3">
        <w:t>provide opportunities to gather evidence about student achievement in relation to the course outcomes</w:t>
      </w:r>
    </w:p>
    <w:p w14:paraId="4851408D" w14:textId="1ADFCD70" w:rsidR="003632E3" w:rsidRPr="003632E3" w:rsidRDefault="003632E3" w:rsidP="00EF0F99">
      <w:pPr>
        <w:pStyle w:val="ListBullet"/>
      </w:pPr>
      <w:r w:rsidRPr="003632E3">
        <w:lastRenderedPageBreak/>
        <w:t xml:space="preserve">enable students to demonstrate their understanding of STEM </w:t>
      </w:r>
      <w:r w:rsidR="00CA5DDE" w:rsidRPr="003632E3">
        <w:t>princip</w:t>
      </w:r>
      <w:r w:rsidR="00CA5DDE">
        <w:t>les</w:t>
      </w:r>
      <w:r w:rsidR="00CA5DDE" w:rsidRPr="003632E3">
        <w:t xml:space="preserve"> </w:t>
      </w:r>
      <w:r w:rsidRPr="003632E3">
        <w:t>and processes and promote deeper understanding</w:t>
      </w:r>
    </w:p>
    <w:p w14:paraId="70262A6D" w14:textId="5A3A7080" w:rsidR="003632E3" w:rsidRPr="003632E3" w:rsidRDefault="003632E3" w:rsidP="00EF0F99">
      <w:pPr>
        <w:pStyle w:val="ListBullet"/>
      </w:pPr>
      <w:r w:rsidRPr="003632E3">
        <w:t>provide evidence of students’ attainment of practical skills, knowledge of technologies and their impact on society</w:t>
      </w:r>
    </w:p>
    <w:p w14:paraId="03368333" w14:textId="4C3F04E5" w:rsidR="003632E3" w:rsidRPr="003632E3" w:rsidRDefault="003632E3" w:rsidP="00EF0F99">
      <w:pPr>
        <w:pStyle w:val="ListBullet"/>
      </w:pPr>
      <w:r w:rsidRPr="003632E3">
        <w:t>enable students to demonstrate their ability to solve problems and produce design solutions</w:t>
      </w:r>
    </w:p>
    <w:p w14:paraId="5D53E8B5" w14:textId="3AA272AA" w:rsidR="003632E3" w:rsidRPr="003632E3" w:rsidRDefault="003632E3" w:rsidP="00EF0F99">
      <w:pPr>
        <w:pStyle w:val="ListBullet"/>
      </w:pPr>
      <w:r w:rsidRPr="003632E3">
        <w:t>include the use of collaboration, creative and critical thinking skills</w:t>
      </w:r>
    </w:p>
    <w:p w14:paraId="771355E6" w14:textId="0515C53E" w:rsidR="003632E3" w:rsidRPr="003632E3" w:rsidRDefault="003632E3" w:rsidP="00EF0F99">
      <w:pPr>
        <w:pStyle w:val="ListBullet"/>
      </w:pPr>
      <w:r w:rsidRPr="003632E3">
        <w:t>foster the development of project management and entrepreneurial skills</w:t>
      </w:r>
    </w:p>
    <w:p w14:paraId="3BD349D9" w14:textId="2A6371F7" w:rsidR="003632E3" w:rsidRPr="003632E3" w:rsidRDefault="003632E3" w:rsidP="00EF0F99">
      <w:pPr>
        <w:pStyle w:val="ListBullet"/>
      </w:pPr>
      <w:r w:rsidRPr="003632E3">
        <w:t>show connections between course activities, STEM careers and career pathways</w:t>
      </w:r>
    </w:p>
    <w:p w14:paraId="33C4D5E3" w14:textId="63EADC15" w:rsidR="003632E3" w:rsidRPr="003632E3" w:rsidRDefault="003632E3" w:rsidP="00EF0F99">
      <w:pPr>
        <w:pStyle w:val="ListBullet"/>
      </w:pPr>
      <w:r w:rsidRPr="003632E3">
        <w:t>be inclusive and accessible, catering for the individual needs of students.</w:t>
      </w:r>
    </w:p>
    <w:p w14:paraId="214E26F4" w14:textId="77777777" w:rsidR="003632E3" w:rsidRPr="003632E3" w:rsidRDefault="003632E3" w:rsidP="00EF0F99">
      <w:pPr>
        <w:pStyle w:val="Heading3"/>
      </w:pPr>
      <w:bookmarkStart w:id="6" w:name="_Toc119501298"/>
      <w:r w:rsidRPr="003632E3">
        <w:t>Assessment of learning</w:t>
      </w:r>
      <w:bookmarkEnd w:id="6"/>
    </w:p>
    <w:p w14:paraId="4E392F0A" w14:textId="77777777" w:rsidR="003632E3" w:rsidRPr="003632E3" w:rsidRDefault="003632E3" w:rsidP="003632E3">
      <w:r w:rsidRPr="003632E3">
        <w:t>iSTEM provides students with authentic learning contexts that simulate real-world practice. Students are expected to demonstrate evidence of their learning using processes that closely emulate real-world practice used in industry.</w:t>
      </w:r>
    </w:p>
    <w:p w14:paraId="02CE68A8" w14:textId="77777777" w:rsidR="003632E3" w:rsidRPr="003632E3" w:rsidRDefault="003632E3" w:rsidP="003632E3">
      <w:r w:rsidRPr="003632E3">
        <w:t>Students are expected to demonstrate the application of practical skills through the completion of problem-solving tasks and projects. Students need to document design processes in the completion of tasks and projects using written, verbal, or other communication strategies.</w:t>
      </w:r>
    </w:p>
    <w:p w14:paraId="43919639" w14:textId="77777777" w:rsidR="003632E3" w:rsidRPr="003632E3" w:rsidRDefault="003632E3" w:rsidP="003632E3">
      <w:r w:rsidRPr="003632E3">
        <w:t>Documentation of design thinking processes could utilise, but are not limited to:</w:t>
      </w:r>
    </w:p>
    <w:p w14:paraId="433CF475" w14:textId="782F1414" w:rsidR="003632E3" w:rsidRPr="000832D7" w:rsidRDefault="003632E3" w:rsidP="000832D7">
      <w:pPr>
        <w:pStyle w:val="ListBullet"/>
      </w:pPr>
      <w:r w:rsidRPr="000832D7">
        <w:t>design portfolios</w:t>
      </w:r>
    </w:p>
    <w:p w14:paraId="147AFEA1" w14:textId="57FC6183" w:rsidR="003632E3" w:rsidRPr="000832D7" w:rsidRDefault="003632E3" w:rsidP="000832D7">
      <w:pPr>
        <w:pStyle w:val="ListBullet"/>
      </w:pPr>
      <w:r w:rsidRPr="000832D7">
        <w:t>engineering reports</w:t>
      </w:r>
    </w:p>
    <w:p w14:paraId="4D871CF6" w14:textId="12F0A31B" w:rsidR="003632E3" w:rsidRPr="000832D7" w:rsidRDefault="003632E3" w:rsidP="000832D7">
      <w:pPr>
        <w:pStyle w:val="ListBullet"/>
      </w:pPr>
      <w:r w:rsidRPr="000832D7">
        <w:t>scientific reports</w:t>
      </w:r>
    </w:p>
    <w:p w14:paraId="536EE53A" w14:textId="12916BE4" w:rsidR="003632E3" w:rsidRPr="000832D7" w:rsidRDefault="003632E3" w:rsidP="000832D7">
      <w:pPr>
        <w:pStyle w:val="ListBullet"/>
      </w:pPr>
      <w:r w:rsidRPr="000832D7">
        <w:t>process diaries</w:t>
      </w:r>
    </w:p>
    <w:p w14:paraId="649B3D88" w14:textId="3505B05D" w:rsidR="003632E3" w:rsidRPr="000832D7" w:rsidRDefault="003632E3" w:rsidP="000832D7">
      <w:pPr>
        <w:pStyle w:val="ListBullet"/>
      </w:pPr>
      <w:r w:rsidRPr="000832D7">
        <w:t>design notebooks.</w:t>
      </w:r>
    </w:p>
    <w:p w14:paraId="3294891C" w14:textId="77777777" w:rsidR="003632E3" w:rsidRPr="003632E3" w:rsidRDefault="003632E3" w:rsidP="003632E3">
      <w:r w:rsidRPr="003632E3">
        <w:t>Students are encouraged to share their processes using:</w:t>
      </w:r>
    </w:p>
    <w:p w14:paraId="075CD6EF" w14:textId="12733CEC" w:rsidR="003632E3" w:rsidRPr="003632E3" w:rsidRDefault="003632E3" w:rsidP="00EF0F99">
      <w:pPr>
        <w:pStyle w:val="ListBullet"/>
      </w:pPr>
      <w:r w:rsidRPr="003632E3">
        <w:t>pitches</w:t>
      </w:r>
    </w:p>
    <w:p w14:paraId="0FAE478C" w14:textId="707E41CE" w:rsidR="003632E3" w:rsidRPr="003632E3" w:rsidRDefault="003632E3" w:rsidP="00EF0F99">
      <w:pPr>
        <w:pStyle w:val="ListBullet"/>
      </w:pPr>
      <w:r w:rsidRPr="003632E3">
        <w:t>oral presentations</w:t>
      </w:r>
    </w:p>
    <w:p w14:paraId="2BFB8C98" w14:textId="04842567" w:rsidR="003632E3" w:rsidRPr="003632E3" w:rsidRDefault="003632E3" w:rsidP="00EF0F99">
      <w:pPr>
        <w:pStyle w:val="ListBullet"/>
      </w:pPr>
      <w:r w:rsidRPr="003632E3">
        <w:t>podcasts</w:t>
      </w:r>
    </w:p>
    <w:p w14:paraId="6C4D68AD" w14:textId="1C15BDF3" w:rsidR="003632E3" w:rsidRPr="003632E3" w:rsidRDefault="003632E3" w:rsidP="00EF0F99">
      <w:pPr>
        <w:pStyle w:val="ListBullet"/>
      </w:pPr>
      <w:r w:rsidRPr="003632E3">
        <w:lastRenderedPageBreak/>
        <w:t>prepared digital recordings (video</w:t>
      </w:r>
      <w:r w:rsidR="003E39DC">
        <w:t xml:space="preserve"> or </w:t>
      </w:r>
      <w:r w:rsidRPr="003632E3">
        <w:t>audio).</w:t>
      </w:r>
    </w:p>
    <w:p w14:paraId="70B59D4C" w14:textId="77777777" w:rsidR="003632E3" w:rsidRPr="003632E3" w:rsidRDefault="003632E3" w:rsidP="003632E3">
      <w:r w:rsidRPr="003632E3">
        <w:t>Other presentation techniques could include:</w:t>
      </w:r>
    </w:p>
    <w:p w14:paraId="02604E8B" w14:textId="47FE0970" w:rsidR="003632E3" w:rsidRPr="003632E3" w:rsidRDefault="003632E3" w:rsidP="00EF0F99">
      <w:pPr>
        <w:pStyle w:val="ListBullet"/>
      </w:pPr>
      <w:r w:rsidRPr="003632E3">
        <w:t>posters</w:t>
      </w:r>
    </w:p>
    <w:p w14:paraId="43B1ED8F" w14:textId="23674A99" w:rsidR="003632E3" w:rsidRPr="003632E3" w:rsidRDefault="003632E3" w:rsidP="00EF0F99">
      <w:pPr>
        <w:pStyle w:val="ListBullet"/>
      </w:pPr>
      <w:r w:rsidRPr="003632E3">
        <w:t>displays</w:t>
      </w:r>
    </w:p>
    <w:p w14:paraId="1BF3503C" w14:textId="087E7BA3" w:rsidR="003632E3" w:rsidRPr="003632E3" w:rsidRDefault="003632E3" w:rsidP="00EF0F99">
      <w:pPr>
        <w:pStyle w:val="ListBullet"/>
      </w:pPr>
      <w:r w:rsidRPr="003632E3">
        <w:t>infographics</w:t>
      </w:r>
    </w:p>
    <w:p w14:paraId="6059CAA3" w14:textId="4BB548A5" w:rsidR="003632E3" w:rsidRPr="003632E3" w:rsidRDefault="003632E3" w:rsidP="00EF0F99">
      <w:pPr>
        <w:pStyle w:val="ListBullet"/>
      </w:pPr>
      <w:r w:rsidRPr="003632E3">
        <w:t>case studies.</w:t>
      </w:r>
    </w:p>
    <w:p w14:paraId="2999AF2B" w14:textId="38D259D5" w:rsidR="003632E3" w:rsidRPr="003632E3" w:rsidRDefault="003632E3" w:rsidP="003632E3">
      <w:r w:rsidRPr="003632E3">
        <w:t>Activities that engage students in inquiry-based learning, research and critical thinking are important evidence of learning in iSTEM. These might include independent and group research tasks, research assignments, critical reviews, market research, needs analysis or empathy map.</w:t>
      </w:r>
    </w:p>
    <w:p w14:paraId="07E1DB77" w14:textId="77777777" w:rsidR="003632E3" w:rsidRPr="003632E3" w:rsidRDefault="003632E3" w:rsidP="00434E9A">
      <w:pPr>
        <w:pStyle w:val="Heading2"/>
      </w:pPr>
      <w:bookmarkStart w:id="7" w:name="_Toc119501299"/>
      <w:r w:rsidRPr="003632E3">
        <w:t>Feedback</w:t>
      </w:r>
      <w:bookmarkEnd w:id="7"/>
    </w:p>
    <w:p w14:paraId="7EAD2BB5" w14:textId="651192F4" w:rsidR="003632E3" w:rsidRPr="003632E3" w:rsidRDefault="003632E3" w:rsidP="003632E3">
      <w:r w:rsidRPr="003632E3">
        <w:t xml:space="preserve">There are plenty of opportunities for </w:t>
      </w:r>
      <w:hyperlink r:id="rId9" w:history="1">
        <w:r w:rsidR="003E39DC">
          <w:rPr>
            <w:rStyle w:val="Hyperlink"/>
          </w:rPr>
          <w:t>A</w:t>
        </w:r>
        <w:r w:rsidRPr="00CF7E27">
          <w:rPr>
            <w:rStyle w:val="Hyperlink"/>
          </w:rPr>
          <w:t>ssessment for, as and of learning</w:t>
        </w:r>
      </w:hyperlink>
      <w:r w:rsidRPr="003632E3">
        <w:t xml:space="preserve"> in iSTEM as well as providing and receiving effective </w:t>
      </w:r>
      <w:hyperlink r:id="rId10" w:history="1">
        <w:r w:rsidRPr="00257A1F">
          <w:rPr>
            <w:rStyle w:val="Hyperlink"/>
          </w:rPr>
          <w:t>feedback</w:t>
        </w:r>
      </w:hyperlink>
      <w:r w:rsidRPr="003632E3">
        <w:t>. Self and peer assessment are important tools along with other strategies such as developing success criteria. When students contribute to developing assessment criteria in a meaningful way, they also typically perform at a higher level and tend to view assessments as meaningful opportunities for feedback and growth as they have a deeper understanding of its purpose.</w:t>
      </w:r>
    </w:p>
    <w:p w14:paraId="5472C9E5" w14:textId="77777777" w:rsidR="003632E3" w:rsidRPr="003632E3" w:rsidRDefault="003632E3" w:rsidP="00434E9A">
      <w:pPr>
        <w:pStyle w:val="Heading3"/>
      </w:pPr>
      <w:bookmarkStart w:id="8" w:name="_Toc119501300"/>
      <w:r w:rsidRPr="003632E3">
        <w:t>Peer assessment</w:t>
      </w:r>
      <w:bookmarkEnd w:id="8"/>
    </w:p>
    <w:p w14:paraId="52B83BDE" w14:textId="77777777" w:rsidR="003632E3" w:rsidRPr="003632E3" w:rsidRDefault="003632E3" w:rsidP="003632E3">
      <w:r w:rsidRPr="003632E3">
        <w:t>iSTEM encourages the active involvement of students in the learning process. Opportunities exist for individual and collaborative work. Activities involving peer assessment might include evaluating the contributions of individuals to a group task and reflecting on a peer presentation.</w:t>
      </w:r>
    </w:p>
    <w:p w14:paraId="00DDA026" w14:textId="77777777" w:rsidR="003632E3" w:rsidRPr="003632E3" w:rsidRDefault="003632E3" w:rsidP="00434E9A">
      <w:pPr>
        <w:pStyle w:val="Heading3"/>
      </w:pPr>
      <w:bookmarkStart w:id="9" w:name="_Toc119501301"/>
      <w:r w:rsidRPr="003632E3">
        <w:t>Self-assessment</w:t>
      </w:r>
      <w:bookmarkEnd w:id="9"/>
    </w:p>
    <w:p w14:paraId="74A185EB" w14:textId="515585E1" w:rsidR="00C17204" w:rsidRDefault="003632E3" w:rsidP="003632E3">
      <w:pPr>
        <w:rPr>
          <w:rStyle w:val="Strong"/>
          <w:b w:val="0"/>
        </w:rPr>
      </w:pPr>
      <w:r w:rsidRPr="003632E3">
        <w:t xml:space="preserve">iSTEM encourages students to become self-directed learners. Opportunities exist for students to reflect on their progress towards the achievement of the course outcomes. The completion of weekly student reflections provides the basis for improving their learning through identifying successes and areas for growth, as well as assisting in developing critical and reflective thinking skills. Developing self-assessment skills is an ongoing </w:t>
      </w:r>
      <w:r w:rsidRPr="003632E3">
        <w:lastRenderedPageBreak/>
        <w:t>process that becomes increasingly more sophisticated and self-initiated as a student progresses through the course.</w:t>
      </w:r>
      <w:r w:rsidR="00C17204">
        <w:rPr>
          <w:rStyle w:val="Strong"/>
        </w:rPr>
        <w:br w:type="page"/>
      </w:r>
    </w:p>
    <w:p w14:paraId="739B807A" w14:textId="77777777" w:rsidR="004C731C" w:rsidRDefault="004C731C" w:rsidP="004C731C">
      <w:pPr>
        <w:pStyle w:val="Heading2"/>
      </w:pPr>
      <w:bookmarkStart w:id="10" w:name="_Toc119501302"/>
      <w:r>
        <w:lastRenderedPageBreak/>
        <w:t>Additional i</w:t>
      </w:r>
      <w:r w:rsidR="00A12C29">
        <w:t>nformation</w:t>
      </w:r>
      <w:bookmarkEnd w:id="10"/>
    </w:p>
    <w:p w14:paraId="11105A93" w14:textId="4441546E" w:rsidR="00CB6275" w:rsidRDefault="00CB6275" w:rsidP="00A1687D">
      <w:pPr>
        <w:pStyle w:val="Featurepink"/>
      </w:pPr>
      <w:r>
        <w:t xml:space="preserve">Please complete the following </w:t>
      </w:r>
      <w:hyperlink r:id="rId11" w:history="1">
        <w:r w:rsidRPr="00C2134A">
          <w:rPr>
            <w:rStyle w:val="Hyperlink"/>
          </w:rPr>
          <w:t>feedback form</w:t>
        </w:r>
      </w:hyperlink>
      <w:r>
        <w:t xml:space="preserve"> to help us improve our resources and support.</w:t>
      </w:r>
    </w:p>
    <w:p w14:paraId="2F9CCF1E" w14:textId="2FE8CD15" w:rsidR="004C731C" w:rsidRDefault="00A12C29" w:rsidP="004C731C">
      <w:r w:rsidRPr="00A12C29">
        <w:t xml:space="preserve">The information below can be used to support teachers when using this </w:t>
      </w:r>
      <w:r w:rsidR="00C671F4">
        <w:t>assessment advice</w:t>
      </w:r>
      <w:r w:rsidRPr="00A12C29">
        <w:t xml:space="preserve"> for</w:t>
      </w:r>
      <w:r w:rsidR="008E6EEE">
        <w:t xml:space="preserve"> iSTEM.</w:t>
      </w:r>
    </w:p>
    <w:p w14:paraId="3F7DB7AC" w14:textId="77777777" w:rsidR="00CB6275" w:rsidRDefault="00CB6275" w:rsidP="00CB6275">
      <w:pPr>
        <w:pStyle w:val="Heading3"/>
      </w:pPr>
      <w:bookmarkStart w:id="11" w:name="_Toc116636031"/>
      <w:bookmarkStart w:id="12" w:name="_Toc119501303"/>
      <w:r>
        <w:t>Rationale</w:t>
      </w:r>
      <w:bookmarkEnd w:id="11"/>
      <w:bookmarkEnd w:id="12"/>
    </w:p>
    <w:p w14:paraId="4394FB55" w14:textId="77777777" w:rsidR="00680F9F" w:rsidRPr="00E26052" w:rsidRDefault="00680F9F" w:rsidP="00680F9F">
      <w:bookmarkStart w:id="13" w:name="_Toc116636032"/>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12"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14:paraId="457AB515" w14:textId="77777777" w:rsidR="00680F9F" w:rsidRPr="00E26052" w:rsidRDefault="00680F9F" w:rsidP="00680F9F">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0F81D23B" w14:textId="77777777" w:rsidR="00680F9F" w:rsidRPr="00E26052" w:rsidRDefault="00680F9F" w:rsidP="00680F9F">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3" w:history="1">
        <w:r w:rsidRPr="006A3866">
          <w:rPr>
            <w:rStyle w:val="Hyperlink"/>
          </w:rPr>
          <w:t>NSW Industry Development Framework</w:t>
        </w:r>
      </w:hyperlink>
      <w:r w:rsidRPr="00E26052">
        <w:t>.</w:t>
      </w:r>
    </w:p>
    <w:p w14:paraId="026ACE9F" w14:textId="77777777" w:rsidR="00680F9F" w:rsidRPr="00E26052" w:rsidRDefault="00680F9F" w:rsidP="00680F9F">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56854B2E" w14:textId="77777777" w:rsidR="00680F9F" w:rsidRPr="00E26052" w:rsidRDefault="00680F9F" w:rsidP="00680F9F">
      <w:r w:rsidRPr="00E26052">
        <w:t xml:space="preserve">Students gain and apply knowledge, deepen their understanding, and develop collaborative, creative and critical thinking skills within authentic, real-world contexts. The </w:t>
      </w:r>
      <w:r w:rsidRPr="00E26052">
        <w:lastRenderedPageBreak/>
        <w:t xml:space="preserve">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52A1FE00" w14:textId="77777777" w:rsidR="00680F9F" w:rsidRPr="00E26052" w:rsidRDefault="00680F9F" w:rsidP="00680F9F">
      <w:r w:rsidRPr="00E26052">
        <w:t>iSTEM is aligned to the concept of ‘</w:t>
      </w:r>
      <w:hyperlink r:id="rId14"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2B9A3220" w14:textId="77777777" w:rsidR="00680F9F" w:rsidRPr="00E26052" w:rsidRDefault="00680F9F" w:rsidP="00680F9F">
      <w:r w:rsidRPr="00E26052">
        <w:t xml:space="preserve">iSTEM has been developed to meet the goals of National Federation Reform Council (NFRC) Education Council’s </w:t>
      </w:r>
      <w:hyperlink r:id="rId15" w:history="1">
        <w:r w:rsidRPr="006879DD">
          <w:rPr>
            <w:rStyle w:val="Hyperlink"/>
          </w:rPr>
          <w:t>National STEM School Education Strategy (2016-2026)</w:t>
        </w:r>
      </w:hyperlink>
      <w:r w:rsidRPr="00E26052">
        <w:t xml:space="preserve">, and supports the NSW Government’s </w:t>
      </w:r>
      <w:hyperlink r:id="rId16" w:history="1">
        <w:r w:rsidRPr="006A3866">
          <w:rPr>
            <w:rStyle w:val="Hyperlink"/>
          </w:rPr>
          <w:t>NSW Industry Development Framework</w:t>
        </w:r>
      </w:hyperlink>
      <w:r>
        <w:t>,</w:t>
      </w:r>
      <w:r w:rsidRPr="00E26052">
        <w:t xml:space="preserve"> the NSW Department of Education’s </w:t>
      </w:r>
      <w:hyperlink r:id="rId17" w:history="1">
        <w:r w:rsidRPr="004D14C7">
          <w:rPr>
            <w:rStyle w:val="Hyperlink"/>
          </w:rPr>
          <w:t>Rural and Remote Education Strategy (2021-2024)</w:t>
        </w:r>
      </w:hyperlink>
      <w:r w:rsidRPr="00E26052">
        <w:t xml:space="preserve"> and the </w:t>
      </w:r>
      <w:hyperlink r:id="rId18"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45630036" w14:textId="32EF2ED5" w:rsidR="00CB6275" w:rsidRDefault="00CB6275" w:rsidP="00CB6275">
      <w:pPr>
        <w:pStyle w:val="Heading3"/>
      </w:pPr>
      <w:bookmarkStart w:id="14" w:name="_Toc119501304"/>
      <w:r>
        <w:t>Aim</w:t>
      </w:r>
      <w:bookmarkEnd w:id="13"/>
      <w:bookmarkEnd w:id="14"/>
    </w:p>
    <w:p w14:paraId="652127F3" w14:textId="77777777" w:rsidR="00680F9F" w:rsidRPr="00614CA2" w:rsidRDefault="00680F9F" w:rsidP="00680F9F">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5FD9D1F3" w14:textId="77777777" w:rsidR="00310B7E" w:rsidRDefault="00310B7E" w:rsidP="00310B7E">
      <w:pPr>
        <w:pStyle w:val="Heading3"/>
      </w:pPr>
      <w:bookmarkStart w:id="15" w:name="_Toc119501305"/>
      <w:r>
        <w:t>Purpose and audience</w:t>
      </w:r>
      <w:bookmarkEnd w:id="15"/>
    </w:p>
    <w:p w14:paraId="425846C5" w14:textId="2122CFD3"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r w:rsidR="00CB6275">
        <w:t>iSTEM</w:t>
      </w:r>
      <w:r w:rsidR="00C17204">
        <w:t xml:space="preserve"> </w:t>
      </w:r>
      <w:r>
        <w:t>course.</w:t>
      </w:r>
    </w:p>
    <w:p w14:paraId="4F9FD832" w14:textId="77777777" w:rsidR="00310B7E" w:rsidRDefault="00310B7E" w:rsidP="00310B7E">
      <w:pPr>
        <w:pStyle w:val="Heading3"/>
      </w:pPr>
      <w:bookmarkStart w:id="16" w:name="_Toc119501306"/>
      <w:r>
        <w:t>When and how to use this document</w:t>
      </w:r>
      <w:bookmarkEnd w:id="16"/>
    </w:p>
    <w:p w14:paraId="4235CDD5" w14:textId="6E3F826A"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w:t>
      </w:r>
      <w:r>
        <w:t xml:space="preserve">the </w:t>
      </w:r>
      <w:proofErr w:type="spellStart"/>
      <w:r w:rsidR="002815CF">
        <w:t>iSTEM</w:t>
      </w:r>
      <w:proofErr w:type="spellEnd"/>
      <w:r w:rsidR="002815CF">
        <w:t xml:space="preserve"> </w:t>
      </w:r>
      <w:r>
        <w:t>course.</w:t>
      </w:r>
    </w:p>
    <w:p w14:paraId="25262BCA" w14:textId="77777777" w:rsidR="004C731C" w:rsidRDefault="004C731C" w:rsidP="004C731C">
      <w:pPr>
        <w:pStyle w:val="Heading3"/>
      </w:pPr>
      <w:bookmarkStart w:id="17" w:name="_Toc119501307"/>
      <w:r>
        <w:t>Assessment for learning</w:t>
      </w:r>
      <w:bookmarkEnd w:id="17"/>
    </w:p>
    <w:p w14:paraId="446A9BD4" w14:textId="77777777" w:rsidR="004C731C" w:rsidRDefault="00A12C29" w:rsidP="004C731C">
      <w:r w:rsidRPr="00A12C29">
        <w:t>Possible formative assessment strategies that could be included</w:t>
      </w:r>
      <w:r w:rsidR="004C731C">
        <w:t>:</w:t>
      </w:r>
    </w:p>
    <w:p w14:paraId="48E8FDBD" w14:textId="3B3DDFB8" w:rsidR="004C731C" w:rsidRDefault="004C731C" w:rsidP="004C731C">
      <w:pPr>
        <w:pStyle w:val="ListBullet"/>
        <w:numPr>
          <w:ilvl w:val="0"/>
          <w:numId w:val="2"/>
        </w:numPr>
      </w:pPr>
      <w:r>
        <w:t xml:space="preserve">Learning </w:t>
      </w:r>
      <w:r w:rsidR="00E77B90">
        <w:t xml:space="preserve">intentions </w:t>
      </w:r>
      <w:r>
        <w:t xml:space="preserve">and </w:t>
      </w:r>
      <w:r w:rsidR="00E77B90">
        <w:t xml:space="preserve">success criteria </w:t>
      </w:r>
      <w:r>
        <w:t xml:space="preserve">assist </w:t>
      </w:r>
      <w:r>
        <w:t xml:space="preserve">educators to articulate the purpose of a learning task to make judgements about the quality of student learning. These help students focus on the task or activity taking place and what they are learning and </w:t>
      </w:r>
      <w:r>
        <w:lastRenderedPageBreak/>
        <w:t xml:space="preserve">provide a framework for reflection and feedback. </w:t>
      </w:r>
      <w:hyperlink r:id="rId19" w:history="1">
        <w:r w:rsidRPr="00A16172">
          <w:rPr>
            <w:rStyle w:val="Hyperlink"/>
          </w:rPr>
          <w:t>Online tools</w:t>
        </w:r>
      </w:hyperlink>
      <w:r>
        <w:t xml:space="preserve"> can assist implementation of this formative assessment strategy.</w:t>
      </w:r>
    </w:p>
    <w:p w14:paraId="2D5B20D1" w14:textId="088BBB7A" w:rsidR="004C731C" w:rsidRDefault="00A16172" w:rsidP="004C731C">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0">
        <w:r w:rsidRPr="3A874A9E">
          <w:rPr>
            <w:rStyle w:val="Hyperlink"/>
          </w:rPr>
          <w:t>exit tickets</w:t>
        </w:r>
      </w:hyperlink>
      <w:r>
        <w:t xml:space="preserve">, mini whiteboards (actual or </w:t>
      </w:r>
      <w:hyperlink r:id="rId21">
        <w:r w:rsidRPr="3A874A9E">
          <w:rPr>
            <w:rStyle w:val="Hyperlink"/>
          </w:rPr>
          <w:t>digital</w:t>
        </w:r>
      </w:hyperlink>
      <w:r>
        <w:t xml:space="preserve">), </w:t>
      </w:r>
      <w:hyperlink r:id="rId22">
        <w:r w:rsidRPr="3A874A9E">
          <w:rPr>
            <w:rStyle w:val="Hyperlink"/>
          </w:rPr>
          <w:t>hinge questions</w:t>
        </w:r>
      </w:hyperlink>
      <w:r>
        <w:t xml:space="preserve">, </w:t>
      </w:r>
      <w:hyperlink r:id="rId23" w:history="1">
        <w:r w:rsidRPr="00B90BC7">
          <w:rPr>
            <w:rStyle w:val="Hyperlink"/>
          </w:rPr>
          <w:t>Kahoot</w:t>
        </w:r>
      </w:hyperlink>
      <w:r>
        <w:t xml:space="preserve">, </w:t>
      </w:r>
      <w:hyperlink r:id="rId24" w:history="1">
        <w:r w:rsidRPr="00B90BC7">
          <w:rPr>
            <w:rStyle w:val="Hyperlink"/>
          </w:rPr>
          <w:t>Socrative</w:t>
        </w:r>
      </w:hyperlink>
      <w:r>
        <w:t>,</w:t>
      </w:r>
      <w:r w:rsidR="00E77B90">
        <w:t xml:space="preserve"> or</w:t>
      </w:r>
      <w:r>
        <w:t xml:space="preserve"> quick quizzes </w:t>
      </w:r>
      <w:r>
        <w:t>to ensure that individual student progress can be monitored and the lesson sequence adjusted based on formative data collected</w:t>
      </w:r>
      <w:r w:rsidR="004C731C">
        <w:t>.</w:t>
      </w:r>
    </w:p>
    <w:p w14:paraId="1C06ADA5" w14:textId="4540E8AA" w:rsidR="004C731C" w:rsidRDefault="004C731C" w:rsidP="004C731C">
      <w:pPr>
        <w:pStyle w:val="ListBullet"/>
        <w:numPr>
          <w:ilvl w:val="0"/>
          <w:numId w:val="2"/>
        </w:numPr>
      </w:pPr>
      <w:r>
        <w:t xml:space="preserve">Feedback is designed to close the gap between current and desired performance by informing teacher and student </w:t>
      </w:r>
      <w:r>
        <w:t>behaviour (AITSL</w:t>
      </w:r>
      <w:r w:rsidR="00B90BC7">
        <w:t xml:space="preserve"> 2017</w:t>
      </w:r>
      <w:r>
        <w:t xml:space="preserve">). AITSL </w:t>
      </w:r>
      <w:r>
        <w:t xml:space="preserve">provides a </w:t>
      </w:r>
      <w:hyperlink r:id="rId25" w:anchor=":~:text=FEEDBACK-,Factsheet,-A%20quick%20guide" w:history="1">
        <w:r w:rsidRPr="00A16172">
          <w:rPr>
            <w:rStyle w:val="Hyperlink"/>
          </w:rPr>
          <w:t>factsheet to support evidence-based feedback</w:t>
        </w:r>
      </w:hyperlink>
      <w:r>
        <w:t>.</w:t>
      </w:r>
    </w:p>
    <w:p w14:paraId="474063DD" w14:textId="77777777" w:rsidR="004C731C" w:rsidRDefault="000C2784" w:rsidP="004C731C">
      <w:pPr>
        <w:pStyle w:val="ListBullet"/>
        <w:numPr>
          <w:ilvl w:val="0"/>
          <w:numId w:val="2"/>
        </w:numPr>
      </w:pPr>
      <w:hyperlink r:id="rId26" w:history="1">
        <w:r w:rsidR="004C731C" w:rsidRPr="00DA1B0D">
          <w:rPr>
            <w:rStyle w:val="Hyperlink"/>
          </w:rPr>
          <w:t>Peer feedback</w:t>
        </w:r>
      </w:hyperlink>
      <w:r w:rsidR="004C731C">
        <w:t xml:space="preserve"> is a structured process where students evaluate the work of their peers by providing valuable feedback in relation to learning intentions and success criteria. It can be supported by </w:t>
      </w:r>
      <w:hyperlink r:id="rId27" w:history="1">
        <w:r w:rsidR="004C731C" w:rsidRPr="00A16172">
          <w:rPr>
            <w:rStyle w:val="Hyperlink"/>
          </w:rPr>
          <w:t>online tools</w:t>
        </w:r>
      </w:hyperlink>
      <w:r w:rsidR="004C731C">
        <w:t>.</w:t>
      </w:r>
    </w:p>
    <w:p w14:paraId="0C43F5B9" w14:textId="77777777" w:rsidR="004C731C" w:rsidRDefault="00A16172" w:rsidP="004C731C">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28">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9">
        <w:r w:rsidRPr="3A874A9E">
          <w:rPr>
            <w:rStyle w:val="Hyperlink"/>
          </w:rPr>
          <w:t>KWLH charts</w:t>
        </w:r>
      </w:hyperlink>
      <w:r>
        <w:t xml:space="preserve">, </w:t>
      </w:r>
      <w:hyperlink r:id="rId30">
        <w:r w:rsidRPr="3A874A9E">
          <w:rPr>
            <w:rStyle w:val="Hyperlink"/>
          </w:rPr>
          <w:t>learning portfolios</w:t>
        </w:r>
      </w:hyperlink>
      <w:r>
        <w:t xml:space="preserve"> and </w:t>
      </w:r>
      <w:hyperlink r:id="rId31">
        <w:r w:rsidRPr="3A874A9E">
          <w:rPr>
            <w:rStyle w:val="Hyperlink"/>
          </w:rPr>
          <w:t>learning logs</w:t>
        </w:r>
      </w:hyperlink>
      <w:r w:rsidR="004C731C">
        <w:t>.</w:t>
      </w:r>
    </w:p>
    <w:p w14:paraId="263664EB" w14:textId="77777777" w:rsidR="004C731C" w:rsidRDefault="004C731C" w:rsidP="004C731C">
      <w:pPr>
        <w:pStyle w:val="FeatureBox"/>
      </w:pPr>
      <w:r>
        <w:t>The primary role of assessment is to establish where individuals are in their learning so that teaching can be differentiated and further learning progress can be monitored over time.</w:t>
      </w:r>
    </w:p>
    <w:p w14:paraId="0FCA5361" w14:textId="77777777" w:rsidR="004C731C" w:rsidRDefault="004C731C" w:rsidP="004C731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bookmarkStart w:id="18" w:name="_Toc119501308"/>
    <w:p w14:paraId="129D0CA3" w14:textId="77777777" w:rsidR="00E641FC" w:rsidRDefault="00E641FC" w:rsidP="00E641FC">
      <w:pPr>
        <w:pStyle w:val="FeatureBox"/>
      </w:pPr>
      <w:r>
        <w:fldChar w:fldCharType="begin"/>
      </w:r>
      <w:r>
        <w:instrText xml:space="preserve"> HYPERLINK "https://education.nsw.gov.au/about-us/educational-data/cese/publications/research-reports/what-works-best-2020-update" </w:instrText>
      </w:r>
      <w:r>
        <w:fldChar w:fldCharType="separate"/>
      </w:r>
      <w:r w:rsidRPr="00C2134A">
        <w:rPr>
          <w:rStyle w:val="Hyperlink"/>
        </w:rPr>
        <w:t>What works best update 2020</w:t>
      </w:r>
      <w:r>
        <w:rPr>
          <w:rStyle w:val="Hyperlink"/>
        </w:rPr>
        <w:fldChar w:fldCharType="end"/>
      </w:r>
      <w:r w:rsidRPr="008D59F5">
        <w:t xml:space="preserve"> (CESE 2020a)</w:t>
      </w:r>
    </w:p>
    <w:p w14:paraId="344A704C" w14:textId="77777777" w:rsidR="004C731C" w:rsidRDefault="004C731C" w:rsidP="004C731C">
      <w:pPr>
        <w:pStyle w:val="Heading3"/>
      </w:pPr>
      <w:r>
        <w:lastRenderedPageBreak/>
        <w:t>Differentiation</w:t>
      </w:r>
      <w:bookmarkEnd w:id="18"/>
    </w:p>
    <w:p w14:paraId="26C2D566" w14:textId="77777777" w:rsidR="004C731C" w:rsidRDefault="004C731C" w:rsidP="004C731C">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32" w:history="1">
        <w:r>
          <w:rPr>
            <w:rStyle w:val="Hyperlink"/>
          </w:rPr>
          <w:t>Differentiating learning</w:t>
        </w:r>
      </w:hyperlink>
      <w:r>
        <w:t xml:space="preserve"> and </w:t>
      </w:r>
      <w:hyperlink r:id="rId33" w:history="1">
        <w:r>
          <w:rPr>
            <w:rStyle w:val="Hyperlink"/>
          </w:rPr>
          <w:t>Differentiation</w:t>
        </w:r>
      </w:hyperlink>
      <w:r>
        <w:t>.</w:t>
      </w:r>
    </w:p>
    <w:p w14:paraId="1B816FF7" w14:textId="77777777" w:rsidR="004C731C" w:rsidRDefault="004C731C" w:rsidP="004C731C">
      <w:r>
        <w:t>When using these resources in the classroom, it is important for teachers to consider the needs of all students in their class, including:</w:t>
      </w:r>
    </w:p>
    <w:p w14:paraId="4FB11C43" w14:textId="5FE799E0" w:rsidR="004C731C" w:rsidRDefault="004C731C" w:rsidP="004C731C">
      <w:pPr>
        <w:pStyle w:val="ListBullet"/>
        <w:numPr>
          <w:ilvl w:val="0"/>
          <w:numId w:val="2"/>
        </w:numPr>
      </w:pPr>
      <w:r w:rsidRPr="00973DAE">
        <w:rPr>
          <w:b/>
          <w:bCs/>
        </w:rPr>
        <w:t>Aboriginal and Torres Strait Islander students</w:t>
      </w:r>
      <w:r>
        <w:t xml:space="preserve">. Targeted </w:t>
      </w:r>
      <w:hyperlink r:id="rId34" w:history="1">
        <w:r w:rsidRPr="00973DAE">
          <w:rPr>
            <w:rStyle w:val="Hyperlink"/>
          </w:rPr>
          <w:t>strategies</w:t>
        </w:r>
      </w:hyperlink>
      <w:r>
        <w:t xml:space="preserve"> can be used to achieve outcomes for Aboriginal students in K-12 and increase knowledge and understanding of Aboriginal histories and culture</w:t>
      </w:r>
      <w:r w:rsidR="00346F7D">
        <w:t>s</w:t>
      </w:r>
      <w:r>
        <w:t>. Teachers should utilise students’ Personalised Learning Pathways to support individual student needs and goals.</w:t>
      </w:r>
    </w:p>
    <w:p w14:paraId="589625C2" w14:textId="17B2E69F" w:rsidR="004C731C" w:rsidRDefault="004C731C" w:rsidP="004C731C">
      <w:pPr>
        <w:pStyle w:val="ListBullet"/>
        <w:numPr>
          <w:ilvl w:val="0"/>
          <w:numId w:val="2"/>
        </w:numPr>
      </w:pPr>
      <w:r w:rsidRPr="00973DAE">
        <w:rPr>
          <w:b/>
          <w:bCs/>
        </w:rPr>
        <w:t>EAL/D learners</w:t>
      </w:r>
      <w:r>
        <w:t xml:space="preserve">. EAL/D learners will require explicit English language support and scaffolding, informed by the </w:t>
      </w:r>
      <w:hyperlink r:id="rId35" w:history="1">
        <w:r w:rsidRPr="00973DAE">
          <w:rPr>
            <w:rStyle w:val="Hyperlink"/>
          </w:rPr>
          <w:t>EAL/D enhanced teaching and learning cycle</w:t>
        </w:r>
      </w:hyperlink>
      <w:r>
        <w:t xml:space="preserve"> and the student’s phase on the </w:t>
      </w:r>
      <w:hyperlink r:id="rId36" w:history="1">
        <w:r w:rsidRPr="00973DAE">
          <w:rPr>
            <w:rStyle w:val="Hyperlink"/>
          </w:rPr>
          <w:t>EAL/D Learning Progression</w:t>
        </w:r>
      </w:hyperlink>
      <w:r>
        <w:t xml:space="preserve">. In addition, teachers can access information about </w:t>
      </w:r>
      <w:hyperlink r:id="rId37" w:history="1">
        <w:r w:rsidRPr="00973DAE">
          <w:rPr>
            <w:rStyle w:val="Hyperlink"/>
          </w:rPr>
          <w:t>supporting EAL/D learners</w:t>
        </w:r>
      </w:hyperlink>
      <w:r>
        <w:t xml:space="preserve"> and </w:t>
      </w:r>
      <w:hyperlink r:id="rId38" w:history="1">
        <w:r w:rsidRPr="00346F7D">
          <w:rPr>
            <w:rStyle w:val="Hyperlink"/>
          </w:rPr>
          <w:t>literacy and numeracy support specific to EAL/D learners</w:t>
        </w:r>
      </w:hyperlink>
      <w:r>
        <w:t>.</w:t>
      </w:r>
    </w:p>
    <w:p w14:paraId="13336124" w14:textId="7C43CACA" w:rsidR="004C731C" w:rsidRDefault="004C731C" w:rsidP="00DA1B0D">
      <w:pPr>
        <w:pStyle w:val="ListBullet"/>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39" w:history="1">
        <w:r w:rsidRPr="00973DAE">
          <w:rPr>
            <w:rStyle w:val="Hyperlink"/>
          </w:rPr>
          <w:t>adjustments</w:t>
        </w:r>
      </w:hyperlink>
      <w:r>
        <w:t xml:space="preserve"> to ensure a personalised approach to student learning. In addition, the </w:t>
      </w:r>
      <w:hyperlink r:id="rId40" w:history="1">
        <w:r w:rsidRPr="00973DAE">
          <w:rPr>
            <w:rStyle w:val="Hyperlink"/>
          </w:rPr>
          <w:t xml:space="preserve">Universal Design for Learning </w:t>
        </w:r>
        <w:r w:rsidR="00346F7D">
          <w:rPr>
            <w:rStyle w:val="Hyperlink"/>
          </w:rPr>
          <w:t>planning t</w:t>
        </w:r>
        <w:r w:rsidRPr="00973DAE">
          <w:rPr>
            <w:rStyle w:val="Hyperlink"/>
          </w:rPr>
          <w:t>ool</w:t>
        </w:r>
      </w:hyperlink>
      <w:r>
        <w:t xml:space="preserve"> can be used to support the diverse learning needs of students using inclusive teaching and learning strategies</w:t>
      </w:r>
      <w:r w:rsidR="00346F7D">
        <w:t>.</w:t>
      </w:r>
      <w:r w:rsidR="00DA1B0D" w:rsidRPr="6667E0D0">
        <w:t xml:space="preserve"> </w:t>
      </w:r>
      <w:r w:rsidR="00346F7D">
        <w:t>S</w:t>
      </w:r>
      <w:r w:rsidR="00DA1B0D" w:rsidRPr="6667E0D0">
        <w:t xml:space="preserve">ubject specific curriculum considerations can be found on the </w:t>
      </w:r>
      <w:hyperlink r:id="rId41">
        <w:r w:rsidR="00DA1B0D" w:rsidRPr="6667E0D0">
          <w:rPr>
            <w:rStyle w:val="Hyperlink"/>
          </w:rPr>
          <w:t xml:space="preserve">Inclusive Practice </w:t>
        </w:r>
        <w:r w:rsidR="00DA1B0D">
          <w:rPr>
            <w:rStyle w:val="Hyperlink"/>
          </w:rPr>
          <w:t>h</w:t>
        </w:r>
        <w:r w:rsidR="00DA1B0D" w:rsidRPr="6667E0D0">
          <w:rPr>
            <w:rStyle w:val="Hyperlink"/>
          </w:rPr>
          <w:t>ub</w:t>
        </w:r>
      </w:hyperlink>
      <w:r w:rsidR="00DA1B0D" w:rsidRPr="6667E0D0">
        <w:t>.</w:t>
      </w:r>
    </w:p>
    <w:p w14:paraId="35225781" w14:textId="4ECBBEDC" w:rsidR="004C731C" w:rsidRDefault="004C731C" w:rsidP="004C731C">
      <w:pPr>
        <w:pStyle w:val="ListBullet"/>
        <w:numPr>
          <w:ilvl w:val="0"/>
          <w:numId w:val="2"/>
        </w:numPr>
      </w:pPr>
      <w:r w:rsidRPr="00973DAE">
        <w:rPr>
          <w:b/>
          <w:bCs/>
        </w:rPr>
        <w:t>High potential and gifted learners</w:t>
      </w:r>
      <w:r>
        <w:t xml:space="preserve">. </w:t>
      </w:r>
      <w:hyperlink r:id="rId42"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43"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44" w:history="1">
        <w:r w:rsidRPr="00973DAE">
          <w:rPr>
            <w:rStyle w:val="Hyperlink"/>
          </w:rPr>
          <w:t xml:space="preserve">Differentiation </w:t>
        </w:r>
        <w:r w:rsidR="000744FA">
          <w:rPr>
            <w:rStyle w:val="Hyperlink"/>
          </w:rPr>
          <w:t>A</w:t>
        </w:r>
        <w:r w:rsidRPr="00973DAE">
          <w:rPr>
            <w:rStyle w:val="Hyperlink"/>
          </w:rPr>
          <w:t xml:space="preserve">djustment </w:t>
        </w:r>
        <w:r w:rsidR="000744FA">
          <w:rPr>
            <w:rStyle w:val="Hyperlink"/>
          </w:rPr>
          <w:t>T</w:t>
        </w:r>
        <w:r w:rsidRPr="00973DAE">
          <w:rPr>
            <w:rStyle w:val="Hyperlink"/>
          </w:rPr>
          <w:t>ool</w:t>
        </w:r>
      </w:hyperlink>
      <w:r>
        <w:t xml:space="preserve"> can be used to support the specific learning needs of high potential and gifted students.</w:t>
      </w:r>
      <w:r w:rsidR="00DA1B0D">
        <w:t xml:space="preserve"> T</w:t>
      </w:r>
      <w:r w:rsidR="00DA1B0D" w:rsidRPr="6667E0D0">
        <w:rPr>
          <w:rFonts w:eastAsia="Arial"/>
          <w:color w:val="041E42"/>
        </w:rPr>
        <w:t xml:space="preserve">he </w:t>
      </w:r>
      <w:hyperlink r:id="rId45">
        <w:r w:rsidR="00DA1B0D" w:rsidRPr="6667E0D0">
          <w:rPr>
            <w:rStyle w:val="Hyperlink"/>
          </w:rPr>
          <w:t>High Potential and Gifted Education Professional Learning and Resource Hub</w:t>
        </w:r>
      </w:hyperlink>
      <w:r w:rsidR="00DA1B0D" w:rsidRPr="6667E0D0">
        <w:rPr>
          <w:rFonts w:eastAsia="Arial"/>
          <w:color w:val="041E42"/>
        </w:rPr>
        <w:t xml:space="preserve"> supports school leaders and teachers to effectively implement the High Potential and Gifted Education Policy in their unique contexts.</w:t>
      </w:r>
    </w:p>
    <w:p w14:paraId="0183B6E6" w14:textId="546CE12A" w:rsidR="004C731C" w:rsidRDefault="004C731C" w:rsidP="00AB03D6">
      <w:pPr>
        <w:pStyle w:val="FeatureBox"/>
      </w:pPr>
      <w:r>
        <w:lastRenderedPageBreak/>
        <w:t>All students need to be challenged and engaged to develop their potential fully. A culture of high expectations needs to be supported by strategies that both challenge and support student learning needs, such as through appropriate curriculum differentiation</w:t>
      </w:r>
      <w:r w:rsidR="00720EA2">
        <w:t xml:space="preserve"> (CESE 2020a:6)</w:t>
      </w:r>
      <w:r>
        <w:t>.</w:t>
      </w:r>
    </w:p>
    <w:p w14:paraId="350C5086" w14:textId="77777777" w:rsidR="004C731C" w:rsidRDefault="004C731C" w:rsidP="0066113B">
      <w:pPr>
        <w:pStyle w:val="Heading2"/>
      </w:pPr>
      <w:bookmarkStart w:id="19" w:name="_Toc119501309"/>
      <w:r>
        <w:t>About this resource</w:t>
      </w:r>
      <w:bookmarkEnd w:id="19"/>
    </w:p>
    <w:p w14:paraId="46DE34B9"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46" w:history="1">
        <w:r w:rsidRPr="000E35AF">
          <w:rPr>
            <w:rStyle w:val="Hyperlink"/>
          </w:rPr>
          <w:t>secondaryteachingandlearning@det.nsw.edu.au</w:t>
        </w:r>
      </w:hyperlink>
      <w:r>
        <w:t>.</w:t>
      </w:r>
    </w:p>
    <w:p w14:paraId="5599792E" w14:textId="77777777" w:rsidR="004C731C" w:rsidRDefault="004C731C" w:rsidP="004C731C">
      <w:r w:rsidRPr="00C2134A">
        <w:rPr>
          <w:b/>
          <w:bCs/>
        </w:rPr>
        <w:t>Alignment to system priorities and/or needs</w:t>
      </w:r>
      <w:r>
        <w:t>:</w:t>
      </w:r>
    </w:p>
    <w:p w14:paraId="7BCAC54E" w14:textId="77777777" w:rsidR="004C731C" w:rsidRDefault="004C731C" w:rsidP="004C731C">
      <w:r>
        <w:t>This resource aligns to the School Excellence Framework elements of curriculum (curriculum provision) and effective classroom practice (lesson planning, explicit teaching).</w:t>
      </w:r>
    </w:p>
    <w:p w14:paraId="2D003B3F" w14:textId="77777777" w:rsidR="004C731C" w:rsidRDefault="004C731C" w:rsidP="004C731C">
      <w:r>
        <w:t xml:space="preserve">This resource supports teachers to address Australian Professional Teaching Standards </w:t>
      </w:r>
      <w:r w:rsidR="009D1FAD">
        <w:t>5.1.2, 5.5.2</w:t>
      </w:r>
    </w:p>
    <w:p w14:paraId="7CEDA7BD" w14:textId="5703FB61" w:rsidR="004C731C" w:rsidRDefault="004C731C" w:rsidP="004C731C">
      <w:r>
        <w:t xml:space="preserve">This resource has been designed to support schools with successful implementation of new curriculum, specifically the NSW Department of Education approved elective course, </w:t>
      </w:r>
      <w:r w:rsidR="008C3112" w:rsidRPr="000A0342">
        <w:t>iSTEM</w:t>
      </w:r>
      <w:r w:rsidRPr="000A0342">
        <w:t xml:space="preserve"> © 2021 NSW</w:t>
      </w:r>
      <w:r>
        <w:t xml:space="preserve"> Department of Education for and on behalf of the Crown in right of the State of New South Wales.</w:t>
      </w:r>
    </w:p>
    <w:p w14:paraId="44490548"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05C6C4E" w14:textId="20C90069" w:rsidR="004C731C" w:rsidRDefault="004C731C" w:rsidP="004C731C">
      <w:r w:rsidRPr="00CE344E">
        <w:rPr>
          <w:b/>
          <w:bCs/>
        </w:rPr>
        <w:t>Department approved elective course</w:t>
      </w:r>
      <w:r w:rsidRPr="00CE344E">
        <w:t xml:space="preserve">: </w:t>
      </w:r>
      <w:r w:rsidR="00AC5F99">
        <w:t>iSTEM</w:t>
      </w:r>
    </w:p>
    <w:p w14:paraId="34B3BB50" w14:textId="29051DE3" w:rsidR="004C731C" w:rsidRDefault="004C731C" w:rsidP="004C731C">
      <w:r w:rsidRPr="00CE344E">
        <w:rPr>
          <w:b/>
          <w:bCs/>
        </w:rPr>
        <w:t>Course outcomes</w:t>
      </w:r>
      <w:r w:rsidRPr="00CE344E">
        <w:t>:</w:t>
      </w:r>
      <w:r>
        <w:t xml:space="preserve"> </w:t>
      </w:r>
      <w:r w:rsidR="00335146">
        <w:t>ST</w:t>
      </w:r>
      <w:r w:rsidR="00BB2C75">
        <w:t>5</w:t>
      </w:r>
      <w:r w:rsidR="00335146">
        <w:t>-1, ST</w:t>
      </w:r>
      <w:r w:rsidR="00BB2C75">
        <w:t>5</w:t>
      </w:r>
      <w:r w:rsidR="00335146">
        <w:t>-2, ST</w:t>
      </w:r>
      <w:r w:rsidR="00BB2C75">
        <w:t>5</w:t>
      </w:r>
      <w:r w:rsidR="00335146">
        <w:t>-3, ST</w:t>
      </w:r>
      <w:r w:rsidR="00BB2C75">
        <w:t>5</w:t>
      </w:r>
      <w:r w:rsidR="00335146">
        <w:t>-4, ST</w:t>
      </w:r>
      <w:r w:rsidR="00BB2C75">
        <w:t>5</w:t>
      </w:r>
      <w:r w:rsidR="00335146">
        <w:t>-5, ST</w:t>
      </w:r>
      <w:r w:rsidR="00BB2C75">
        <w:t>5</w:t>
      </w:r>
      <w:r w:rsidR="00335146">
        <w:t>-6, ST</w:t>
      </w:r>
      <w:r w:rsidR="00BB2C75">
        <w:t>5</w:t>
      </w:r>
      <w:r w:rsidR="00335146">
        <w:t>-7, ST</w:t>
      </w:r>
      <w:r w:rsidR="00BB2C75">
        <w:t>5</w:t>
      </w:r>
      <w:r w:rsidR="00335146">
        <w:t>-8, ST</w:t>
      </w:r>
      <w:r w:rsidR="00BB2C75">
        <w:t>5</w:t>
      </w:r>
      <w:r w:rsidR="00335146">
        <w:t>-9, ST</w:t>
      </w:r>
      <w:r w:rsidR="00BB2C75">
        <w:t>5</w:t>
      </w:r>
      <w:r w:rsidR="00335146">
        <w:t>-10</w:t>
      </w:r>
    </w:p>
    <w:p w14:paraId="6E25B0C5" w14:textId="77777777" w:rsidR="004C731C" w:rsidRDefault="004C731C" w:rsidP="004C731C">
      <w:r w:rsidRPr="00C2134A">
        <w:rPr>
          <w:b/>
          <w:bCs/>
        </w:rPr>
        <w:t>Author</w:t>
      </w:r>
      <w:r>
        <w:t>: Curriculum Secondary Learners</w:t>
      </w:r>
    </w:p>
    <w:p w14:paraId="36FB6510" w14:textId="77777777" w:rsidR="004C731C" w:rsidRDefault="004C731C" w:rsidP="004C731C">
      <w:r w:rsidRPr="00C2134A">
        <w:rPr>
          <w:b/>
          <w:bCs/>
        </w:rPr>
        <w:t>Publisher</w:t>
      </w:r>
      <w:r>
        <w:t>: State of NSW, Department of Education</w:t>
      </w:r>
    </w:p>
    <w:p w14:paraId="6560D513" w14:textId="77777777" w:rsidR="004C731C" w:rsidRDefault="004C731C" w:rsidP="004C731C">
      <w:r w:rsidRPr="00C2134A">
        <w:rPr>
          <w:b/>
          <w:bCs/>
        </w:rPr>
        <w:t>Resource</w:t>
      </w:r>
      <w:r>
        <w:t xml:space="preserve">: </w:t>
      </w:r>
      <w:r w:rsidR="00A12C29">
        <w:t>Teaching resource</w:t>
      </w:r>
    </w:p>
    <w:p w14:paraId="4EDB37EE" w14:textId="6515B812" w:rsidR="004C731C" w:rsidRDefault="004C731C" w:rsidP="004C731C">
      <w:r w:rsidRPr="00C2134A">
        <w:rPr>
          <w:b/>
          <w:bCs/>
        </w:rPr>
        <w:lastRenderedPageBreak/>
        <w:t>Related resources</w:t>
      </w:r>
      <w:r>
        <w:t xml:space="preserve">: </w:t>
      </w:r>
      <w:r w:rsidRPr="00335146">
        <w:t xml:space="preserve">Further resources to support </w:t>
      </w:r>
      <w:r w:rsidR="00335146" w:rsidRPr="00335146">
        <w:t>iSTEM</w:t>
      </w:r>
      <w:r w:rsidRPr="00335146">
        <w:t xml:space="preserve"> can be found on the Department approved elective courses webpage including course document, sample scope and sequences, assessment materials and other learning sequences.</w:t>
      </w:r>
    </w:p>
    <w:p w14:paraId="4AFD933B" w14:textId="77777777" w:rsidR="004C731C" w:rsidRDefault="004C731C" w:rsidP="004C731C">
      <w:r w:rsidRPr="00C2134A">
        <w:rPr>
          <w:b/>
          <w:bCs/>
        </w:rPr>
        <w:t>Professional Learning</w:t>
      </w:r>
      <w:r>
        <w:t xml:space="preserve">: Join the </w:t>
      </w:r>
      <w:hyperlink r:id="rId47" w:history="1">
        <w:r w:rsidRPr="00C2134A">
          <w:rPr>
            <w:rStyle w:val="Hyperlink"/>
          </w:rPr>
          <w:t>Teaching and Learning 7-12 statewide staffroom</w:t>
        </w:r>
      </w:hyperlink>
      <w:r>
        <w:t xml:space="preserve"> for information regarding professional learning opportunities.</w:t>
      </w:r>
    </w:p>
    <w:p w14:paraId="7D061C3E" w14:textId="77777777" w:rsidR="004C731C" w:rsidRDefault="004C731C" w:rsidP="004C731C">
      <w:r w:rsidRPr="00C2134A">
        <w:rPr>
          <w:b/>
          <w:bCs/>
        </w:rPr>
        <w:t>Universal Design for Learning Tool</w:t>
      </w:r>
      <w:r>
        <w:t xml:space="preserve">: </w:t>
      </w:r>
      <w:hyperlink r:id="rId48" w:history="1">
        <w:r w:rsidRPr="00C2134A">
          <w:rPr>
            <w:rStyle w:val="Hyperlink"/>
          </w:rPr>
          <w:t>Universal Design for Learning planning tool</w:t>
        </w:r>
      </w:hyperlink>
      <w:r>
        <w:t>. Support the diverse learning needs of students using inclusive teaching and learning strategies.</w:t>
      </w:r>
    </w:p>
    <w:p w14:paraId="6E76603F" w14:textId="412FF924" w:rsidR="004C731C" w:rsidRDefault="004C731C" w:rsidP="004C731C">
      <w:r w:rsidRPr="00C2134A">
        <w:rPr>
          <w:b/>
          <w:bCs/>
        </w:rPr>
        <w:t>Consulted with</w:t>
      </w:r>
      <w:r>
        <w:t xml:space="preserve">: </w:t>
      </w:r>
      <w:r w:rsidRPr="00AB5C9E">
        <w:t>Aboriginal Outcomes and Partnerships, Inclusion and Wellbeing, EAL/D</w:t>
      </w:r>
      <w:r>
        <w:t>.</w:t>
      </w:r>
    </w:p>
    <w:p w14:paraId="4E57361D"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02C3DFAA" w14:textId="0BBD779A" w:rsidR="004C731C" w:rsidRDefault="004C731C" w:rsidP="004C731C">
      <w:r w:rsidRPr="00C2134A">
        <w:rPr>
          <w:b/>
          <w:bCs/>
        </w:rPr>
        <w:t>Creation date</w:t>
      </w:r>
      <w:r>
        <w:t xml:space="preserve">: </w:t>
      </w:r>
      <w:r w:rsidR="00771BCD">
        <w:t>November 2021</w:t>
      </w:r>
    </w:p>
    <w:p w14:paraId="2F682A2A" w14:textId="77777777" w:rsidR="004C731C" w:rsidRDefault="004C731C" w:rsidP="004C731C">
      <w:r w:rsidRPr="00C2134A">
        <w:rPr>
          <w:b/>
          <w:bCs/>
        </w:rPr>
        <w:t>Rights</w:t>
      </w:r>
      <w:r>
        <w:t>: © State of New South Wales, Department of Education</w:t>
      </w:r>
    </w:p>
    <w:p w14:paraId="4A2669F2" w14:textId="77777777" w:rsidR="004C731C" w:rsidRDefault="004C731C" w:rsidP="004C731C">
      <w:r w:rsidRPr="00C2134A">
        <w:rPr>
          <w:b/>
          <w:bCs/>
        </w:rPr>
        <w:t>Evidence Base</w:t>
      </w:r>
      <w:r>
        <w:t>:</w:t>
      </w:r>
    </w:p>
    <w:p w14:paraId="70A5C501" w14:textId="7FBB83AD" w:rsidR="006E62A6" w:rsidRDefault="006E62A6" w:rsidP="006E62A6">
      <w:r>
        <w:t xml:space="preserve">The range of assessment strategies outlined in the advice </w:t>
      </w:r>
      <w:r w:rsidR="008D02C3">
        <w:t>‘</w:t>
      </w:r>
      <w:r>
        <w:t>encourages a variety of assessment methods each lesson to check for students’ understanding and inform what should be taught next</w:t>
      </w:r>
      <w:r w:rsidR="008D02C3">
        <w:t xml:space="preserve">’ </w:t>
      </w:r>
      <w:r>
        <w:t xml:space="preserve">(CESE 2020b:22). The assessment strategies outlined are student-centred, providing </w:t>
      </w:r>
      <w:r w:rsidR="008D02C3">
        <w:t>‘</w:t>
      </w:r>
      <w:r>
        <w:t>students with opportunities to reflect on their progress to inform future learning goals</w:t>
      </w:r>
      <w:r w:rsidR="008D02C3">
        <w:t xml:space="preserve">’ </w:t>
      </w:r>
      <w:r>
        <w:t>(CESE 2020b:22).</w:t>
      </w:r>
    </w:p>
    <w:p w14:paraId="2283ACC7" w14:textId="522572A5" w:rsidR="006E62A6" w:rsidRDefault="006E62A6" w:rsidP="006E62A6">
      <w:r>
        <w:t>The assessment advice complies with NESA’s assessment advice, outlined on NESA’s ACE website, NESA official notices and department memorandums</w:t>
      </w:r>
      <w:r w:rsidR="003E39DC">
        <w:t>. They:</w:t>
      </w:r>
    </w:p>
    <w:p w14:paraId="30881A0C" w14:textId="77777777" w:rsidR="006E62A6" w:rsidRDefault="006E62A6" w:rsidP="006E62A6">
      <w:pPr>
        <w:pStyle w:val="ListBullet"/>
        <w:numPr>
          <w:ilvl w:val="0"/>
          <w:numId w:val="2"/>
        </w:numPr>
      </w:pPr>
      <w:r>
        <w:t>include statements of school procedures for allocating grades in Year 10</w:t>
      </w:r>
    </w:p>
    <w:p w14:paraId="705C0A56" w14:textId="78213B9B" w:rsidR="006E62A6" w:rsidRDefault="006E62A6" w:rsidP="006E62A6">
      <w:pPr>
        <w:pStyle w:val="ListBullet"/>
        <w:numPr>
          <w:ilvl w:val="0"/>
          <w:numId w:val="2"/>
        </w:numPr>
      </w:pPr>
      <w:r>
        <w:t>set out requirements to retain student work samples to support grade allocation as required by NESA for the RoSA (</w:t>
      </w:r>
      <w:r w:rsidRPr="008E5407">
        <w:t>NSW Department of Education 2021</w:t>
      </w:r>
      <w:r w:rsidR="00324011">
        <w:t>:7</w:t>
      </w:r>
      <w:r>
        <w:t>).</w:t>
      </w:r>
    </w:p>
    <w:p w14:paraId="16056621" w14:textId="33523AED" w:rsidR="006E62A6" w:rsidRPr="004C731C" w:rsidRDefault="006E62A6" w:rsidP="006E62A6">
      <w:r>
        <w:t xml:space="preserve">The assessment strategies outlined provide teachers </w:t>
      </w:r>
      <w:r w:rsidR="00324011">
        <w:t xml:space="preserve">with </w:t>
      </w:r>
      <w:r>
        <w:t xml:space="preserve">important information about whether students learned what they intended. </w:t>
      </w:r>
      <w:proofErr w:type="spellStart"/>
      <w:r>
        <w:t>Wiliam</w:t>
      </w:r>
      <w:proofErr w:type="spellEnd"/>
      <w:r>
        <w:t xml:space="preserve"> (2013:15) claims </w:t>
      </w:r>
      <w:r w:rsidR="00324011">
        <w:t>‘</w:t>
      </w:r>
      <w:r>
        <w:t>the term formative should apply not to the assessment but to the function that the evidence generated by the assessment actually serve</w:t>
      </w:r>
      <w:r w:rsidR="00324011">
        <w:t xml:space="preserve">s.’ </w:t>
      </w:r>
      <w:r>
        <w:br w:type="page"/>
      </w:r>
    </w:p>
    <w:p w14:paraId="149D73F5" w14:textId="64C677A6" w:rsidR="00A1057C" w:rsidRDefault="00A1057C" w:rsidP="00A1057C">
      <w:pPr>
        <w:pStyle w:val="Heading2"/>
      </w:pPr>
      <w:bookmarkStart w:id="20" w:name="_Toc119501310"/>
      <w:r>
        <w:lastRenderedPageBreak/>
        <w:t>References</w:t>
      </w:r>
      <w:bookmarkEnd w:id="0"/>
      <w:bookmarkEnd w:id="1"/>
      <w:bookmarkEnd w:id="20"/>
    </w:p>
    <w:p w14:paraId="573EDE73" w14:textId="77777777" w:rsidR="00D26F86" w:rsidRPr="00A1057C" w:rsidRDefault="00D26F86" w:rsidP="00D26F86">
      <w:pPr>
        <w:pStyle w:val="FeatureBox2"/>
        <w:rPr>
          <w:rStyle w:val="Strong"/>
        </w:rPr>
      </w:pPr>
      <w:r w:rsidRPr="00A1057C">
        <w:rPr>
          <w:rStyle w:val="Strong"/>
        </w:rPr>
        <w:t>Links to third-party material and websites</w:t>
      </w:r>
    </w:p>
    <w:p w14:paraId="21E8D685" w14:textId="47C66946" w:rsidR="00D26F86" w:rsidRDefault="00D26F86" w:rsidP="00D26F8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7A5FA4" w14:textId="77777777" w:rsidR="00D26F86" w:rsidRDefault="00D26F86" w:rsidP="00D26F8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40721">
        <w:rPr>
          <w:i/>
          <w:iCs/>
        </w:rPr>
        <w:t>Copyright Act 1968</w:t>
      </w:r>
      <w:r>
        <w:t xml:space="preserve"> (Cth). The department accepts no responsibility for content on third-party websites.</w:t>
      </w:r>
    </w:p>
    <w:p w14:paraId="1B1933C7" w14:textId="77777777" w:rsidR="00A1057C" w:rsidRDefault="00A1057C" w:rsidP="00A1057C">
      <w:r>
        <w:t xml:space="preserve">All material </w:t>
      </w:r>
      <w:hyperlink r:id="rId49" w:history="1">
        <w:r w:rsidRPr="00417F01">
          <w:rPr>
            <w:rStyle w:val="Hyperlink"/>
          </w:rPr>
          <w:t>© State of New South Wales (Department of Education), 2021</w:t>
        </w:r>
      </w:hyperlink>
      <w:r>
        <w:t xml:space="preserve"> unless otherwise indicated. All other material used by permission or under licence.</w:t>
      </w:r>
    </w:p>
    <w:p w14:paraId="11CB1737" w14:textId="77777777" w:rsidR="00B90BC7" w:rsidRPr="00D26F86" w:rsidRDefault="00B90BC7" w:rsidP="00B90BC7">
      <w:pPr>
        <w:rPr>
          <w:b/>
          <w:bCs/>
        </w:rPr>
      </w:pPr>
      <w:r w:rsidRPr="00D26F86">
        <w:t>AITSL (Australian Institute for Teaching and School Leadership (2017) ‘</w:t>
      </w:r>
      <w:hyperlink r:id="rId50" w:anchor=":~:text=FEEDBACK-,Factsheet,-A%20quick%20guide" w:history="1">
        <w:r w:rsidRPr="00D26F86">
          <w:rPr>
            <w:rStyle w:val="Hyperlink"/>
          </w:rPr>
          <w:t>Feedback Factsheet</w:t>
        </w:r>
      </w:hyperlink>
      <w:r w:rsidRPr="00D26F86">
        <w:t>’, AITSL, accessed 16 November 2022.</w:t>
      </w:r>
    </w:p>
    <w:p w14:paraId="282E3BF4" w14:textId="2A893BC9" w:rsidR="00587712" w:rsidRDefault="00587712" w:rsidP="00587712">
      <w:r w:rsidRPr="00D26F86">
        <w:t xml:space="preserve">Commonwealth of Australia (2015) </w:t>
      </w:r>
      <w:hyperlink r:id="rId51" w:history="1">
        <w:r w:rsidRPr="00D26F86">
          <w:rPr>
            <w:rStyle w:val="Hyperlink"/>
          </w:rPr>
          <w:t>‘National STEM School Education Strategy’</w:t>
        </w:r>
      </w:hyperlink>
      <w:r w:rsidRPr="00D26F86">
        <w:t>, Education Council, Australian Department of Education, Skills and Employment, accessed 16 November 2022.</w:t>
      </w:r>
    </w:p>
    <w:p w14:paraId="6DC75187" w14:textId="03718B8F" w:rsidR="003E39DC" w:rsidRPr="003E39DC" w:rsidRDefault="003E39DC" w:rsidP="00587712">
      <w:pPr>
        <w:rPr>
          <w:b/>
          <w:bCs/>
        </w:rPr>
      </w:pPr>
      <w:r w:rsidRPr="00EC038F">
        <w:t>NESA (NSW Education Standards Authority) (202</w:t>
      </w:r>
      <w:r>
        <w:t>2</w:t>
      </w:r>
      <w:r w:rsidRPr="00EC038F">
        <w:t xml:space="preserve">) </w:t>
      </w:r>
      <w:r>
        <w:t>‘</w:t>
      </w:r>
      <w:hyperlink r:id="rId52"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5FC2424C" w14:textId="555F9227" w:rsidR="00943DE7" w:rsidRPr="00D26F86" w:rsidRDefault="00943DE7" w:rsidP="00943DE7">
      <w:r w:rsidRPr="00D26F86">
        <w:t xml:space="preserve">NSW Government (2022) </w:t>
      </w:r>
      <w:hyperlink r:id="rId53" w:history="1">
        <w:r w:rsidRPr="00D26F86">
          <w:rPr>
            <w:rStyle w:val="Hyperlink"/>
          </w:rPr>
          <w:t>NSW Industry Development Framework</w:t>
        </w:r>
      </w:hyperlink>
      <w:r w:rsidRPr="00D26F86">
        <w:t xml:space="preserve">, NSW Government website, accessed </w:t>
      </w:r>
      <w:r w:rsidR="00680F9F" w:rsidRPr="00D26F86">
        <w:t>16 November</w:t>
      </w:r>
      <w:r w:rsidRPr="00D26F86">
        <w:t xml:space="preserve"> 2022.</w:t>
      </w:r>
    </w:p>
    <w:p w14:paraId="54D300E6" w14:textId="3B933059" w:rsidR="00754BBF" w:rsidRPr="00D26F86" w:rsidRDefault="00754BBF" w:rsidP="00754BBF">
      <w:r w:rsidRPr="00D26F86">
        <w:t>PwC (PricewaterhouseCoopers) Australia (2022) ‘</w:t>
      </w:r>
      <w:hyperlink r:id="rId54" w:history="1">
        <w:r w:rsidRPr="00D26F86">
          <w:rPr>
            <w:rStyle w:val="Hyperlink"/>
          </w:rPr>
          <w:t>A smart move</w:t>
        </w:r>
      </w:hyperlink>
      <w:r w:rsidRPr="00D26F86">
        <w:t>’, PwC Australia, accessed 1</w:t>
      </w:r>
      <w:r w:rsidR="00680F9F" w:rsidRPr="00D26F86">
        <w:t>6</w:t>
      </w:r>
      <w:r w:rsidRPr="00D26F86">
        <w:t xml:space="preserve"> November 2022.</w:t>
      </w:r>
    </w:p>
    <w:p w14:paraId="7374B201" w14:textId="6585FBFD" w:rsidR="00587712" w:rsidRPr="00D26F86" w:rsidRDefault="00587712" w:rsidP="00587712">
      <w:bookmarkStart w:id="21" w:name="_Hlk118282940"/>
      <w:r w:rsidRPr="00D26F86">
        <w:t>State of New South Wales (Department of Education) (2022) ‘</w:t>
      </w:r>
      <w:hyperlink r:id="rId55" w:history="1">
        <w:r w:rsidRPr="00D26F86">
          <w:rPr>
            <w:rStyle w:val="Hyperlink"/>
          </w:rPr>
          <w:t>High Potential and Gifted Education Policy</w:t>
        </w:r>
      </w:hyperlink>
      <w:r w:rsidRPr="00D26F86">
        <w:t xml:space="preserve">’, </w:t>
      </w:r>
      <w:r w:rsidRPr="00D26F86">
        <w:rPr>
          <w:rStyle w:val="Emphasis"/>
        </w:rPr>
        <w:t>Policy Library</w:t>
      </w:r>
      <w:r w:rsidRPr="00D26F86">
        <w:t>, NSW Department of Education, accessed 16 November 2022.</w:t>
      </w:r>
    </w:p>
    <w:p w14:paraId="166A436C" w14:textId="32DD1D58" w:rsidR="00587712" w:rsidRPr="00D26F86" w:rsidRDefault="00587712" w:rsidP="00587712">
      <w:r w:rsidRPr="00D26F86">
        <w:lastRenderedPageBreak/>
        <w:t>State of New South Wales (Department of Education) (2021) ‘</w:t>
      </w:r>
      <w:hyperlink r:id="rId56" w:history="1">
        <w:r w:rsidRPr="00D26F86">
          <w:rPr>
            <w:rStyle w:val="Hyperlink"/>
          </w:rPr>
          <w:t>Rural and Remote Education Strategy (2021-2024)</w:t>
        </w:r>
      </w:hyperlink>
      <w:r w:rsidRPr="00D26F86">
        <w:t xml:space="preserve">’, </w:t>
      </w:r>
      <w:r w:rsidRPr="00D26F86">
        <w:rPr>
          <w:rStyle w:val="Emphasis"/>
        </w:rPr>
        <w:t>Strategies, reports and plans</w:t>
      </w:r>
      <w:r w:rsidRPr="00D26F86">
        <w:t>, NSW Department of Education, accessed 16 November 2022.</w:t>
      </w:r>
    </w:p>
    <w:p w14:paraId="0A19FFD2" w14:textId="4D8CA62B" w:rsidR="0059110B" w:rsidRPr="00D26F86" w:rsidRDefault="0059110B" w:rsidP="0059110B">
      <w:r w:rsidRPr="00D26F86">
        <w:t>State of New South Wales (Department of Education) and CESE (Centre for Education Statistics and Evaluation) (2020a) ‘</w:t>
      </w:r>
      <w:hyperlink r:id="rId57" w:history="1">
        <w:r w:rsidRPr="00D26F86">
          <w:rPr>
            <w:rStyle w:val="Hyperlink"/>
          </w:rPr>
          <w:t>What works best: 2020 update</w:t>
        </w:r>
      </w:hyperlink>
      <w:r w:rsidRPr="00D26F86">
        <w:t>’, CESE, NSW Department of Education, accessed 1</w:t>
      </w:r>
      <w:r w:rsidR="00E641FC" w:rsidRPr="00D26F86">
        <w:t>6</w:t>
      </w:r>
      <w:r w:rsidRPr="00D26F86">
        <w:t xml:space="preserve"> November 2022.</w:t>
      </w:r>
    </w:p>
    <w:p w14:paraId="1C2D4C33" w14:textId="46648F50" w:rsidR="0059110B" w:rsidRPr="00D26F86" w:rsidRDefault="0059110B" w:rsidP="00943DE7">
      <w:r w:rsidRPr="00D26F86">
        <w:t>State of New South Wales (Department of Education) and CESE (Centre for Education Statistics and Evaluation) (2020b) ‘</w:t>
      </w:r>
      <w:hyperlink r:id="rId58" w:history="1">
        <w:r w:rsidRPr="00D26F86">
          <w:rPr>
            <w:rStyle w:val="Hyperlink"/>
          </w:rPr>
          <w:t>What works best in practice</w:t>
        </w:r>
      </w:hyperlink>
      <w:r w:rsidRPr="00D26F86">
        <w:t xml:space="preserve">’, CESE, NSW Department of Education, accessed </w:t>
      </w:r>
      <w:bookmarkEnd w:id="21"/>
      <w:r w:rsidRPr="00D26F86">
        <w:t>1</w:t>
      </w:r>
      <w:r w:rsidR="008D02C3" w:rsidRPr="00D26F86">
        <w:t xml:space="preserve">6 </w:t>
      </w:r>
      <w:r w:rsidRPr="00D26F86">
        <w:t>November 2022.</w:t>
      </w:r>
    </w:p>
    <w:p w14:paraId="71C4A9E5" w14:textId="77777777" w:rsidR="00935EBD" w:rsidRPr="00D26F86" w:rsidRDefault="00935EBD" w:rsidP="00935EBD">
      <w:r w:rsidRPr="00D26F86">
        <w:t xml:space="preserve">State of New South Wales (Department of Education) (2021) </w:t>
      </w:r>
      <w:hyperlink r:id="rId59" w:history="1">
        <w:r w:rsidRPr="00D26F86">
          <w:rPr>
            <w:rStyle w:val="Hyperlink"/>
          </w:rPr>
          <w:t>‘COVID-19 Interim Policy Standards – 2022: Implementation document for Curriculum planning and programming, assessing and reporting to parents K-12 policy’</w:t>
        </w:r>
      </w:hyperlink>
      <w:r w:rsidRPr="00D26F86">
        <w:t>, NSW Department of Education, accessed 16 November 2022.</w:t>
      </w:r>
    </w:p>
    <w:p w14:paraId="51028DED" w14:textId="350A8422" w:rsidR="00587712" w:rsidRPr="00D26F86" w:rsidRDefault="00587712" w:rsidP="00587712">
      <w:bookmarkStart w:id="22" w:name="_Toc104382531"/>
      <w:bookmarkStart w:id="23" w:name="_Toc113619559"/>
      <w:r w:rsidRPr="00D26F86">
        <w:t>State of New South Wales Department of Premier and Cabinet (2022) ‘</w:t>
      </w:r>
      <w:hyperlink r:id="rId60" w:history="1">
        <w:r w:rsidRPr="00D26F86">
          <w:rPr>
            <w:rStyle w:val="Hyperlink"/>
          </w:rPr>
          <w:t>The NSW Industry Development Framework</w:t>
        </w:r>
      </w:hyperlink>
      <w:r w:rsidRPr="00D26F86">
        <w:t xml:space="preserve">’, </w:t>
      </w:r>
      <w:r w:rsidRPr="00D26F86">
        <w:rPr>
          <w:rStyle w:val="Emphasis"/>
        </w:rPr>
        <w:t>Living, working and business</w:t>
      </w:r>
      <w:r w:rsidRPr="00D26F86">
        <w:t>, Investment NSW website, accessed 16 November 2022.</w:t>
      </w:r>
    </w:p>
    <w:p w14:paraId="1BF55595" w14:textId="7E4F6009" w:rsidR="00680F9F" w:rsidRPr="00D26F86" w:rsidRDefault="00680F9F" w:rsidP="00680F9F">
      <w:r w:rsidRPr="00D26F86">
        <w:t xml:space="preserve">Tassel L (16 Jan 2019) </w:t>
      </w:r>
      <w:hyperlink r:id="rId61" w:history="1">
        <w:r w:rsidRPr="00D26F86">
          <w:rPr>
            <w:rStyle w:val="Hyperlink"/>
          </w:rPr>
          <w:t>‘Why strive for Industry 4.0’</w:t>
        </w:r>
      </w:hyperlink>
      <w:r w:rsidRPr="00D26F86">
        <w:t xml:space="preserve">, </w:t>
      </w:r>
      <w:r w:rsidRPr="00D26F86">
        <w:rPr>
          <w:i/>
        </w:rPr>
        <w:t>World Economic Forum agenda articles</w:t>
      </w:r>
      <w:r w:rsidRPr="00D26F86">
        <w:t>, accessed 16 November 2022.</w:t>
      </w:r>
    </w:p>
    <w:bookmarkEnd w:id="22"/>
    <w:bookmarkEnd w:id="23"/>
    <w:p w14:paraId="15A8D019" w14:textId="5DB37315" w:rsidR="00D41B29" w:rsidRPr="003E39DC" w:rsidRDefault="003E39DC" w:rsidP="003E39DC">
      <w:pPr>
        <w:rPr>
          <w:rFonts w:ascii="Calibri" w:eastAsia="Calibri" w:hAnsi="Calibri" w:cs="Calibri"/>
          <w:bCs/>
        </w:rPr>
      </w:pPr>
      <w:r>
        <w:rPr>
          <w:noProof/>
        </w:rPr>
        <w:t>Wiliam D (2013) ‘</w:t>
      </w:r>
      <w:hyperlink r:id="rId62"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sectPr w:rsidR="00D41B29" w:rsidRPr="003E39DC" w:rsidSect="00E37E07">
      <w:footerReference w:type="even" r:id="rId63"/>
      <w:footerReference w:type="default" r:id="rId64"/>
      <w:headerReference w:type="first" r:id="rId65"/>
      <w:footerReference w:type="first" r:id="rId6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9E81" w14:textId="77777777" w:rsidR="00C5004E" w:rsidRDefault="00C5004E" w:rsidP="00E51733">
      <w:r>
        <w:separator/>
      </w:r>
    </w:p>
  </w:endnote>
  <w:endnote w:type="continuationSeparator" w:id="0">
    <w:p w14:paraId="44DBAA13" w14:textId="77777777" w:rsidR="00C5004E" w:rsidRDefault="00C5004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5A1" w14:textId="6F41A094"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6043E">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C4CE" w14:textId="5FD2DFF7"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F5E96">
      <w:t xml:space="preserve">iSTEM – </w:t>
    </w:r>
    <w:r w:rsidR="000832D7">
      <w:t>A</w:t>
    </w:r>
    <w:r w:rsidR="00EF5E96">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E858" w14:textId="77777777" w:rsidR="00DA3FDE" w:rsidRPr="009B05C3" w:rsidRDefault="00677835" w:rsidP="000832D7">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7E925ED8" wp14:editId="504D72C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987D" w14:textId="77777777" w:rsidR="00C5004E" w:rsidRDefault="00C5004E" w:rsidP="00E51733">
      <w:r>
        <w:separator/>
      </w:r>
    </w:p>
  </w:footnote>
  <w:footnote w:type="continuationSeparator" w:id="0">
    <w:p w14:paraId="38B0E451" w14:textId="77777777" w:rsidR="00C5004E" w:rsidRDefault="00C5004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F5CE"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692E91F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 w:numId="15" w16cid:durableId="229729881">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013456099">
    <w:abstractNumId w:val="0"/>
  </w:num>
  <w:num w:numId="17" w16cid:durableId="1779712392">
    <w:abstractNumId w:val="3"/>
  </w:num>
  <w:num w:numId="18" w16cid:durableId="830025575">
    <w:abstractNumId w:val="1"/>
  </w:num>
  <w:num w:numId="19" w16cid:durableId="627273552">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69900287">
    <w:abstractNumId w:val="0"/>
  </w:num>
  <w:num w:numId="21" w16cid:durableId="1530410601">
    <w:abstractNumId w:val="3"/>
  </w:num>
  <w:num w:numId="22" w16cid:durableId="6247025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76"/>
    <w:rsid w:val="00002419"/>
    <w:rsid w:val="000075E2"/>
    <w:rsid w:val="00013FF2"/>
    <w:rsid w:val="00022672"/>
    <w:rsid w:val="000252CB"/>
    <w:rsid w:val="00045F0D"/>
    <w:rsid w:val="0004750C"/>
    <w:rsid w:val="00053B10"/>
    <w:rsid w:val="00061D5B"/>
    <w:rsid w:val="000744FA"/>
    <w:rsid w:val="00074F0F"/>
    <w:rsid w:val="000801CC"/>
    <w:rsid w:val="000832D7"/>
    <w:rsid w:val="000A0342"/>
    <w:rsid w:val="000C24ED"/>
    <w:rsid w:val="000C2784"/>
    <w:rsid w:val="000D3BBE"/>
    <w:rsid w:val="000D3F39"/>
    <w:rsid w:val="000D7466"/>
    <w:rsid w:val="000E55FE"/>
    <w:rsid w:val="00100EB2"/>
    <w:rsid w:val="001038BF"/>
    <w:rsid w:val="0010442A"/>
    <w:rsid w:val="00107026"/>
    <w:rsid w:val="00112528"/>
    <w:rsid w:val="00156800"/>
    <w:rsid w:val="00190C6F"/>
    <w:rsid w:val="001A2D64"/>
    <w:rsid w:val="001A3009"/>
    <w:rsid w:val="001A3E1F"/>
    <w:rsid w:val="001C4388"/>
    <w:rsid w:val="001C7E97"/>
    <w:rsid w:val="001D5230"/>
    <w:rsid w:val="001E390D"/>
    <w:rsid w:val="001F46D3"/>
    <w:rsid w:val="002105AD"/>
    <w:rsid w:val="002159DF"/>
    <w:rsid w:val="00246E32"/>
    <w:rsid w:val="00247EBA"/>
    <w:rsid w:val="00250FAC"/>
    <w:rsid w:val="0025178D"/>
    <w:rsid w:val="00257A1F"/>
    <w:rsid w:val="00260DBE"/>
    <w:rsid w:val="00261781"/>
    <w:rsid w:val="0026548C"/>
    <w:rsid w:val="00266207"/>
    <w:rsid w:val="0027370C"/>
    <w:rsid w:val="0028138A"/>
    <w:rsid w:val="002815CF"/>
    <w:rsid w:val="00290C80"/>
    <w:rsid w:val="002937AC"/>
    <w:rsid w:val="00293923"/>
    <w:rsid w:val="002A28B4"/>
    <w:rsid w:val="002A2B8C"/>
    <w:rsid w:val="002A35CF"/>
    <w:rsid w:val="002A475D"/>
    <w:rsid w:val="002B467C"/>
    <w:rsid w:val="002D4D48"/>
    <w:rsid w:val="002F7CFE"/>
    <w:rsid w:val="00306C23"/>
    <w:rsid w:val="00310B7E"/>
    <w:rsid w:val="00324011"/>
    <w:rsid w:val="00335146"/>
    <w:rsid w:val="00340DD9"/>
    <w:rsid w:val="00346F7D"/>
    <w:rsid w:val="003560E4"/>
    <w:rsid w:val="00360E17"/>
    <w:rsid w:val="0036209C"/>
    <w:rsid w:val="003632E3"/>
    <w:rsid w:val="003823A4"/>
    <w:rsid w:val="00383021"/>
    <w:rsid w:val="00385DFB"/>
    <w:rsid w:val="003930E4"/>
    <w:rsid w:val="003A5190"/>
    <w:rsid w:val="003B19DF"/>
    <w:rsid w:val="003B240E"/>
    <w:rsid w:val="003B7876"/>
    <w:rsid w:val="003C0212"/>
    <w:rsid w:val="003D13EF"/>
    <w:rsid w:val="003E39DC"/>
    <w:rsid w:val="003E3B3A"/>
    <w:rsid w:val="003E47E4"/>
    <w:rsid w:val="00401084"/>
    <w:rsid w:val="00407A17"/>
    <w:rsid w:val="00407EF0"/>
    <w:rsid w:val="00412F2B"/>
    <w:rsid w:val="004178B3"/>
    <w:rsid w:val="00417F01"/>
    <w:rsid w:val="00430F12"/>
    <w:rsid w:val="00434E9A"/>
    <w:rsid w:val="004662AB"/>
    <w:rsid w:val="00475555"/>
    <w:rsid w:val="00480185"/>
    <w:rsid w:val="0048642E"/>
    <w:rsid w:val="004B484F"/>
    <w:rsid w:val="004B539A"/>
    <w:rsid w:val="004C731C"/>
    <w:rsid w:val="004D65A5"/>
    <w:rsid w:val="004E036B"/>
    <w:rsid w:val="004E7B2B"/>
    <w:rsid w:val="004F48DD"/>
    <w:rsid w:val="004F6AF2"/>
    <w:rsid w:val="00506DFA"/>
    <w:rsid w:val="00511863"/>
    <w:rsid w:val="0052654A"/>
    <w:rsid w:val="00526795"/>
    <w:rsid w:val="00541FBB"/>
    <w:rsid w:val="0056228C"/>
    <w:rsid w:val="005649D2"/>
    <w:rsid w:val="0058102D"/>
    <w:rsid w:val="00583731"/>
    <w:rsid w:val="00587712"/>
    <w:rsid w:val="0059110B"/>
    <w:rsid w:val="005934B4"/>
    <w:rsid w:val="005A67CA"/>
    <w:rsid w:val="005A6AAA"/>
    <w:rsid w:val="005B0A47"/>
    <w:rsid w:val="005B184F"/>
    <w:rsid w:val="005B77E0"/>
    <w:rsid w:val="005C14A7"/>
    <w:rsid w:val="005D49FE"/>
    <w:rsid w:val="005E1F63"/>
    <w:rsid w:val="005E3ECC"/>
    <w:rsid w:val="006039CC"/>
    <w:rsid w:val="00626BBF"/>
    <w:rsid w:val="0064273E"/>
    <w:rsid w:val="00643879"/>
    <w:rsid w:val="00643CC4"/>
    <w:rsid w:val="006460B8"/>
    <w:rsid w:val="00651B50"/>
    <w:rsid w:val="0066113B"/>
    <w:rsid w:val="00662E0E"/>
    <w:rsid w:val="00670F4E"/>
    <w:rsid w:val="00677835"/>
    <w:rsid w:val="00680388"/>
    <w:rsid w:val="00680F9F"/>
    <w:rsid w:val="0068187E"/>
    <w:rsid w:val="00696410"/>
    <w:rsid w:val="006A3884"/>
    <w:rsid w:val="006B5FC6"/>
    <w:rsid w:val="006C52D9"/>
    <w:rsid w:val="006D00B0"/>
    <w:rsid w:val="006D1CF3"/>
    <w:rsid w:val="006E54D3"/>
    <w:rsid w:val="006E62A6"/>
    <w:rsid w:val="006F3E04"/>
    <w:rsid w:val="007029C6"/>
    <w:rsid w:val="007114CE"/>
    <w:rsid w:val="00717237"/>
    <w:rsid w:val="00720EA2"/>
    <w:rsid w:val="00746E00"/>
    <w:rsid w:val="00754BBF"/>
    <w:rsid w:val="00763861"/>
    <w:rsid w:val="00766D19"/>
    <w:rsid w:val="00771BCD"/>
    <w:rsid w:val="00797229"/>
    <w:rsid w:val="007A65FC"/>
    <w:rsid w:val="007B020C"/>
    <w:rsid w:val="007B25AE"/>
    <w:rsid w:val="007B523A"/>
    <w:rsid w:val="007C61E6"/>
    <w:rsid w:val="007F066A"/>
    <w:rsid w:val="007F6BE6"/>
    <w:rsid w:val="0080248A"/>
    <w:rsid w:val="00804F58"/>
    <w:rsid w:val="00804FFE"/>
    <w:rsid w:val="00806316"/>
    <w:rsid w:val="008073B1"/>
    <w:rsid w:val="008108DD"/>
    <w:rsid w:val="0081192E"/>
    <w:rsid w:val="008559F3"/>
    <w:rsid w:val="00856CA3"/>
    <w:rsid w:val="00865BC1"/>
    <w:rsid w:val="0087496A"/>
    <w:rsid w:val="00890EEE"/>
    <w:rsid w:val="008935F6"/>
    <w:rsid w:val="00896C16"/>
    <w:rsid w:val="008A4CF6"/>
    <w:rsid w:val="008A5FD8"/>
    <w:rsid w:val="008C3112"/>
    <w:rsid w:val="008C42EF"/>
    <w:rsid w:val="008C6BD5"/>
    <w:rsid w:val="008D02C3"/>
    <w:rsid w:val="008D774B"/>
    <w:rsid w:val="008E3DE9"/>
    <w:rsid w:val="008E6EEE"/>
    <w:rsid w:val="008F0C05"/>
    <w:rsid w:val="00905449"/>
    <w:rsid w:val="009107ED"/>
    <w:rsid w:val="009108D5"/>
    <w:rsid w:val="009138BF"/>
    <w:rsid w:val="00931D1C"/>
    <w:rsid w:val="00935EBD"/>
    <w:rsid w:val="0093679E"/>
    <w:rsid w:val="00941C04"/>
    <w:rsid w:val="00943DE7"/>
    <w:rsid w:val="009739C8"/>
    <w:rsid w:val="00982157"/>
    <w:rsid w:val="009831C3"/>
    <w:rsid w:val="00993CC3"/>
    <w:rsid w:val="009B1280"/>
    <w:rsid w:val="009C2DB5"/>
    <w:rsid w:val="009C5B0E"/>
    <w:rsid w:val="009D1FAD"/>
    <w:rsid w:val="009D5430"/>
    <w:rsid w:val="009F5A91"/>
    <w:rsid w:val="009F703C"/>
    <w:rsid w:val="00A016EE"/>
    <w:rsid w:val="00A1057C"/>
    <w:rsid w:val="00A119B4"/>
    <w:rsid w:val="00A12C29"/>
    <w:rsid w:val="00A16172"/>
    <w:rsid w:val="00A1687D"/>
    <w:rsid w:val="00A170A2"/>
    <w:rsid w:val="00A423D3"/>
    <w:rsid w:val="00A52147"/>
    <w:rsid w:val="00A534B8"/>
    <w:rsid w:val="00A54063"/>
    <w:rsid w:val="00A5409F"/>
    <w:rsid w:val="00A57460"/>
    <w:rsid w:val="00A63054"/>
    <w:rsid w:val="00A71A61"/>
    <w:rsid w:val="00A936D9"/>
    <w:rsid w:val="00AA13A1"/>
    <w:rsid w:val="00AB03D6"/>
    <w:rsid w:val="00AB099B"/>
    <w:rsid w:val="00AB1340"/>
    <w:rsid w:val="00AB2F2E"/>
    <w:rsid w:val="00AB5C9E"/>
    <w:rsid w:val="00AC13C5"/>
    <w:rsid w:val="00AC5F99"/>
    <w:rsid w:val="00AD3C8E"/>
    <w:rsid w:val="00B176A3"/>
    <w:rsid w:val="00B179BA"/>
    <w:rsid w:val="00B2036D"/>
    <w:rsid w:val="00B23F99"/>
    <w:rsid w:val="00B26C50"/>
    <w:rsid w:val="00B37D1D"/>
    <w:rsid w:val="00B46033"/>
    <w:rsid w:val="00B6356C"/>
    <w:rsid w:val="00B65452"/>
    <w:rsid w:val="00B72931"/>
    <w:rsid w:val="00B80AAD"/>
    <w:rsid w:val="00B90BC7"/>
    <w:rsid w:val="00BA7230"/>
    <w:rsid w:val="00BA7AAB"/>
    <w:rsid w:val="00BB2C75"/>
    <w:rsid w:val="00BC0A53"/>
    <w:rsid w:val="00BC71FD"/>
    <w:rsid w:val="00BC7849"/>
    <w:rsid w:val="00BF35D4"/>
    <w:rsid w:val="00BF732E"/>
    <w:rsid w:val="00C1097D"/>
    <w:rsid w:val="00C10A5C"/>
    <w:rsid w:val="00C17204"/>
    <w:rsid w:val="00C26AC8"/>
    <w:rsid w:val="00C436AB"/>
    <w:rsid w:val="00C5004E"/>
    <w:rsid w:val="00C6043E"/>
    <w:rsid w:val="00C62B29"/>
    <w:rsid w:val="00C664FC"/>
    <w:rsid w:val="00C671F4"/>
    <w:rsid w:val="00C70224"/>
    <w:rsid w:val="00C7209F"/>
    <w:rsid w:val="00CA0226"/>
    <w:rsid w:val="00CA46CC"/>
    <w:rsid w:val="00CA5DDE"/>
    <w:rsid w:val="00CB2145"/>
    <w:rsid w:val="00CB6275"/>
    <w:rsid w:val="00CB66B0"/>
    <w:rsid w:val="00CB7840"/>
    <w:rsid w:val="00CD6723"/>
    <w:rsid w:val="00CF541F"/>
    <w:rsid w:val="00CF73E9"/>
    <w:rsid w:val="00CF7E27"/>
    <w:rsid w:val="00D06247"/>
    <w:rsid w:val="00D136E3"/>
    <w:rsid w:val="00D15A52"/>
    <w:rsid w:val="00D26F86"/>
    <w:rsid w:val="00D31E35"/>
    <w:rsid w:val="00D41B29"/>
    <w:rsid w:val="00D558DC"/>
    <w:rsid w:val="00D56F8D"/>
    <w:rsid w:val="00D61CE0"/>
    <w:rsid w:val="00D678DB"/>
    <w:rsid w:val="00D747AB"/>
    <w:rsid w:val="00D8378B"/>
    <w:rsid w:val="00D963BE"/>
    <w:rsid w:val="00D967F3"/>
    <w:rsid w:val="00DA1B0D"/>
    <w:rsid w:val="00DC74E1"/>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41FC"/>
    <w:rsid w:val="00E66CA0"/>
    <w:rsid w:val="00E75B3A"/>
    <w:rsid w:val="00E77B90"/>
    <w:rsid w:val="00E836F5"/>
    <w:rsid w:val="00E94927"/>
    <w:rsid w:val="00EA69C9"/>
    <w:rsid w:val="00EB4DE5"/>
    <w:rsid w:val="00EB4E48"/>
    <w:rsid w:val="00EC045A"/>
    <w:rsid w:val="00EE5947"/>
    <w:rsid w:val="00EF0F99"/>
    <w:rsid w:val="00EF5E96"/>
    <w:rsid w:val="00F142B0"/>
    <w:rsid w:val="00F14D7F"/>
    <w:rsid w:val="00F20AC8"/>
    <w:rsid w:val="00F22A1A"/>
    <w:rsid w:val="00F26113"/>
    <w:rsid w:val="00F3454B"/>
    <w:rsid w:val="00F522E3"/>
    <w:rsid w:val="00F66145"/>
    <w:rsid w:val="00F67719"/>
    <w:rsid w:val="00F74837"/>
    <w:rsid w:val="00F81980"/>
    <w:rsid w:val="00F83A0D"/>
    <w:rsid w:val="00FA3555"/>
    <w:rsid w:val="00FA606B"/>
    <w:rsid w:val="00FC59E1"/>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D80E"/>
  <w15:chartTrackingRefBased/>
  <w15:docId w15:val="{A284108D-1C7C-4121-A55D-59DACA0C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937A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937A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937A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937A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2937A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2937A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937AC"/>
    <w:pPr>
      <w:keepNext/>
      <w:spacing w:after="200" w:line="240" w:lineRule="auto"/>
    </w:pPr>
    <w:rPr>
      <w:b/>
      <w:iCs/>
      <w:szCs w:val="18"/>
    </w:rPr>
  </w:style>
  <w:style w:type="table" w:customStyle="1" w:styleId="Tableheader">
    <w:name w:val="ŠTable header"/>
    <w:basedOn w:val="TableNormal"/>
    <w:uiPriority w:val="99"/>
    <w:rsid w:val="002937A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9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937AC"/>
    <w:pPr>
      <w:numPr>
        <w:numId w:val="22"/>
      </w:numPr>
    </w:pPr>
  </w:style>
  <w:style w:type="paragraph" w:styleId="ListNumber2">
    <w:name w:val="List Number 2"/>
    <w:aliases w:val="ŠList Number 2"/>
    <w:basedOn w:val="Normal"/>
    <w:uiPriority w:val="9"/>
    <w:qFormat/>
    <w:rsid w:val="002937AC"/>
    <w:pPr>
      <w:numPr>
        <w:numId w:val="21"/>
      </w:numPr>
    </w:pPr>
  </w:style>
  <w:style w:type="paragraph" w:styleId="ListBullet">
    <w:name w:val="List Bullet"/>
    <w:aliases w:val="ŠList Bullet"/>
    <w:basedOn w:val="Normal"/>
    <w:uiPriority w:val="10"/>
    <w:qFormat/>
    <w:rsid w:val="002937AC"/>
    <w:pPr>
      <w:numPr>
        <w:numId w:val="20"/>
      </w:numPr>
    </w:pPr>
  </w:style>
  <w:style w:type="paragraph" w:styleId="ListBullet2">
    <w:name w:val="List Bullet 2"/>
    <w:aliases w:val="ŠList Bullet 2"/>
    <w:basedOn w:val="Normal"/>
    <w:uiPriority w:val="11"/>
    <w:qFormat/>
    <w:rsid w:val="002937AC"/>
    <w:pPr>
      <w:numPr>
        <w:numId w:val="19"/>
      </w:numPr>
      <w:contextualSpacing/>
    </w:pPr>
  </w:style>
  <w:style w:type="character" w:styleId="SubtleReference">
    <w:name w:val="Subtle Reference"/>
    <w:aliases w:val="ŠSubtle Reference"/>
    <w:uiPriority w:val="31"/>
    <w:qFormat/>
    <w:rsid w:val="002937AC"/>
    <w:rPr>
      <w:rFonts w:ascii="Arial" w:hAnsi="Arial"/>
      <w:sz w:val="22"/>
    </w:rPr>
  </w:style>
  <w:style w:type="paragraph" w:styleId="Quote">
    <w:name w:val="Quote"/>
    <w:aliases w:val="ŠQuote"/>
    <w:basedOn w:val="Normal"/>
    <w:next w:val="Normal"/>
    <w:link w:val="QuoteChar"/>
    <w:uiPriority w:val="29"/>
    <w:qFormat/>
    <w:rsid w:val="002937AC"/>
    <w:pPr>
      <w:keepNext/>
      <w:spacing w:before="200" w:after="200" w:line="240" w:lineRule="atLeast"/>
      <w:ind w:left="567" w:right="567"/>
    </w:pPr>
  </w:style>
  <w:style w:type="paragraph" w:styleId="Date">
    <w:name w:val="Date"/>
    <w:aliases w:val="ŠDate"/>
    <w:basedOn w:val="Normal"/>
    <w:next w:val="Normal"/>
    <w:link w:val="DateChar"/>
    <w:uiPriority w:val="99"/>
    <w:rsid w:val="002937AC"/>
    <w:pPr>
      <w:spacing w:before="0" w:after="0" w:line="720" w:lineRule="atLeast"/>
    </w:pPr>
  </w:style>
  <w:style w:type="character" w:customStyle="1" w:styleId="DateChar">
    <w:name w:val="Date Char"/>
    <w:aliases w:val="ŠDate Char"/>
    <w:basedOn w:val="DefaultParagraphFont"/>
    <w:link w:val="Date"/>
    <w:uiPriority w:val="99"/>
    <w:rsid w:val="002937AC"/>
    <w:rPr>
      <w:rFonts w:ascii="Arial" w:hAnsi="Arial" w:cs="Arial"/>
      <w:sz w:val="24"/>
      <w:szCs w:val="24"/>
    </w:rPr>
  </w:style>
  <w:style w:type="paragraph" w:styleId="Signature">
    <w:name w:val="Signature"/>
    <w:aliases w:val="ŠSignature"/>
    <w:basedOn w:val="Normal"/>
    <w:link w:val="SignatureChar"/>
    <w:uiPriority w:val="99"/>
    <w:rsid w:val="002937AC"/>
    <w:pPr>
      <w:spacing w:before="0" w:after="0" w:line="720" w:lineRule="atLeast"/>
    </w:pPr>
  </w:style>
  <w:style w:type="character" w:customStyle="1" w:styleId="SignatureChar">
    <w:name w:val="Signature Char"/>
    <w:aliases w:val="ŠSignature Char"/>
    <w:basedOn w:val="DefaultParagraphFont"/>
    <w:link w:val="Signature"/>
    <w:uiPriority w:val="99"/>
    <w:rsid w:val="002937AC"/>
    <w:rPr>
      <w:rFonts w:ascii="Arial" w:hAnsi="Arial" w:cs="Arial"/>
      <w:sz w:val="24"/>
      <w:szCs w:val="24"/>
    </w:rPr>
  </w:style>
  <w:style w:type="character" w:styleId="Strong">
    <w:name w:val="Strong"/>
    <w:aliases w:val="ŠStrong,ŠStrong bold,ŠStrong emphasis"/>
    <w:uiPriority w:val="22"/>
    <w:qFormat/>
    <w:rsid w:val="002937AC"/>
    <w:rPr>
      <w:b/>
    </w:rPr>
  </w:style>
  <w:style w:type="character" w:customStyle="1" w:styleId="QuoteChar">
    <w:name w:val="Quote Char"/>
    <w:aliases w:val="ŠQuote Char"/>
    <w:basedOn w:val="DefaultParagraphFont"/>
    <w:link w:val="Quote"/>
    <w:uiPriority w:val="29"/>
    <w:rsid w:val="002937AC"/>
    <w:rPr>
      <w:rFonts w:ascii="Arial" w:hAnsi="Arial" w:cs="Arial"/>
      <w:sz w:val="24"/>
      <w:szCs w:val="24"/>
    </w:rPr>
  </w:style>
  <w:style w:type="paragraph" w:customStyle="1" w:styleId="FeatureBox2">
    <w:name w:val="ŠFeature Box 2"/>
    <w:aliases w:val="Feature Box 2"/>
    <w:basedOn w:val="Normal"/>
    <w:next w:val="Normal"/>
    <w:qFormat/>
    <w:rsid w:val="002937A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2937A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937A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937A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937A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937AC"/>
    <w:rPr>
      <w:color w:val="2F5496" w:themeColor="accent1" w:themeShade="BF"/>
      <w:u w:val="single"/>
    </w:rPr>
  </w:style>
  <w:style w:type="paragraph" w:customStyle="1" w:styleId="Logo">
    <w:name w:val="ŠLogo"/>
    <w:basedOn w:val="Normal"/>
    <w:uiPriority w:val="22"/>
    <w:qFormat/>
    <w:rsid w:val="002937A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937AC"/>
    <w:pPr>
      <w:tabs>
        <w:tab w:val="right" w:leader="dot" w:pos="14570"/>
      </w:tabs>
      <w:spacing w:before="0" w:after="0"/>
    </w:pPr>
    <w:rPr>
      <w:b/>
      <w:noProof/>
    </w:rPr>
  </w:style>
  <w:style w:type="paragraph" w:styleId="TOC2">
    <w:name w:val="toc 2"/>
    <w:aliases w:val="ŠTOC 2"/>
    <w:basedOn w:val="Normal"/>
    <w:next w:val="Normal"/>
    <w:uiPriority w:val="39"/>
    <w:unhideWhenUsed/>
    <w:rsid w:val="002937AC"/>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2937AC"/>
    <w:pPr>
      <w:spacing w:before="0" w:after="0"/>
      <w:ind w:left="482"/>
    </w:pPr>
  </w:style>
  <w:style w:type="paragraph" w:styleId="Title">
    <w:name w:val="Title"/>
    <w:aliases w:val="ŠTitle"/>
    <w:basedOn w:val="Normal"/>
    <w:next w:val="Normal"/>
    <w:link w:val="TitleChar"/>
    <w:uiPriority w:val="2"/>
    <w:qFormat/>
    <w:rsid w:val="002937A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937A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937A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937A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2937AC"/>
    <w:pPr>
      <w:outlineLvl w:val="9"/>
    </w:pPr>
    <w:rPr>
      <w:sz w:val="40"/>
      <w:szCs w:val="40"/>
    </w:rPr>
  </w:style>
  <w:style w:type="paragraph" w:styleId="Footer">
    <w:name w:val="footer"/>
    <w:aliases w:val="ŠFooter"/>
    <w:basedOn w:val="Normal"/>
    <w:link w:val="FooterChar"/>
    <w:uiPriority w:val="99"/>
    <w:rsid w:val="002937A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2937AC"/>
    <w:rPr>
      <w:rFonts w:ascii="Arial" w:hAnsi="Arial" w:cs="Arial"/>
      <w:sz w:val="18"/>
      <w:szCs w:val="18"/>
    </w:rPr>
  </w:style>
  <w:style w:type="paragraph" w:styleId="Header">
    <w:name w:val="header"/>
    <w:aliases w:val="ŠHeader"/>
    <w:basedOn w:val="Normal"/>
    <w:link w:val="HeaderChar"/>
    <w:uiPriority w:val="24"/>
    <w:unhideWhenUsed/>
    <w:rsid w:val="002937A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2937A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937A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2937A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2937AC"/>
    <w:rPr>
      <w:rFonts w:ascii="Arial" w:hAnsi="Arial" w:cs="Arial"/>
      <w:color w:val="002664"/>
      <w:sz w:val="32"/>
      <w:szCs w:val="32"/>
    </w:rPr>
  </w:style>
  <w:style w:type="character" w:styleId="UnresolvedMention">
    <w:name w:val="Unresolved Mention"/>
    <w:basedOn w:val="DefaultParagraphFont"/>
    <w:uiPriority w:val="99"/>
    <w:semiHidden/>
    <w:unhideWhenUsed/>
    <w:rsid w:val="002937AC"/>
    <w:rPr>
      <w:color w:val="605E5C"/>
      <w:shd w:val="clear" w:color="auto" w:fill="E1DFDD"/>
    </w:rPr>
  </w:style>
  <w:style w:type="character" w:styleId="Emphasis">
    <w:name w:val="Emphasis"/>
    <w:aliases w:val="ŠLanguage or scientific"/>
    <w:uiPriority w:val="20"/>
    <w:qFormat/>
    <w:rsid w:val="002937AC"/>
    <w:rPr>
      <w:i/>
      <w:iCs/>
    </w:rPr>
  </w:style>
  <w:style w:type="character" w:styleId="SubtleEmphasis">
    <w:name w:val="Subtle Emphasis"/>
    <w:basedOn w:val="DefaultParagraphFont"/>
    <w:uiPriority w:val="19"/>
    <w:semiHidden/>
    <w:qFormat/>
    <w:rsid w:val="002937AC"/>
    <w:rPr>
      <w:i/>
      <w:iCs/>
      <w:color w:val="404040" w:themeColor="text1" w:themeTint="BF"/>
    </w:rPr>
  </w:style>
  <w:style w:type="paragraph" w:styleId="TOC4">
    <w:name w:val="toc 4"/>
    <w:aliases w:val="ŠTOC 4"/>
    <w:basedOn w:val="Normal"/>
    <w:next w:val="Normal"/>
    <w:autoRedefine/>
    <w:uiPriority w:val="39"/>
    <w:unhideWhenUsed/>
    <w:rsid w:val="002937AC"/>
    <w:pPr>
      <w:spacing w:before="0" w:after="0"/>
      <w:ind w:left="720"/>
    </w:pPr>
  </w:style>
  <w:style w:type="character" w:styleId="CommentReference">
    <w:name w:val="annotation reference"/>
    <w:basedOn w:val="DefaultParagraphFont"/>
    <w:uiPriority w:val="99"/>
    <w:semiHidden/>
    <w:unhideWhenUsed/>
    <w:rsid w:val="002937AC"/>
    <w:rPr>
      <w:sz w:val="16"/>
      <w:szCs w:val="16"/>
    </w:rPr>
  </w:style>
  <w:style w:type="paragraph" w:styleId="CommentText">
    <w:name w:val="annotation text"/>
    <w:basedOn w:val="Normal"/>
    <w:link w:val="CommentTextChar"/>
    <w:uiPriority w:val="99"/>
    <w:unhideWhenUsed/>
    <w:rsid w:val="002937AC"/>
    <w:pPr>
      <w:spacing w:line="240" w:lineRule="auto"/>
    </w:pPr>
    <w:rPr>
      <w:sz w:val="20"/>
      <w:szCs w:val="20"/>
    </w:rPr>
  </w:style>
  <w:style w:type="character" w:customStyle="1" w:styleId="CommentTextChar">
    <w:name w:val="Comment Text Char"/>
    <w:basedOn w:val="DefaultParagraphFont"/>
    <w:link w:val="CommentText"/>
    <w:uiPriority w:val="99"/>
    <w:rsid w:val="002937A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37AC"/>
    <w:rPr>
      <w:b/>
      <w:bCs/>
    </w:rPr>
  </w:style>
  <w:style w:type="character" w:customStyle="1" w:styleId="CommentSubjectChar">
    <w:name w:val="Comment Subject Char"/>
    <w:basedOn w:val="CommentTextChar"/>
    <w:link w:val="CommentSubject"/>
    <w:uiPriority w:val="99"/>
    <w:semiHidden/>
    <w:rsid w:val="002937AC"/>
    <w:rPr>
      <w:rFonts w:ascii="Arial" w:hAnsi="Arial" w:cs="Arial"/>
      <w:b/>
      <w:bCs/>
      <w:sz w:val="20"/>
      <w:szCs w:val="20"/>
    </w:rPr>
  </w:style>
  <w:style w:type="paragraph" w:styleId="ListParagraph">
    <w:name w:val="List Paragraph"/>
    <w:basedOn w:val="Normal"/>
    <w:uiPriority w:val="34"/>
    <w:unhideWhenUsed/>
    <w:qFormat/>
    <w:rsid w:val="002937AC"/>
    <w:pPr>
      <w:ind w:left="720"/>
      <w:contextualSpacing/>
    </w:pPr>
  </w:style>
  <w:style w:type="paragraph" w:styleId="Revision">
    <w:name w:val="Revision"/>
    <w:hidden/>
    <w:uiPriority w:val="99"/>
    <w:semiHidden/>
    <w:rsid w:val="006039CC"/>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293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9" TargetMode="External"/><Relationship Id="rId21" Type="http://schemas.openxmlformats.org/officeDocument/2006/relationships/hyperlink" Target="https://app.education.nsw.gov.au/digital-learning-selector/LearningActivity/Card/575" TargetMode="External"/><Relationship Id="rId42" Type="http://schemas.openxmlformats.org/officeDocument/2006/relationships/hyperlink" Target="https://education.nsw.gov.au/teaching-and-learning/high-potential-and-gifted-education/supporting-educators/assess-and-identify" TargetMode="External"/><Relationship Id="rId47" Type="http://schemas.openxmlformats.org/officeDocument/2006/relationships/hyperlink" Target="https://education.nsw.gov.au/teaching-and-learning/curriculum/statewide-staffroom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investment.nsw.gov.au/living-working-and-business/nsw-industry-development-framework/" TargetMode="External"/><Relationship Id="rId29" Type="http://schemas.openxmlformats.org/officeDocument/2006/relationships/hyperlink" Target="https://app.education.nsw.gov.au/digital-learning-selector/LearningActivity/Card/562" TargetMode="External"/><Relationship Id="rId11" Type="http://schemas.openxmlformats.org/officeDocument/2006/relationships/hyperlink" Target="https://forms.office.com/Pages/ResponsePage.aspx?id=muagBYpBwUecJZOHJhv5kbKo2q_ZUXlHndJMnh2Wd8NUOUk0VTIzUDVVSlVFQVM5MkdOMkJGTjVKNCQlQCN0PWcu" TargetMode="External"/><Relationship Id="rId24" Type="http://schemas.openxmlformats.org/officeDocument/2006/relationships/hyperlink" Target="https://app.education.nsw.gov.au/digital-learning-selector/LearningTool/Card/587" TargetMode="External"/><Relationship Id="rId32" Type="http://schemas.openxmlformats.org/officeDocument/2006/relationships/hyperlink" Target="https://education.nsw.gov.au/teaching-and-learning/professional-learning/teacher-quality-and-accreditation/strong-start-great-teachers/refining-practice/differentiating-learning" TargetMode="External"/><Relationship Id="rId37" Type="http://schemas.openxmlformats.org/officeDocument/2006/relationships/hyperlink" Target="https://education.nsw.gov.au/teaching-and-learning/curriculum/multicultural-education/english-as-an-additional-language-or-dialect/planning-eald-support/english-language-proficiency" TargetMode="External"/><Relationship Id="rId40" Type="http://schemas.openxmlformats.org/officeDocument/2006/relationships/hyperlink" Target="https://education.nsw.gov.au/teaching-and-learning/learning-from-home/teaching-at-home/teaching-and-learning-resources/universal-design-for-learning" TargetMode="External"/><Relationship Id="rId45" Type="http://schemas.openxmlformats.org/officeDocument/2006/relationships/hyperlink" Target="https://schoolsnsw.sharepoint.com/sites/HPGEHub/SitePages/Home.aspx" TargetMode="External"/><Relationship Id="rId53" Type="http://schemas.openxmlformats.org/officeDocument/2006/relationships/hyperlink" Target="https://www.investment.nsw.gov.au/living-working-and-business/nsw-industry-development-framework/" TargetMode="External"/><Relationship Id="rId58" Type="http://schemas.openxmlformats.org/officeDocument/2006/relationships/hyperlink" Target="https://education.nsw.gov.au/about-us/educational-data/cese/publications/practical-guides-for-educators-/what-works-best-in-practice"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weforum.org/agenda/2019/01/why-companies-should-strive-for-industry-4-0/" TargetMode="External"/><Relationship Id="rId19" Type="http://schemas.openxmlformats.org/officeDocument/2006/relationships/hyperlink" Target="https://app.education.nsw.gov.au/digital-learning-selector/LearningActivity/Card/622" TargetMode="External"/><Relationship Id="rId14" Type="http://schemas.openxmlformats.org/officeDocument/2006/relationships/hyperlink" Target="https://www.weforum.org/agenda/2019/01/why-companies-should-strive-for-industry-4-0/" TargetMode="External"/><Relationship Id="rId22" Type="http://schemas.openxmlformats.org/officeDocument/2006/relationships/hyperlink" Target="https://app.education.nsw.gov.au/digital-learning-selector/LearningActivity/Card/557" TargetMode="External"/><Relationship Id="rId27" Type="http://schemas.openxmlformats.org/officeDocument/2006/relationships/hyperlink" Target="https://app.education.nsw.gov.au/digital-learning-selector/LearningActivity/Browser?cache_id=1d29b" TargetMode="External"/><Relationship Id="rId30" Type="http://schemas.openxmlformats.org/officeDocument/2006/relationships/hyperlink" Target="https://app.education.nsw.gov.au/digital-learning-selector/LearningActivity/Card/583" TargetMode="External"/><Relationship Id="rId35" Type="http://schemas.openxmlformats.org/officeDocument/2006/relationships/hyperlink" Target="https://education.nsw.gov.au/teaching-and-learning/curriculum/literacy-and-numeracy/resources-for-schools/eald/enhanced-teaching-and-learning-cycle" TargetMode="External"/><Relationship Id="rId43" Type="http://schemas.openxmlformats.org/officeDocument/2006/relationships/hyperlink" Target="https://education.nsw.gov.au/teaching-and-learning/high-potential-and-gifted-education/supporting-educators/evaluate" TargetMode="External"/><Relationship Id="rId48" Type="http://schemas.openxmlformats.org/officeDocument/2006/relationships/hyperlink" Target="https://education.nsw.gov.au/teaching-and-learning/learning-from-home/teaching-at-home/teaching-and-learning-resources/universal-design-for-learning" TargetMode="External"/><Relationship Id="rId56" Type="http://schemas.openxmlformats.org/officeDocument/2006/relationships/hyperlink" Target="https://education.nsw.gov.au/about-us/strategies-and-reports/rural-and-remote-education-strategy-2021-24" TargetMode="External"/><Relationship Id="rId64" Type="http://schemas.openxmlformats.org/officeDocument/2006/relationships/footer" Target="footer2.xml"/><Relationship Id="rId69"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www.dese.gov.au/education-ministers-meeting/resources/national-stem-school-education-strategy" TargetMode="External"/><Relationship Id="rId3" Type="http://schemas.openxmlformats.org/officeDocument/2006/relationships/styles" Target="styles.xml"/><Relationship Id="rId12" Type="http://schemas.openxmlformats.org/officeDocument/2006/relationships/hyperlink" Target="https://www.pwc.com.au/publications/a-smart-move.html" TargetMode="External"/><Relationship Id="rId17" Type="http://schemas.openxmlformats.org/officeDocument/2006/relationships/hyperlink" Target="https://education.nsw.gov.au/about-us/strategies-and-reports/rural-and-remote-education-strategy-2021-24" TargetMode="External"/><Relationship Id="rId25" Type="http://schemas.openxmlformats.org/officeDocument/2006/relationships/hyperlink" Target="https://www.aitsl.edu.au/teach/improve-practice/feedback"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https://education.nsw.gov.au/teaching-and-learning/curriculum/literacy-and-numeracy/resources-for-schools/eald" TargetMode="External"/><Relationship Id="rId46" Type="http://schemas.openxmlformats.org/officeDocument/2006/relationships/hyperlink" Target="mailto:secondaryteachingandlearning@det.nsw.edu.au" TargetMode="External"/><Relationship Id="rId59" Type="http://schemas.openxmlformats.org/officeDocument/2006/relationships/hyperlink" Target="https://education.nsw.gov.au/policy-library/policies/pd-2005-0290" TargetMode="External"/><Relationship Id="rId67" Type="http://schemas.openxmlformats.org/officeDocument/2006/relationships/fontTable" Target="fontTable.xml"/><Relationship Id="rId20" Type="http://schemas.openxmlformats.org/officeDocument/2006/relationships/hyperlink" Target="https://app.education.nsw.gov.au/digital-learning-selector/LearningActivity/Card/543" TargetMode="External"/><Relationship Id="rId41" Type="http://schemas.openxmlformats.org/officeDocument/2006/relationships/hyperlink" Target="https://education.nsw.gov.au/campaigns/inclusive-practice-hub" TargetMode="External"/><Relationship Id="rId54" Type="http://schemas.openxmlformats.org/officeDocument/2006/relationships/hyperlink" Target="https://www.pwc.com.au/publications/a-smart-move.html" TargetMode="External"/><Relationship Id="rId62" Type="http://schemas.openxmlformats.org/officeDocument/2006/relationships/hyperlink" Target="https://www.researchgate.net/publication/258423377_Assessment_The_bridge_between_teaching_and_learning"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se.gov.au/education-ministers-meeting/resources/national-stem-school-education-strategy" TargetMode="External"/><Relationship Id="rId23" Type="http://schemas.openxmlformats.org/officeDocument/2006/relationships/hyperlink" Target="https://app.education.nsw.gov.au/digital-learning-selector/LearningTool/Card/621" TargetMode="External"/><Relationship Id="rId28" Type="http://schemas.openxmlformats.org/officeDocument/2006/relationships/hyperlink" Target="https://app.education.nsw.gov.au/digital-learning-selector/LearningActivity/Card/645" TargetMode="External"/><Relationship Id="rId36" Type="http://schemas.openxmlformats.org/officeDocument/2006/relationships/hyperlink" Target="https://education.nsw.gov.au/teaching-and-learning/curriculum/multicultural-education/english-as-an-additional-language-or-dialect/planning-eald-support/english-language-proficiency" TargetMode="External"/><Relationship Id="rId49" Type="http://schemas.openxmlformats.org/officeDocument/2006/relationships/hyperlink" Target="https://education.nsw.gov.au/about-us/copyright" TargetMode="External"/><Relationship Id="rId57" Type="http://schemas.openxmlformats.org/officeDocument/2006/relationships/hyperlink" Target="https://education.nsw.gov.au/about-us/educational-data/cese/publications/research-reports/what-works-best-2020-update" TargetMode="External"/><Relationship Id="rId10" Type="http://schemas.openxmlformats.org/officeDocument/2006/relationships/hyperlink" Target="https://education.nsw.gov.au/teaching-and-learning/professional-learning/teacher-quality-and-accreditation/strong-start-great-teachers/refining-practice/feedback-to-students" TargetMode="External"/><Relationship Id="rId31" Type="http://schemas.openxmlformats.org/officeDocument/2006/relationships/hyperlink" Target="https://app.education.nsw.gov.au/digital-learning-selector/LearningActivity/Card/564" TargetMode="External"/><Relationship Id="rId44" Type="http://schemas.openxmlformats.org/officeDocument/2006/relationships/hyperlink" Target="https://education.nsw.gov.au/teaching-and-learning/high-potential-and-gifted-education/supporting-educators/implement/differentiation-adjustment-strategies" TargetMode="External"/><Relationship Id="rId52" Type="http://schemas.openxmlformats.org/officeDocument/2006/relationships/hyperlink" Target="https://educationstandards.nsw.edu.au/wps/portal/nesa/teacher-accreditation/meeting-requirements/the-standards/proficient-teacher" TargetMode="External"/><Relationship Id="rId60" Type="http://schemas.openxmlformats.org/officeDocument/2006/relationships/hyperlink" Target="https://www.investment.nsw.gov.au/living-working-and-business/nsw-industry-development-framewor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assessment/approaches" TargetMode="External"/><Relationship Id="rId13" Type="http://schemas.openxmlformats.org/officeDocument/2006/relationships/hyperlink" Target="https://www.investment.nsw.gov.au/living-working-and-business/nsw-industry-development-framework/" TargetMode="External"/><Relationship Id="rId18" Type="http://schemas.openxmlformats.org/officeDocument/2006/relationships/hyperlink" Target="https://education.nsw.gov.au/policy-library/policies/pd-2004-0051" TargetMode="External"/><Relationship Id="rId39"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education.nsw.gov.au/teaching-and-learning/aec/aboriginal-education-in-nsw-public-schools" TargetMode="External"/><Relationship Id="rId50" Type="http://schemas.openxmlformats.org/officeDocument/2006/relationships/hyperlink" Target="https://www.aitsl.edu.au/teach/improve-practice/feedback" TargetMode="External"/><Relationship Id="rId55" Type="http://schemas.openxmlformats.org/officeDocument/2006/relationships/hyperlink" Target="https://education.nsw.gov.au/policy-library/policies/pd-2004-005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34B68-64F1-4316-AABE-E5EF43DFE5A0}">
  <ds:schemaRefs>
    <ds:schemaRef ds:uri="http://schemas.openxmlformats.org/officeDocument/2006/bibliography"/>
  </ds:schemaRefs>
</ds:datastoreItem>
</file>

<file path=customXml/itemProps2.xml><?xml version="1.0" encoding="utf-8"?>
<ds:datastoreItem xmlns:ds="http://schemas.openxmlformats.org/officeDocument/2006/customXml" ds:itemID="{B00A1940-877A-4A5D-9983-3533BDED6B47}"/>
</file>

<file path=customXml/itemProps3.xml><?xml version="1.0" encoding="utf-8"?>
<ds:datastoreItem xmlns:ds="http://schemas.openxmlformats.org/officeDocument/2006/customXml" ds:itemID="{D499A144-CA46-4647-A97A-779EC353FEAC}"/>
</file>

<file path=customXml/itemProps4.xml><?xml version="1.0" encoding="utf-8"?>
<ds:datastoreItem xmlns:ds="http://schemas.openxmlformats.org/officeDocument/2006/customXml" ds:itemID="{6DA41EAB-ACEF-494E-99AD-469A6F6F6AD2}"/>
</file>

<file path=docProps/app.xml><?xml version="1.0" encoding="utf-8"?>
<Properties xmlns="http://schemas.openxmlformats.org/officeDocument/2006/extended-properties" xmlns:vt="http://schemas.openxmlformats.org/officeDocument/2006/docPropsVTypes">
  <Template>Normal.dotm</Template>
  <TotalTime>0</TotalTime>
  <Pages>14</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DAE-iSTEM-assessment-advice</dc:title>
  <dc:subject/>
  <dc:creator>NSW Department of Education</dc:creator>
  <cp:keywords/>
  <dc:description/>
  <cp:lastModifiedBy>Taryn Ablott</cp:lastModifiedBy>
  <cp:revision>2</cp:revision>
  <dcterms:created xsi:type="dcterms:W3CDTF">2022-11-16T06:05:00Z</dcterms:created>
  <dcterms:modified xsi:type="dcterms:W3CDTF">2022-11-16T06:05:00Z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