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E2313" w14:textId="77777777" w:rsidR="003D22E3" w:rsidRDefault="000528D5" w:rsidP="00EC040B">
      <w:pPr>
        <w:pStyle w:val="Heading2"/>
      </w:pPr>
      <w:bookmarkStart w:id="0" w:name="_GoBack"/>
      <w:bookmarkEnd w:id="0"/>
      <w:r>
        <w:t xml:space="preserve">Strong and successful start to </w:t>
      </w:r>
      <w:r w:rsidR="00FD5497">
        <w:t>school</w:t>
      </w:r>
    </w:p>
    <w:p w14:paraId="14F472BC" w14:textId="33612249" w:rsidR="00FD5497" w:rsidRDefault="00FD5497" w:rsidP="00EC040B">
      <w:pPr>
        <w:pStyle w:val="Heading3"/>
        <w:rPr>
          <w:rStyle w:val="normaltextrun"/>
          <w:b/>
          <w:bCs/>
          <w:color w:val="002060"/>
          <w:sz w:val="36"/>
          <w:szCs w:val="36"/>
        </w:rPr>
      </w:pPr>
      <w:r>
        <w:rPr>
          <w:rStyle w:val="normaltextrun"/>
          <w:b/>
          <w:bCs/>
          <w:color w:val="002060"/>
          <w:sz w:val="36"/>
          <w:szCs w:val="36"/>
        </w:rPr>
        <w:t>Tailored transition support strategies for r</w:t>
      </w:r>
      <w:r w:rsidR="00EC040B">
        <w:rPr>
          <w:rStyle w:val="normaltextrun"/>
          <w:b/>
          <w:bCs/>
          <w:color w:val="002060"/>
          <w:sz w:val="36"/>
          <w:szCs w:val="36"/>
        </w:rPr>
        <w:t xml:space="preserve">efugee and </w:t>
      </w:r>
      <w:r w:rsidRPr="190E87D3">
        <w:rPr>
          <w:rStyle w:val="normaltextrun"/>
          <w:b/>
          <w:bCs/>
          <w:color w:val="002060"/>
          <w:sz w:val="36"/>
          <w:szCs w:val="36"/>
        </w:rPr>
        <w:t>newly arrived children, families and communities</w:t>
      </w:r>
    </w:p>
    <w:p w14:paraId="00E26041" w14:textId="1689B171" w:rsidR="006F3776" w:rsidRPr="00EC040B" w:rsidRDefault="00EC040B" w:rsidP="00EC040B">
      <w:pPr>
        <w:pStyle w:val="Heading4"/>
        <w:rPr>
          <w:rStyle w:val="normaltextrun"/>
        </w:rPr>
      </w:pPr>
      <w:r w:rsidRPr="00EC040B">
        <w:rPr>
          <w:rStyle w:val="normaltextrun"/>
        </w:rPr>
        <w:t xml:space="preserve">Strategies </w:t>
      </w:r>
    </w:p>
    <w:p w14:paraId="07935BCF" w14:textId="77777777" w:rsidR="00FD5497" w:rsidRDefault="00FD5497" w:rsidP="006F3776">
      <w:pPr>
        <w:pStyle w:val="ListBullet"/>
        <w:rPr>
          <w:lang w:eastAsia="zh-CN"/>
        </w:rPr>
      </w:pPr>
      <w:r w:rsidRPr="004B0240">
        <w:rPr>
          <w:lang w:eastAsia="en-AU"/>
        </w:rPr>
        <w:t>Processes, relationships and collaboration are in place to identify and connect with refugee children and families, including early collaboration with early childhood services.</w:t>
      </w:r>
    </w:p>
    <w:p w14:paraId="3B35BE89" w14:textId="5AD6C62F" w:rsidR="00FD5497" w:rsidRDefault="00757785" w:rsidP="00FD5497">
      <w:pPr>
        <w:pStyle w:val="ListBullet2"/>
        <w:rPr>
          <w:lang w:eastAsia="zh-CN"/>
        </w:rPr>
      </w:pPr>
      <w:hyperlink r:id="rId11" w:history="1">
        <w:r w:rsidR="00FD5497" w:rsidRPr="00FD5497">
          <w:rPr>
            <w:rStyle w:val="Hyperlink"/>
            <w:lang w:eastAsia="en-AU"/>
          </w:rPr>
          <w:t>Building</w:t>
        </w:r>
        <w:r w:rsidR="00FD5497" w:rsidRPr="00FD5497">
          <w:rPr>
            <w:rStyle w:val="Hyperlink"/>
            <w:rFonts w:eastAsia="Arial" w:cs="Arial"/>
          </w:rPr>
          <w:t xml:space="preserve"> belonging - a toolkit for early childhood educators on cultural diversity and responding to prejudice</w:t>
        </w:r>
      </w:hyperlink>
    </w:p>
    <w:p w14:paraId="17DB64CD" w14:textId="77777777" w:rsidR="00FD5497" w:rsidRDefault="00FD5497" w:rsidP="00FD5497">
      <w:pPr>
        <w:pStyle w:val="ListBullet"/>
        <w:rPr>
          <w:lang w:eastAsia="zh-CN"/>
        </w:rPr>
      </w:pPr>
      <w:r w:rsidRPr="004B0240">
        <w:rPr>
          <w:lang w:eastAsia="en-AU"/>
        </w:rPr>
        <w:t>Consultation with the local community organisation and feedback should be incorporated into planning. Who may need additional support to make a successful transition?</w:t>
      </w:r>
    </w:p>
    <w:p w14:paraId="56B6D228" w14:textId="58C661D1" w:rsidR="0011466E" w:rsidRPr="00CE2A92" w:rsidRDefault="00757785" w:rsidP="0011466E">
      <w:pPr>
        <w:pStyle w:val="ListBullet2"/>
        <w:rPr>
          <w:rStyle w:val="Hyperlink"/>
          <w:color w:val="auto"/>
          <w:u w:val="none"/>
          <w:lang w:eastAsia="zh-CN"/>
        </w:rPr>
      </w:pPr>
      <w:hyperlink r:id="rId12" w:history="1">
        <w:r w:rsidR="0011466E" w:rsidRPr="0011466E">
          <w:rPr>
            <w:rStyle w:val="Hyperlink"/>
            <w:lang w:eastAsia="zh-CN"/>
          </w:rPr>
          <w:t>New arrivals program (NAP)</w:t>
        </w:r>
      </w:hyperlink>
    </w:p>
    <w:p w14:paraId="7D1728E8" w14:textId="79254E54" w:rsidR="00CE2A92" w:rsidRDefault="00EC040B" w:rsidP="00EC040B">
      <w:pPr>
        <w:pStyle w:val="Heading5"/>
      </w:pPr>
      <w:r>
        <w:t xml:space="preserve">Reflective questions </w:t>
      </w:r>
    </w:p>
    <w:p w14:paraId="07346D54" w14:textId="16164D32" w:rsidR="00CE2A92" w:rsidRPr="003B3E79" w:rsidRDefault="00CE2A92" w:rsidP="00EC040B">
      <w:pPr>
        <w:pStyle w:val="ListBullet"/>
        <w:rPr>
          <w:lang w:eastAsia="zh-CN"/>
        </w:rPr>
      </w:pPr>
      <w:r w:rsidRPr="003B3E79">
        <w:rPr>
          <w:lang w:eastAsia="zh-CN"/>
        </w:rPr>
        <w:t>Do we know who to contact</w:t>
      </w:r>
      <w:r w:rsidR="003B3E79" w:rsidRPr="003B3E79">
        <w:rPr>
          <w:lang w:eastAsia="zh-CN"/>
        </w:rPr>
        <w:t xml:space="preserve"> in the community to support children and families?</w:t>
      </w:r>
    </w:p>
    <w:p w14:paraId="7FB385F0" w14:textId="3B831A2E" w:rsidR="003B3E79" w:rsidRDefault="003B3E79" w:rsidP="00EC040B">
      <w:pPr>
        <w:pStyle w:val="ListBullet"/>
        <w:rPr>
          <w:lang w:eastAsia="zh-CN"/>
        </w:rPr>
      </w:pPr>
      <w:r w:rsidRPr="003B3E79">
        <w:rPr>
          <w:lang w:eastAsia="zh-CN"/>
        </w:rPr>
        <w:t>Have we connected with local early childhood services?</w:t>
      </w:r>
    </w:p>
    <w:p w14:paraId="10BBF6C3" w14:textId="77777777" w:rsidR="00EC040B" w:rsidRPr="00EC040B" w:rsidRDefault="00EC040B" w:rsidP="00EC040B">
      <w:pPr>
        <w:pStyle w:val="Heading4"/>
        <w:rPr>
          <w:rStyle w:val="normaltextrun"/>
        </w:rPr>
      </w:pPr>
      <w:r w:rsidRPr="00EC040B">
        <w:rPr>
          <w:rStyle w:val="normaltextrun"/>
        </w:rPr>
        <w:t xml:space="preserve">Strategies </w:t>
      </w:r>
    </w:p>
    <w:p w14:paraId="3EA91F86" w14:textId="77777777" w:rsidR="0011466E" w:rsidRDefault="0011466E" w:rsidP="0011466E">
      <w:pPr>
        <w:pStyle w:val="ListBullet"/>
      </w:pPr>
      <w:r>
        <w:t xml:space="preserve">School and staff culturally responsive, including joint professional learning and visits </w:t>
      </w:r>
      <w:proofErr w:type="gramStart"/>
      <w:r>
        <w:t>with</w:t>
      </w:r>
      <w:proofErr w:type="gramEnd"/>
      <w:r>
        <w:t xml:space="preserve"> local community networks.</w:t>
      </w:r>
    </w:p>
    <w:p w14:paraId="792B2D18" w14:textId="77777777" w:rsidR="003D22E3" w:rsidRDefault="0011466E" w:rsidP="0011466E">
      <w:pPr>
        <w:pStyle w:val="ListBullet"/>
      </w:pPr>
      <w:r>
        <w:t>School and staff ensure any language barriers are supported through access to home language/s, supporting children and families.</w:t>
      </w:r>
    </w:p>
    <w:p w14:paraId="086DF49F" w14:textId="7493B724" w:rsidR="0011466E" w:rsidRDefault="00757785" w:rsidP="0011466E">
      <w:pPr>
        <w:pStyle w:val="ListBullet2"/>
      </w:pPr>
      <w:hyperlink r:id="rId13" w:history="1">
        <w:r w:rsidR="0011466E" w:rsidRPr="0011466E">
          <w:rPr>
            <w:rStyle w:val="Hyperlink"/>
          </w:rPr>
          <w:t>Professional learning</w:t>
        </w:r>
      </w:hyperlink>
    </w:p>
    <w:p w14:paraId="7D4E37D2" w14:textId="055B3BFC" w:rsidR="0011466E" w:rsidRDefault="00757785" w:rsidP="0011466E">
      <w:pPr>
        <w:pStyle w:val="ListBullet2"/>
      </w:pPr>
      <w:hyperlink r:id="rId14" w:history="1">
        <w:r w:rsidR="0011466E" w:rsidRPr="0011466E">
          <w:rPr>
            <w:rStyle w:val="Hyperlink"/>
          </w:rPr>
          <w:t>NSW service for the treatment and rehabilitation of torture and trauma survivors</w:t>
        </w:r>
      </w:hyperlink>
    </w:p>
    <w:p w14:paraId="3CC07F1B" w14:textId="77777777" w:rsidR="0011466E" w:rsidRDefault="00757785" w:rsidP="0011466E">
      <w:pPr>
        <w:pStyle w:val="ListBullet2"/>
      </w:pPr>
      <w:hyperlink r:id="rId15" w:history="1">
        <w:r w:rsidR="0011466E" w:rsidRPr="0011466E">
          <w:rPr>
            <w:rStyle w:val="Hyperlink"/>
          </w:rPr>
          <w:t>Interpreting and translations</w:t>
        </w:r>
      </w:hyperlink>
    </w:p>
    <w:p w14:paraId="3FD9068D" w14:textId="16164D32" w:rsidR="0011466E" w:rsidRPr="003B3E79" w:rsidRDefault="00757785" w:rsidP="0011466E">
      <w:pPr>
        <w:pStyle w:val="ListBullet2"/>
        <w:rPr>
          <w:rStyle w:val="Hyperlink"/>
          <w:color w:val="auto"/>
          <w:u w:val="none"/>
        </w:rPr>
      </w:pPr>
      <w:hyperlink r:id="rId16">
        <w:r w:rsidR="0011466E" w:rsidRPr="71F0F2A2">
          <w:rPr>
            <w:rStyle w:val="Hyperlink"/>
          </w:rPr>
          <w:t>Pre-book an interpreter</w:t>
        </w:r>
      </w:hyperlink>
    </w:p>
    <w:p w14:paraId="1C079BE6" w14:textId="77777777" w:rsidR="00EC040B" w:rsidRDefault="00EC040B" w:rsidP="00EC040B">
      <w:pPr>
        <w:pStyle w:val="Heading5"/>
      </w:pPr>
      <w:r>
        <w:t xml:space="preserve">Reflective questions </w:t>
      </w:r>
    </w:p>
    <w:p w14:paraId="1178309A" w14:textId="27B71A35" w:rsidR="003B3E79" w:rsidRPr="00BC3A73" w:rsidRDefault="00BC3A73" w:rsidP="00EC040B">
      <w:pPr>
        <w:pStyle w:val="ListBullet"/>
      </w:pPr>
      <w:r w:rsidRPr="00BC3A73">
        <w:t>Are staff equipped with knowledge and expertise to respond to the local community?</w:t>
      </w:r>
    </w:p>
    <w:p w14:paraId="193CDE10" w14:textId="7EE36DA2" w:rsidR="00EC040B" w:rsidRPr="00EC040B" w:rsidRDefault="00EC040B" w:rsidP="003A3035">
      <w:pPr>
        <w:pStyle w:val="Heading4"/>
        <w:rPr>
          <w:rStyle w:val="normaltextrun"/>
        </w:rPr>
      </w:pPr>
      <w:r w:rsidRPr="00EC040B">
        <w:rPr>
          <w:rStyle w:val="normaltextrun"/>
        </w:rPr>
        <w:lastRenderedPageBreak/>
        <w:t xml:space="preserve">Strategies </w:t>
      </w:r>
    </w:p>
    <w:p w14:paraId="03DD1D9A" w14:textId="4F664EA2" w:rsidR="0011466E" w:rsidRDefault="0011466E" w:rsidP="0011466E">
      <w:pPr>
        <w:pStyle w:val="ListBullet"/>
      </w:pPr>
      <w:r w:rsidRPr="0011466E">
        <w:t>Get to know the child and the family both informally and formally (playgroup, BBQs as well as culturally sensitive informative sessions). Value and support is given to family and community involvement, flexibility is evident in family-school relationships.</w:t>
      </w:r>
    </w:p>
    <w:p w14:paraId="54C55045" w14:textId="35E8CBC9" w:rsidR="0011466E" w:rsidRDefault="00757785" w:rsidP="0011466E">
      <w:pPr>
        <w:pStyle w:val="ListBullet2"/>
      </w:pPr>
      <w:hyperlink r:id="rId17" w:history="1">
        <w:r w:rsidR="0011466E" w:rsidRPr="0011466E">
          <w:rPr>
            <w:rStyle w:val="Hyperlink"/>
          </w:rPr>
          <w:t>Targeted support for students from a refugee background</w:t>
        </w:r>
      </w:hyperlink>
    </w:p>
    <w:p w14:paraId="30A5512B" w14:textId="77777777" w:rsidR="0011466E" w:rsidRDefault="0011466E" w:rsidP="0011466E">
      <w:pPr>
        <w:pStyle w:val="ListBullet"/>
      </w:pPr>
      <w:r w:rsidRPr="004B0240">
        <w:rPr>
          <w:lang w:eastAsia="en-AU"/>
        </w:rPr>
        <w:t>Connect</w:t>
      </w:r>
      <w:r w:rsidRPr="004B0240">
        <w:rPr>
          <w:lang w:eastAsia="zh-CN"/>
        </w:rPr>
        <w:t xml:space="preserve"> with the children, family and community. Collaborate with local early childhood, early intervention services, and other agencies and health professionals.</w:t>
      </w:r>
    </w:p>
    <w:p w14:paraId="512799E3" w14:textId="1A6966CA" w:rsidR="0011466E" w:rsidRPr="00BC3A73" w:rsidRDefault="00757785" w:rsidP="0011466E">
      <w:pPr>
        <w:pStyle w:val="ListBullet2"/>
        <w:rPr>
          <w:rStyle w:val="Hyperlink"/>
          <w:color w:val="auto"/>
          <w:u w:val="none"/>
        </w:rPr>
      </w:pPr>
      <w:hyperlink r:id="rId18" w:history="1">
        <w:r w:rsidR="0011466E" w:rsidRPr="0011466E">
          <w:rPr>
            <w:rStyle w:val="Hyperlink"/>
          </w:rPr>
          <w:t>School assessment tool – reflection planning matrix</w:t>
        </w:r>
      </w:hyperlink>
    </w:p>
    <w:p w14:paraId="1C0A0E84" w14:textId="77777777" w:rsidR="00EC040B" w:rsidRDefault="00EC040B" w:rsidP="00EC040B">
      <w:pPr>
        <w:pStyle w:val="Heading5"/>
      </w:pPr>
      <w:r>
        <w:t xml:space="preserve">Reflective questions </w:t>
      </w:r>
    </w:p>
    <w:p w14:paraId="4C9E8C97" w14:textId="408E0F4F" w:rsidR="00BC3A73" w:rsidRDefault="00BC3A73" w:rsidP="00EC040B">
      <w:pPr>
        <w:pStyle w:val="ListBullet"/>
      </w:pPr>
      <w:r w:rsidRPr="00F91E3D">
        <w:t>Have we planned inclusive social opportunities to welcome families?</w:t>
      </w:r>
    </w:p>
    <w:p w14:paraId="2BA08EE9" w14:textId="77777777" w:rsidR="00EC040B" w:rsidRPr="00EC040B" w:rsidRDefault="00EC040B" w:rsidP="00EC040B">
      <w:pPr>
        <w:pStyle w:val="Heading4"/>
        <w:rPr>
          <w:rStyle w:val="normaltextrun"/>
        </w:rPr>
      </w:pPr>
      <w:r w:rsidRPr="00EC040B">
        <w:rPr>
          <w:rStyle w:val="normaltextrun"/>
        </w:rPr>
        <w:t xml:space="preserve">Strategies </w:t>
      </w:r>
    </w:p>
    <w:p w14:paraId="77478D4D" w14:textId="77777777" w:rsidR="0011466E" w:rsidRDefault="0011466E" w:rsidP="0011466E">
      <w:pPr>
        <w:pStyle w:val="ListBullet"/>
      </w:pPr>
      <w:r w:rsidRPr="004B0240">
        <w:rPr>
          <w:lang w:eastAsia="en-AU"/>
        </w:rPr>
        <w:t>Develop a personalised transition support plan where appropriate, as the beginning step in a personalised learning plan (PLP), in consultation with the child, family and early childhood service.</w:t>
      </w:r>
    </w:p>
    <w:p w14:paraId="0F04BC23" w14:textId="77777777" w:rsidR="0011466E" w:rsidRDefault="00757785" w:rsidP="0011466E">
      <w:pPr>
        <w:pStyle w:val="ListBullet2"/>
      </w:pPr>
      <w:hyperlink r:id="rId19" w:history="1">
        <w:r w:rsidR="0011466E" w:rsidRPr="0011466E">
          <w:rPr>
            <w:rStyle w:val="Hyperlink"/>
          </w:rPr>
          <w:t>A whole school response</w:t>
        </w:r>
      </w:hyperlink>
    </w:p>
    <w:p w14:paraId="43B23340" w14:textId="77777777" w:rsidR="0011466E" w:rsidRDefault="00757785" w:rsidP="0011466E">
      <w:pPr>
        <w:pStyle w:val="ListBullet2"/>
      </w:pPr>
      <w:hyperlink r:id="rId20" w:history="1">
        <w:r w:rsidR="0011466E" w:rsidRPr="0011466E">
          <w:rPr>
            <w:rStyle w:val="Hyperlink"/>
          </w:rPr>
          <w:t>Professional and learning support resources</w:t>
        </w:r>
      </w:hyperlink>
    </w:p>
    <w:p w14:paraId="2665025B" w14:textId="45D69056" w:rsidR="0011466E" w:rsidRDefault="00757785" w:rsidP="0011466E">
      <w:pPr>
        <w:pStyle w:val="ListBullet2"/>
      </w:pPr>
      <w:hyperlink r:id="rId21" w:history="1">
        <w:r w:rsidR="0011466E" w:rsidRPr="0011466E">
          <w:rPr>
            <w:rStyle w:val="Hyperlink"/>
          </w:rPr>
          <w:t>Personalised learning</w:t>
        </w:r>
      </w:hyperlink>
      <w:r w:rsidR="0011466E">
        <w:t xml:space="preserve"> </w:t>
      </w:r>
    </w:p>
    <w:p w14:paraId="0C182A50" w14:textId="77777777" w:rsidR="0011466E" w:rsidRPr="0011466E" w:rsidRDefault="0011466E" w:rsidP="0011466E">
      <w:pPr>
        <w:pStyle w:val="ListBullet"/>
        <w:rPr>
          <w:b/>
          <w:lang w:eastAsia="en-AU"/>
        </w:rPr>
      </w:pPr>
      <w:r w:rsidRPr="004B0240">
        <w:rPr>
          <w:lang w:eastAsia="en-AU"/>
        </w:rPr>
        <w:t>Meet to share knowledge about the child, identify strengths, language and needs, and plan strategies and adjustments. </w:t>
      </w:r>
    </w:p>
    <w:p w14:paraId="161BFCF5" w14:textId="77777777" w:rsidR="0011466E" w:rsidRPr="000F64E5" w:rsidRDefault="00757785" w:rsidP="000F64E5">
      <w:pPr>
        <w:pStyle w:val="ListBullet2"/>
        <w:rPr>
          <w:rStyle w:val="normaltextrun"/>
        </w:rPr>
      </w:pPr>
      <w:hyperlink r:id="rId22" w:history="1">
        <w:r w:rsidR="000F64E5" w:rsidRPr="000F64E5">
          <w:rPr>
            <w:rStyle w:val="Hyperlink"/>
            <w:lang w:eastAsia="en-AU"/>
          </w:rPr>
          <w:t>Culture</w:t>
        </w:r>
        <w:r w:rsidR="000F64E5" w:rsidRPr="000F64E5">
          <w:rPr>
            <w:rStyle w:val="Hyperlink"/>
            <w:rFonts w:eastAsia="Arial" w:cs="Arial"/>
          </w:rPr>
          <w:t xml:space="preserve"> and diversity</w:t>
        </w:r>
      </w:hyperlink>
    </w:p>
    <w:p w14:paraId="4AC3F7D4" w14:textId="77777777" w:rsidR="000F64E5" w:rsidRPr="000F64E5" w:rsidRDefault="00757785" w:rsidP="000F64E5">
      <w:pPr>
        <w:pStyle w:val="ListBullet2"/>
        <w:rPr>
          <w:rStyle w:val="normaltextrun"/>
        </w:rPr>
      </w:pPr>
      <w:hyperlink r:id="rId23" w:history="1">
        <w:r w:rsidR="000F64E5" w:rsidRPr="000F64E5">
          <w:rPr>
            <w:rStyle w:val="Hyperlink"/>
            <w:rFonts w:eastAsia="Arial" w:cs="Arial"/>
          </w:rPr>
          <w:t>Diversity and inclusion strategy 2018 - 3033</w:t>
        </w:r>
      </w:hyperlink>
    </w:p>
    <w:p w14:paraId="5B075C07" w14:textId="77777777" w:rsidR="000F64E5" w:rsidRDefault="000F64E5" w:rsidP="000F64E5">
      <w:pPr>
        <w:pStyle w:val="ListBullet"/>
      </w:pPr>
      <w:r w:rsidRPr="004B0240">
        <w:rPr>
          <w:lang w:eastAsia="en-AU"/>
        </w:rPr>
        <w:t>Information included on the transition to school statement informs and offers successful strategies that can be transferred between settings.</w:t>
      </w:r>
    </w:p>
    <w:p w14:paraId="4462547B" w14:textId="77777777" w:rsidR="000F64E5" w:rsidRPr="00F91E3D" w:rsidRDefault="00757785" w:rsidP="000F64E5">
      <w:pPr>
        <w:pStyle w:val="ListBullet2"/>
        <w:rPr>
          <w:rStyle w:val="Hyperlink"/>
          <w:color w:val="auto"/>
          <w:u w:val="none"/>
        </w:rPr>
      </w:pPr>
      <w:hyperlink r:id="rId24" w:history="1">
        <w:r w:rsidR="000F64E5" w:rsidRPr="000F64E5">
          <w:rPr>
            <w:rStyle w:val="Hyperlink"/>
          </w:rPr>
          <w:t>Transition to school statement</w:t>
        </w:r>
      </w:hyperlink>
    </w:p>
    <w:p w14:paraId="11E5C0A2" w14:textId="77777777" w:rsidR="00EC040B" w:rsidRDefault="00EC040B" w:rsidP="00EC040B">
      <w:pPr>
        <w:pStyle w:val="Heading5"/>
      </w:pPr>
      <w:r>
        <w:t xml:space="preserve">Reflective questions </w:t>
      </w:r>
    </w:p>
    <w:p w14:paraId="5E268A77" w14:textId="07A4432B" w:rsidR="00F91E3D" w:rsidRPr="00F254D5" w:rsidRDefault="00F91E3D" w:rsidP="00EC040B">
      <w:pPr>
        <w:pStyle w:val="ListBullet"/>
      </w:pPr>
      <w:r w:rsidRPr="00F254D5">
        <w:t>Have we used data and information</w:t>
      </w:r>
      <w:r w:rsidR="004107EB">
        <w:t xml:space="preserve"> sharing</w:t>
      </w:r>
      <w:r w:rsidRPr="00F254D5">
        <w:t xml:space="preserve"> </w:t>
      </w:r>
      <w:r w:rsidR="00880DD8" w:rsidRPr="00F254D5">
        <w:t>to inform personalised</w:t>
      </w:r>
      <w:r w:rsidR="00F254D5" w:rsidRPr="00F254D5">
        <w:t xml:space="preserve"> planning that</w:t>
      </w:r>
      <w:r w:rsidR="00880DD8" w:rsidRPr="00F254D5">
        <w:t xml:space="preserve"> suit</w:t>
      </w:r>
      <w:r w:rsidR="00F254D5" w:rsidRPr="00F254D5">
        <w:t>s the</w:t>
      </w:r>
      <w:r w:rsidR="00880DD8" w:rsidRPr="00F254D5">
        <w:t xml:space="preserve"> individual </w:t>
      </w:r>
      <w:r w:rsidR="00F254D5" w:rsidRPr="00F254D5">
        <w:t>context and situations of families?</w:t>
      </w:r>
    </w:p>
    <w:p w14:paraId="0B4FC7A8" w14:textId="0DF9E1A9" w:rsidR="000F64E5" w:rsidRPr="00EC040B" w:rsidRDefault="00EC040B" w:rsidP="00EC040B">
      <w:pPr>
        <w:pStyle w:val="Heading4"/>
        <w:ind w:left="0"/>
        <w:rPr>
          <w:rStyle w:val="normaltextrun"/>
        </w:rPr>
      </w:pPr>
      <w:r>
        <w:rPr>
          <w:rStyle w:val="normaltextrun"/>
        </w:rPr>
        <w:t>Further resources</w:t>
      </w:r>
    </w:p>
    <w:p w14:paraId="0EAB2AC3" w14:textId="77777777" w:rsidR="000F64E5" w:rsidRDefault="00757785" w:rsidP="000F64E5">
      <w:pPr>
        <w:pStyle w:val="ListBullet2"/>
      </w:pPr>
      <w:hyperlink r:id="rId25" w:history="1">
        <w:r w:rsidR="000F64E5" w:rsidRPr="000F64E5">
          <w:rPr>
            <w:rStyle w:val="Hyperlink"/>
          </w:rPr>
          <w:t>Student assessment</w:t>
        </w:r>
      </w:hyperlink>
    </w:p>
    <w:p w14:paraId="57942D31" w14:textId="5856B898" w:rsidR="000F64E5" w:rsidRDefault="00757785" w:rsidP="000F64E5">
      <w:pPr>
        <w:pStyle w:val="ListBullet2"/>
      </w:pPr>
      <w:hyperlink r:id="rId26" w:history="1">
        <w:r w:rsidR="000F64E5" w:rsidRPr="006F3776">
          <w:rPr>
            <w:rStyle w:val="Hyperlink"/>
          </w:rPr>
          <w:t xml:space="preserve">Australian </w:t>
        </w:r>
        <w:r w:rsidR="00791B58">
          <w:rPr>
            <w:rStyle w:val="Hyperlink"/>
          </w:rPr>
          <w:t>Early</w:t>
        </w:r>
        <w:r w:rsidR="000F64E5" w:rsidRPr="006F3776">
          <w:rPr>
            <w:rStyle w:val="Hyperlink"/>
          </w:rPr>
          <w:t xml:space="preserve"> Development Census</w:t>
        </w:r>
      </w:hyperlink>
      <w:r w:rsidR="00791B58">
        <w:rPr>
          <w:rStyle w:val="Hyperlink"/>
        </w:rPr>
        <w:t xml:space="preserve"> (AEDC)</w:t>
      </w:r>
    </w:p>
    <w:p w14:paraId="6A968D09" w14:textId="646084DE" w:rsidR="000F64E5" w:rsidRDefault="00757785" w:rsidP="000F64E5">
      <w:pPr>
        <w:pStyle w:val="ListBullet2"/>
      </w:pPr>
      <w:hyperlink r:id="rId27" w:history="1">
        <w:r w:rsidR="00791B58">
          <w:rPr>
            <w:rStyle w:val="Hyperlink"/>
          </w:rPr>
          <w:t>Refugee leadership s</w:t>
        </w:r>
        <w:r w:rsidR="000F64E5" w:rsidRPr="006F3776">
          <w:rPr>
            <w:rStyle w:val="Hyperlink"/>
          </w:rPr>
          <w:t>trategy</w:t>
        </w:r>
      </w:hyperlink>
    </w:p>
    <w:p w14:paraId="2CAD831D" w14:textId="77777777" w:rsidR="000F64E5" w:rsidRPr="003D22E3" w:rsidRDefault="00757785" w:rsidP="000F64E5">
      <w:pPr>
        <w:pStyle w:val="ListBullet2"/>
      </w:pPr>
      <w:hyperlink r:id="rId28" w:history="1">
        <w:r w:rsidR="000F64E5" w:rsidRPr="006F3776">
          <w:rPr>
            <w:rStyle w:val="Hyperlink"/>
          </w:rPr>
          <w:t>NSW Centre for effective reading</w:t>
        </w:r>
      </w:hyperlink>
    </w:p>
    <w:sectPr w:rsidR="000F64E5" w:rsidRPr="003D22E3" w:rsidSect="00ED288C">
      <w:footerReference w:type="even" r:id="rId29"/>
      <w:footerReference w:type="default" r:id="rId30"/>
      <w:headerReference w:type="first" r:id="rId31"/>
      <w:footerReference w:type="first" r:id="rId32"/>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4FE36" w14:textId="77777777" w:rsidR="00757785" w:rsidRDefault="00757785" w:rsidP="00191F45">
      <w:r>
        <w:separator/>
      </w:r>
    </w:p>
    <w:p w14:paraId="0BD94BFE" w14:textId="77777777" w:rsidR="00757785" w:rsidRDefault="00757785"/>
    <w:p w14:paraId="2A450021" w14:textId="77777777" w:rsidR="00757785" w:rsidRDefault="00757785"/>
    <w:p w14:paraId="3422B5F3" w14:textId="77777777" w:rsidR="00757785" w:rsidRDefault="00757785"/>
    <w:p w14:paraId="32AAFB74" w14:textId="77777777" w:rsidR="00757785" w:rsidRDefault="00757785"/>
  </w:endnote>
  <w:endnote w:type="continuationSeparator" w:id="0">
    <w:p w14:paraId="36C95B89" w14:textId="77777777" w:rsidR="00757785" w:rsidRDefault="00757785" w:rsidP="00191F45">
      <w:r>
        <w:continuationSeparator/>
      </w:r>
    </w:p>
    <w:p w14:paraId="65C95B07" w14:textId="77777777" w:rsidR="00757785" w:rsidRDefault="00757785"/>
    <w:p w14:paraId="78B60796" w14:textId="77777777" w:rsidR="00757785" w:rsidRDefault="00757785"/>
    <w:p w14:paraId="7A4E02D8" w14:textId="77777777" w:rsidR="00757785" w:rsidRDefault="00757785"/>
    <w:p w14:paraId="1DD01454" w14:textId="77777777" w:rsidR="00757785" w:rsidRDefault="00757785"/>
  </w:endnote>
  <w:endnote w:type="continuationNotice" w:id="1">
    <w:p w14:paraId="28D1CA22" w14:textId="77777777" w:rsidR="00757785" w:rsidRDefault="0075778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4174A" w14:textId="3AB93325"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EC040B">
      <w:rPr>
        <w:noProof/>
      </w:rPr>
      <w:t>2</w:t>
    </w:r>
    <w:r w:rsidRPr="002810D3">
      <w:fldChar w:fldCharType="end"/>
    </w:r>
    <w:r w:rsidRPr="002810D3">
      <w:tab/>
    </w:r>
    <w:r>
      <w:t>Replace with name of document</w:t>
    </w:r>
  </w:p>
  <w:p w14:paraId="7EF7D733" w14:textId="77777777" w:rsidR="009E04CB" w:rsidRDefault="009E04C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30F19" w14:textId="3CCC0439"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6B3334">
      <w:rPr>
        <w:noProof/>
      </w:rPr>
      <w:t>Nov-20</w:t>
    </w:r>
    <w:r w:rsidRPr="002810D3">
      <w:fldChar w:fldCharType="end"/>
    </w:r>
    <w:r w:rsidRPr="002810D3">
      <w:tab/>
    </w:r>
    <w:r w:rsidRPr="002810D3">
      <w:fldChar w:fldCharType="begin"/>
    </w:r>
    <w:r w:rsidRPr="002810D3">
      <w:instrText xml:space="preserve"> PAGE </w:instrText>
    </w:r>
    <w:r w:rsidRPr="002810D3">
      <w:fldChar w:fldCharType="separate"/>
    </w:r>
    <w:r w:rsidR="006B3334">
      <w:rPr>
        <w:noProof/>
      </w:rPr>
      <w:t>1</w:t>
    </w:r>
    <w:r w:rsidRPr="002810D3">
      <w:fldChar w:fldCharType="end"/>
    </w:r>
  </w:p>
  <w:p w14:paraId="0B76F5F8" w14:textId="77777777" w:rsidR="009E04CB" w:rsidRDefault="009E04C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A7F41"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6FF7CD56" wp14:editId="108D5D9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79751" w14:textId="77777777" w:rsidR="00757785" w:rsidRDefault="00757785" w:rsidP="00191F45">
      <w:r>
        <w:separator/>
      </w:r>
    </w:p>
    <w:p w14:paraId="2314B2A7" w14:textId="77777777" w:rsidR="00757785" w:rsidRDefault="00757785"/>
    <w:p w14:paraId="6C167B4B" w14:textId="77777777" w:rsidR="00757785" w:rsidRDefault="00757785"/>
    <w:p w14:paraId="3584E927" w14:textId="77777777" w:rsidR="00757785" w:rsidRDefault="00757785"/>
    <w:p w14:paraId="46F14F37" w14:textId="77777777" w:rsidR="00757785" w:rsidRDefault="00757785"/>
  </w:footnote>
  <w:footnote w:type="continuationSeparator" w:id="0">
    <w:p w14:paraId="5E7152D0" w14:textId="77777777" w:rsidR="00757785" w:rsidRDefault="00757785" w:rsidP="00191F45">
      <w:r>
        <w:continuationSeparator/>
      </w:r>
    </w:p>
    <w:p w14:paraId="3C82E98D" w14:textId="77777777" w:rsidR="00757785" w:rsidRDefault="00757785"/>
    <w:p w14:paraId="0546A6F6" w14:textId="77777777" w:rsidR="00757785" w:rsidRDefault="00757785"/>
    <w:p w14:paraId="027FCB97" w14:textId="77777777" w:rsidR="00757785" w:rsidRDefault="00757785"/>
    <w:p w14:paraId="7BB21760" w14:textId="77777777" w:rsidR="00757785" w:rsidRDefault="00757785"/>
  </w:footnote>
  <w:footnote w:type="continuationNotice" w:id="1">
    <w:p w14:paraId="4530E8C9" w14:textId="77777777" w:rsidR="00757785" w:rsidRDefault="00757785">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6F336"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 w:numId="3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attachedTemplate r:id="rId1"/>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8D5"/>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28D5"/>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64E5"/>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66E"/>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3E79"/>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07EB"/>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022"/>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1386"/>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334"/>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776"/>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785"/>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58"/>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625A"/>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0DD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4C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6968"/>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3A73"/>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A92"/>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40B"/>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54D5"/>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1E3D"/>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5497"/>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71F0F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CB7CB"/>
  <w14:defaultImageDpi w14:val="32767"/>
  <w15:chartTrackingRefBased/>
  <w15:docId w15:val="{D44D11DE-05E2-46D9-A061-8C40D03C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normaltextrun">
    <w:name w:val="normaltextrun"/>
    <w:basedOn w:val="DefaultParagraphFont"/>
    <w:rsid w:val="00FD5497"/>
  </w:style>
  <w:style w:type="paragraph" w:styleId="ListParagraph">
    <w:name w:val="List Paragraph"/>
    <w:basedOn w:val="Normal"/>
    <w:uiPriority w:val="99"/>
    <w:unhideWhenUsed/>
    <w:qFormat/>
    <w:rsid w:val="0011466E"/>
    <w:pPr>
      <w:ind w:left="720"/>
      <w:contextualSpacing/>
    </w:pPr>
  </w:style>
  <w:style w:type="character" w:styleId="FollowedHyperlink">
    <w:name w:val="FollowedHyperlink"/>
    <w:basedOn w:val="DefaultParagraphFont"/>
    <w:uiPriority w:val="99"/>
    <w:semiHidden/>
    <w:unhideWhenUsed/>
    <w:rsid w:val="00791B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nsw.gov.au/teaching-and-learning/curriculum/multicultural-education/refugee-students-in-schools/Professional-learning" TargetMode="External"/><Relationship Id="rId18" Type="http://schemas.openxmlformats.org/officeDocument/2006/relationships/hyperlink" Target="https://education.nsw.gov.au/leadership-pathways/leadership-roles/principal/at-a-glance/at-a-glance-engaging-and-working-with-the-community/school-assessment-tool" TargetMode="External"/><Relationship Id="rId26" Type="http://schemas.openxmlformats.org/officeDocument/2006/relationships/hyperlink" Target="http://www.aedc.gov.au/communities" TargetMode="External"/><Relationship Id="rId3" Type="http://schemas.openxmlformats.org/officeDocument/2006/relationships/customXml" Target="../customXml/item3.xml"/><Relationship Id="rId21" Type="http://schemas.openxmlformats.org/officeDocument/2006/relationships/hyperlink" Target="https://education.nsw.gov.au/teaching-and-learning/curriculum/multicultural-education/refugee-students-in-schools/personalised-learning"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ducation.nsw.gov.au/teaching-and-learning/curriculum/multicultural-education/english-as-an-additional-language-or-dialect/new-arrivals-program" TargetMode="External"/><Relationship Id="rId17" Type="http://schemas.openxmlformats.org/officeDocument/2006/relationships/hyperlink" Target="https://education.nsw.gov.au/teaching-and-learning/curriculum/multicultural-education/refugee-students-in-schools/targeted-support" TargetMode="External"/><Relationship Id="rId25" Type="http://schemas.openxmlformats.org/officeDocument/2006/relationships/hyperlink" Target="https://education.nsw.gov.au/teaching-and-learning/student-assessment/assessment-and-reporting/assessmen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isnational.gov.au/en/Agencies/Forms-for-agencies/New-Job-booking-form" TargetMode="External"/><Relationship Id="rId20" Type="http://schemas.openxmlformats.org/officeDocument/2006/relationships/hyperlink" Target="https://education.nsw.gov.au/teaching-and-learning/curriculum/multicultural-education/refugee-students-in-schools/Professional-learnin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umanrights.gov.au/our-work/education/building-belonging-toolkit-early-childhood-educators-cultural-diversity-and" TargetMode="External"/><Relationship Id="rId24" Type="http://schemas.openxmlformats.org/officeDocument/2006/relationships/hyperlink" Target="https://education.nsw.gov.au/early-childhood-education/operating-an-early-childhood-education-service/transition-to-school"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education.nsw.gov.au/teaching-and-learning/curriculum/multicultural-education/interpreting-and-translations" TargetMode="External"/><Relationship Id="rId23" Type="http://schemas.openxmlformats.org/officeDocument/2006/relationships/hyperlink" Target="https://education.nsw.gov.au/about-us/strategies-and-reports/strategic-plan/corporate-plans-and-strategies/diversity-and-inclusion-strategy-2018-2022" TargetMode="External"/><Relationship Id="rId28" Type="http://schemas.openxmlformats.org/officeDocument/2006/relationships/hyperlink" Target="https://cer.schools.nsw.gov.au/" TargetMode="External"/><Relationship Id="rId10" Type="http://schemas.openxmlformats.org/officeDocument/2006/relationships/endnotes" Target="endnotes.xml"/><Relationship Id="rId19" Type="http://schemas.openxmlformats.org/officeDocument/2006/relationships/hyperlink" Target="https://education.nsw.gov.au/teaching-and-learning/curriculum/multicultural-education/refugee-students-in-schools/whole-school-response"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artts.org.au/services/children-and-young-people/" TargetMode="External"/><Relationship Id="rId22" Type="http://schemas.openxmlformats.org/officeDocument/2006/relationships/hyperlink" Target="https://education.nsw.gov.au/teaching-and-learning/curriculum/multicultural-education/culture-and-diversity/calendar-for-cultural-diversity" TargetMode="External"/><Relationship Id="rId27" Type="http://schemas.openxmlformats.org/officeDocument/2006/relationships/hyperlink" Target="https://education.nsw.gov.au/teaching-and-learning/curriculum/multicultural-education/refugee-students-in-schools/refugee-leadership-strategy" TargetMode="External"/><Relationship Id="rId30"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ardon1\AppData\Local\Temp\Temp1_DoEBrandAsset%20(2).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904B9210B99B4FA9E85A739F008746" ma:contentTypeVersion="12" ma:contentTypeDescription="Create a new document." ma:contentTypeScope="" ma:versionID="2157e2d803fd8f6d6a14c72de43851c1">
  <xsd:schema xmlns:xsd="http://www.w3.org/2001/XMLSchema" xmlns:xs="http://www.w3.org/2001/XMLSchema" xmlns:p="http://schemas.microsoft.com/office/2006/metadata/properties" xmlns:ns2="063f31f4-c326-4d72-9eeb-d1af1187bebc" xmlns:ns3="aadb97e7-ef8b-4a10-9e28-44ef6aa54c77" targetNamespace="http://schemas.microsoft.com/office/2006/metadata/properties" ma:root="true" ma:fieldsID="3aa9801b88b3251a4d4676a432c10040" ns2:_="" ns3:_="">
    <xsd:import namespace="063f31f4-c326-4d72-9eeb-d1af1187bebc"/>
    <xsd:import namespace="aadb97e7-ef8b-4a10-9e28-44ef6aa54c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f31f4-c326-4d72-9eeb-d1af1187be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db97e7-ef8b-4a10-9e28-44ef6aa54c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F2C7EE-7C65-482F-98FB-27E41D05A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f31f4-c326-4d72-9eeb-d1af1187bebc"/>
    <ds:schemaRef ds:uri="aadb97e7-ef8b-4a10-9e28-44ef6aa54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CDD47703-D0FA-4085-915A-364E33BA5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0</TotalTime>
  <Pages>2</Pages>
  <Words>789</Words>
  <Characters>4503</Characters>
  <DocSecurity>0</DocSecurity>
  <Lines>37</Lines>
  <Paragraphs>10</Paragraphs>
  <ScaleCrop>false</ScaleCrop>
  <HeadingPairs>
    <vt:vector size="2" baseType="variant">
      <vt:variant>
        <vt:lpstr>Title</vt:lpstr>
      </vt:variant>
      <vt:variant>
        <vt:i4>1</vt:i4>
      </vt:variant>
    </vt:vector>
  </HeadingPairs>
  <TitlesOfParts>
    <vt:vector size="1" baseType="lpstr">
      <vt:lpstr>Tailored transition support strategies for refugee and newly arrived children, families and communities</vt:lpstr>
    </vt:vector>
  </TitlesOfParts>
  <Manager/>
  <LinksUpToDate>false</LinksUpToDate>
  <CharactersWithSpaces>5282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Tailored transition support strategies for refugee and newly arrived children, families and communities</dc:title>
  <dc:subject/>
  <dc:creator>NSW Department of Education</dc:creator>
  <cp:keywords/>
  <dc:description/>
  <cp:lastPrinted>2019-09-30T07:42:00Z</cp:lastPrinted>
  <dcterms:created xsi:type="dcterms:W3CDTF">2020-11-10T06:27:00Z</dcterms:created>
  <dcterms:modified xsi:type="dcterms:W3CDTF">2020-11-10T06:27:00Z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0x010100BD904B9210B99B4FA9E85A739F008746</vt:lpwstr>
  </property>
</Properties>
</file>