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9E997" w14:textId="0936DEDC" w:rsidR="00BB4FBA" w:rsidRDefault="009062A5" w:rsidP="00BB4FBA">
      <w:pPr>
        <w:rPr>
          <w:rFonts w:eastAsiaTheme="majorEastAsia"/>
          <w:bCs/>
          <w:color w:val="002664"/>
          <w:sz w:val="40"/>
          <w:szCs w:val="52"/>
        </w:rPr>
      </w:pPr>
      <w:r w:rsidRPr="009062A5">
        <w:rPr>
          <w:rFonts w:eastAsiaTheme="majorEastAsia"/>
          <w:bCs/>
          <w:color w:val="002664"/>
          <w:sz w:val="40"/>
          <w:szCs w:val="52"/>
        </w:rPr>
        <w:t>PDHPE Stage 4 – Challenging and resisting stereotypes</w:t>
      </w:r>
    </w:p>
    <w:p w14:paraId="53EDD2AB" w14:textId="55A75D39" w:rsidR="009062A5" w:rsidRDefault="009062A5" w:rsidP="00BB4FBA">
      <w:r>
        <w:rPr>
          <w:noProof/>
        </w:rPr>
        <w:drawing>
          <wp:inline distT="0" distB="0" distL="0" distR="0" wp14:anchorId="20941492" wp14:editId="7480B6DC">
            <wp:extent cx="5639435" cy="6980555"/>
            <wp:effectExtent l="0" t="0" r="0" b="0"/>
            <wp:docPr id="208733410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334105"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6980555"/>
                    </a:xfrm>
                    <a:prstGeom prst="rect">
                      <a:avLst/>
                    </a:prstGeom>
                    <a:noFill/>
                  </pic:spPr>
                </pic:pic>
              </a:graphicData>
            </a:graphic>
          </wp:inline>
        </w:drawing>
      </w:r>
    </w:p>
    <w:sdt>
      <w:sdtPr>
        <w:rPr>
          <w:rFonts w:eastAsiaTheme="minorHAnsi"/>
          <w:bCs w:val="0"/>
          <w:color w:val="auto"/>
          <w:sz w:val="22"/>
          <w:szCs w:val="24"/>
        </w:rPr>
        <w:id w:val="-1517376098"/>
        <w:docPartObj>
          <w:docPartGallery w:val="Table of Contents"/>
          <w:docPartUnique/>
        </w:docPartObj>
      </w:sdtPr>
      <w:sdtEndPr>
        <w:rPr>
          <w:b/>
          <w:noProof/>
        </w:rPr>
      </w:sdtEndPr>
      <w:sdtContent>
        <w:p w14:paraId="5B342415" w14:textId="2FCC7C43" w:rsidR="00727119" w:rsidRDefault="00727119">
          <w:pPr>
            <w:pStyle w:val="TOCHeading"/>
          </w:pPr>
          <w:r>
            <w:t>Contents</w:t>
          </w:r>
        </w:p>
        <w:p w14:paraId="46D714D8" w14:textId="22E20EDF" w:rsidR="00D77F54" w:rsidRDefault="00727119">
          <w:pPr>
            <w:pStyle w:val="TOC2"/>
            <w:rPr>
              <w:rFonts w:asciiTheme="minorHAnsi" w:eastAsiaTheme="minorEastAsia" w:hAnsiTheme="minorHAnsi" w:cstheme="minorBidi"/>
              <w:kern w:val="2"/>
              <w:sz w:val="24"/>
              <w:lang w:eastAsia="en-AU"/>
              <w14:ligatures w14:val="standardContextual"/>
            </w:rPr>
          </w:pPr>
          <w:r>
            <w:fldChar w:fldCharType="begin"/>
          </w:r>
          <w:r>
            <w:instrText xml:space="preserve"> TOC \o "1-3" \h \z \u </w:instrText>
          </w:r>
          <w:r>
            <w:fldChar w:fldCharType="separate"/>
          </w:r>
          <w:hyperlink w:anchor="_Toc169867400" w:history="1">
            <w:r w:rsidR="00D77F54" w:rsidRPr="00B862F2">
              <w:rPr>
                <w:rStyle w:val="Hyperlink"/>
              </w:rPr>
              <w:t>Rationale and background information</w:t>
            </w:r>
            <w:r w:rsidR="00D77F54">
              <w:rPr>
                <w:webHidden/>
              </w:rPr>
              <w:tab/>
            </w:r>
            <w:r w:rsidR="00D77F54">
              <w:rPr>
                <w:webHidden/>
              </w:rPr>
              <w:fldChar w:fldCharType="begin"/>
            </w:r>
            <w:r w:rsidR="00D77F54">
              <w:rPr>
                <w:webHidden/>
              </w:rPr>
              <w:instrText xml:space="preserve"> PAGEREF _Toc169867400 \h </w:instrText>
            </w:r>
            <w:r w:rsidR="00D77F54">
              <w:rPr>
                <w:webHidden/>
              </w:rPr>
            </w:r>
            <w:r w:rsidR="00D77F54">
              <w:rPr>
                <w:webHidden/>
              </w:rPr>
              <w:fldChar w:fldCharType="separate"/>
            </w:r>
            <w:r w:rsidR="00D77F54">
              <w:rPr>
                <w:webHidden/>
              </w:rPr>
              <w:t>3</w:t>
            </w:r>
            <w:r w:rsidR="00D77F54">
              <w:rPr>
                <w:webHidden/>
              </w:rPr>
              <w:fldChar w:fldCharType="end"/>
            </w:r>
          </w:hyperlink>
        </w:p>
        <w:p w14:paraId="44478466" w14:textId="7031B011"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1" w:history="1">
            <w:r w:rsidRPr="00B862F2">
              <w:rPr>
                <w:rStyle w:val="Hyperlink"/>
                <w:noProof/>
              </w:rPr>
              <w:t>Career competencies</w:t>
            </w:r>
            <w:r>
              <w:rPr>
                <w:noProof/>
                <w:webHidden/>
              </w:rPr>
              <w:tab/>
            </w:r>
            <w:r>
              <w:rPr>
                <w:noProof/>
                <w:webHidden/>
              </w:rPr>
              <w:fldChar w:fldCharType="begin"/>
            </w:r>
            <w:r>
              <w:rPr>
                <w:noProof/>
                <w:webHidden/>
              </w:rPr>
              <w:instrText xml:space="preserve"> PAGEREF _Toc169867401 \h </w:instrText>
            </w:r>
            <w:r>
              <w:rPr>
                <w:noProof/>
                <w:webHidden/>
              </w:rPr>
            </w:r>
            <w:r>
              <w:rPr>
                <w:noProof/>
                <w:webHidden/>
              </w:rPr>
              <w:fldChar w:fldCharType="separate"/>
            </w:r>
            <w:r>
              <w:rPr>
                <w:noProof/>
                <w:webHidden/>
              </w:rPr>
              <w:t>4</w:t>
            </w:r>
            <w:r>
              <w:rPr>
                <w:noProof/>
                <w:webHidden/>
              </w:rPr>
              <w:fldChar w:fldCharType="end"/>
            </w:r>
          </w:hyperlink>
        </w:p>
        <w:p w14:paraId="06AF2668" w14:textId="71380115"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2" w:history="1">
            <w:r w:rsidRPr="00B862F2">
              <w:rPr>
                <w:rStyle w:val="Hyperlink"/>
                <w:noProof/>
              </w:rPr>
              <w:t>Syllabus outcomes</w:t>
            </w:r>
            <w:r>
              <w:rPr>
                <w:noProof/>
                <w:webHidden/>
              </w:rPr>
              <w:tab/>
            </w:r>
            <w:r>
              <w:rPr>
                <w:noProof/>
                <w:webHidden/>
              </w:rPr>
              <w:fldChar w:fldCharType="begin"/>
            </w:r>
            <w:r>
              <w:rPr>
                <w:noProof/>
                <w:webHidden/>
              </w:rPr>
              <w:instrText xml:space="preserve"> PAGEREF _Toc169867402 \h </w:instrText>
            </w:r>
            <w:r>
              <w:rPr>
                <w:noProof/>
                <w:webHidden/>
              </w:rPr>
            </w:r>
            <w:r>
              <w:rPr>
                <w:noProof/>
                <w:webHidden/>
              </w:rPr>
              <w:fldChar w:fldCharType="separate"/>
            </w:r>
            <w:r>
              <w:rPr>
                <w:noProof/>
                <w:webHidden/>
              </w:rPr>
              <w:t>4</w:t>
            </w:r>
            <w:r>
              <w:rPr>
                <w:noProof/>
                <w:webHidden/>
              </w:rPr>
              <w:fldChar w:fldCharType="end"/>
            </w:r>
          </w:hyperlink>
        </w:p>
        <w:p w14:paraId="08612619" w14:textId="3694A5E1"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03" w:history="1">
            <w:r w:rsidRPr="00B862F2">
              <w:rPr>
                <w:rStyle w:val="Hyperlink"/>
              </w:rPr>
              <w:t>Learning experiences</w:t>
            </w:r>
            <w:r>
              <w:rPr>
                <w:webHidden/>
              </w:rPr>
              <w:tab/>
            </w:r>
            <w:r>
              <w:rPr>
                <w:webHidden/>
              </w:rPr>
              <w:fldChar w:fldCharType="begin"/>
            </w:r>
            <w:r>
              <w:rPr>
                <w:webHidden/>
              </w:rPr>
              <w:instrText xml:space="preserve"> PAGEREF _Toc169867403 \h </w:instrText>
            </w:r>
            <w:r>
              <w:rPr>
                <w:webHidden/>
              </w:rPr>
            </w:r>
            <w:r>
              <w:rPr>
                <w:webHidden/>
              </w:rPr>
              <w:fldChar w:fldCharType="separate"/>
            </w:r>
            <w:r>
              <w:rPr>
                <w:webHidden/>
              </w:rPr>
              <w:t>5</w:t>
            </w:r>
            <w:r>
              <w:rPr>
                <w:webHidden/>
              </w:rPr>
              <w:fldChar w:fldCharType="end"/>
            </w:r>
          </w:hyperlink>
        </w:p>
        <w:p w14:paraId="11FF370C" w14:textId="1B820CBC"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4" w:history="1">
            <w:r w:rsidRPr="00B862F2">
              <w:rPr>
                <w:rStyle w:val="Hyperlink"/>
                <w:noProof/>
              </w:rPr>
              <w:t>Resources required</w:t>
            </w:r>
            <w:r>
              <w:rPr>
                <w:noProof/>
                <w:webHidden/>
              </w:rPr>
              <w:tab/>
            </w:r>
            <w:r>
              <w:rPr>
                <w:noProof/>
                <w:webHidden/>
              </w:rPr>
              <w:fldChar w:fldCharType="begin"/>
            </w:r>
            <w:r>
              <w:rPr>
                <w:noProof/>
                <w:webHidden/>
              </w:rPr>
              <w:instrText xml:space="preserve"> PAGEREF _Toc169867404 \h </w:instrText>
            </w:r>
            <w:r>
              <w:rPr>
                <w:noProof/>
                <w:webHidden/>
              </w:rPr>
            </w:r>
            <w:r>
              <w:rPr>
                <w:noProof/>
                <w:webHidden/>
              </w:rPr>
              <w:fldChar w:fldCharType="separate"/>
            </w:r>
            <w:r>
              <w:rPr>
                <w:noProof/>
                <w:webHidden/>
              </w:rPr>
              <w:t>6</w:t>
            </w:r>
            <w:r>
              <w:rPr>
                <w:noProof/>
                <w:webHidden/>
              </w:rPr>
              <w:fldChar w:fldCharType="end"/>
            </w:r>
          </w:hyperlink>
        </w:p>
        <w:p w14:paraId="06EF700D" w14:textId="417F3F72"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5" w:history="1">
            <w:r w:rsidRPr="00B862F2">
              <w:rPr>
                <w:rStyle w:val="Hyperlink"/>
                <w:noProof/>
              </w:rPr>
              <w:t>Activity 1 – Exploring unconscious bias</w:t>
            </w:r>
            <w:r>
              <w:rPr>
                <w:noProof/>
                <w:webHidden/>
              </w:rPr>
              <w:tab/>
            </w:r>
            <w:r>
              <w:rPr>
                <w:noProof/>
                <w:webHidden/>
              </w:rPr>
              <w:fldChar w:fldCharType="begin"/>
            </w:r>
            <w:r>
              <w:rPr>
                <w:noProof/>
                <w:webHidden/>
              </w:rPr>
              <w:instrText xml:space="preserve"> PAGEREF _Toc169867405 \h </w:instrText>
            </w:r>
            <w:r>
              <w:rPr>
                <w:noProof/>
                <w:webHidden/>
              </w:rPr>
            </w:r>
            <w:r>
              <w:rPr>
                <w:noProof/>
                <w:webHidden/>
              </w:rPr>
              <w:fldChar w:fldCharType="separate"/>
            </w:r>
            <w:r>
              <w:rPr>
                <w:noProof/>
                <w:webHidden/>
              </w:rPr>
              <w:t>6</w:t>
            </w:r>
            <w:r>
              <w:rPr>
                <w:noProof/>
                <w:webHidden/>
              </w:rPr>
              <w:fldChar w:fldCharType="end"/>
            </w:r>
          </w:hyperlink>
        </w:p>
        <w:p w14:paraId="2AAA480A" w14:textId="32297067"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6" w:history="1">
            <w:r w:rsidRPr="00B862F2">
              <w:rPr>
                <w:rStyle w:val="Hyperlink"/>
                <w:noProof/>
              </w:rPr>
              <w:t>Activity 2 – Gender stereotypes in the workforce</w:t>
            </w:r>
            <w:r>
              <w:rPr>
                <w:noProof/>
                <w:webHidden/>
              </w:rPr>
              <w:tab/>
            </w:r>
            <w:r>
              <w:rPr>
                <w:noProof/>
                <w:webHidden/>
              </w:rPr>
              <w:fldChar w:fldCharType="begin"/>
            </w:r>
            <w:r>
              <w:rPr>
                <w:noProof/>
                <w:webHidden/>
              </w:rPr>
              <w:instrText xml:space="preserve"> PAGEREF _Toc169867406 \h </w:instrText>
            </w:r>
            <w:r>
              <w:rPr>
                <w:noProof/>
                <w:webHidden/>
              </w:rPr>
            </w:r>
            <w:r>
              <w:rPr>
                <w:noProof/>
                <w:webHidden/>
              </w:rPr>
              <w:fldChar w:fldCharType="separate"/>
            </w:r>
            <w:r>
              <w:rPr>
                <w:noProof/>
                <w:webHidden/>
              </w:rPr>
              <w:t>7</w:t>
            </w:r>
            <w:r>
              <w:rPr>
                <w:noProof/>
                <w:webHidden/>
              </w:rPr>
              <w:fldChar w:fldCharType="end"/>
            </w:r>
          </w:hyperlink>
        </w:p>
        <w:p w14:paraId="619A6CA4" w14:textId="56A78639" w:rsidR="00D77F54" w:rsidRDefault="00D77F54">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9867407" w:history="1">
            <w:r w:rsidRPr="00B862F2">
              <w:rPr>
                <w:rStyle w:val="Hyperlink"/>
                <w:noProof/>
              </w:rPr>
              <w:t>Activity 3 – Exploring career choices</w:t>
            </w:r>
            <w:r>
              <w:rPr>
                <w:noProof/>
                <w:webHidden/>
              </w:rPr>
              <w:tab/>
            </w:r>
            <w:r>
              <w:rPr>
                <w:noProof/>
                <w:webHidden/>
              </w:rPr>
              <w:fldChar w:fldCharType="begin"/>
            </w:r>
            <w:r>
              <w:rPr>
                <w:noProof/>
                <w:webHidden/>
              </w:rPr>
              <w:instrText xml:space="preserve"> PAGEREF _Toc169867407 \h </w:instrText>
            </w:r>
            <w:r>
              <w:rPr>
                <w:noProof/>
                <w:webHidden/>
              </w:rPr>
            </w:r>
            <w:r>
              <w:rPr>
                <w:noProof/>
                <w:webHidden/>
              </w:rPr>
              <w:fldChar w:fldCharType="separate"/>
            </w:r>
            <w:r>
              <w:rPr>
                <w:noProof/>
                <w:webHidden/>
              </w:rPr>
              <w:t>7</w:t>
            </w:r>
            <w:r>
              <w:rPr>
                <w:noProof/>
                <w:webHidden/>
              </w:rPr>
              <w:fldChar w:fldCharType="end"/>
            </w:r>
          </w:hyperlink>
        </w:p>
        <w:p w14:paraId="7C46B494" w14:textId="111C87EE"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08" w:history="1">
            <w:r w:rsidRPr="00B862F2">
              <w:rPr>
                <w:rStyle w:val="Hyperlink"/>
              </w:rPr>
              <w:t>Conclusion</w:t>
            </w:r>
            <w:r>
              <w:rPr>
                <w:webHidden/>
              </w:rPr>
              <w:tab/>
            </w:r>
            <w:r>
              <w:rPr>
                <w:webHidden/>
              </w:rPr>
              <w:fldChar w:fldCharType="begin"/>
            </w:r>
            <w:r>
              <w:rPr>
                <w:webHidden/>
              </w:rPr>
              <w:instrText xml:space="preserve"> PAGEREF _Toc169867408 \h </w:instrText>
            </w:r>
            <w:r>
              <w:rPr>
                <w:webHidden/>
              </w:rPr>
            </w:r>
            <w:r>
              <w:rPr>
                <w:webHidden/>
              </w:rPr>
              <w:fldChar w:fldCharType="separate"/>
            </w:r>
            <w:r>
              <w:rPr>
                <w:webHidden/>
              </w:rPr>
              <w:t>9</w:t>
            </w:r>
            <w:r>
              <w:rPr>
                <w:webHidden/>
              </w:rPr>
              <w:fldChar w:fldCharType="end"/>
            </w:r>
          </w:hyperlink>
        </w:p>
        <w:p w14:paraId="3F8A8C46" w14:textId="46BD3757"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09" w:history="1">
            <w:r w:rsidRPr="00B862F2">
              <w:rPr>
                <w:rStyle w:val="Hyperlink"/>
              </w:rPr>
              <w:t>Differentiation</w:t>
            </w:r>
            <w:r>
              <w:rPr>
                <w:webHidden/>
              </w:rPr>
              <w:tab/>
            </w:r>
            <w:r>
              <w:rPr>
                <w:webHidden/>
              </w:rPr>
              <w:fldChar w:fldCharType="begin"/>
            </w:r>
            <w:r>
              <w:rPr>
                <w:webHidden/>
              </w:rPr>
              <w:instrText xml:space="preserve"> PAGEREF _Toc169867409 \h </w:instrText>
            </w:r>
            <w:r>
              <w:rPr>
                <w:webHidden/>
              </w:rPr>
            </w:r>
            <w:r>
              <w:rPr>
                <w:webHidden/>
              </w:rPr>
              <w:fldChar w:fldCharType="separate"/>
            </w:r>
            <w:r>
              <w:rPr>
                <w:webHidden/>
              </w:rPr>
              <w:t>9</w:t>
            </w:r>
            <w:r>
              <w:rPr>
                <w:webHidden/>
              </w:rPr>
              <w:fldChar w:fldCharType="end"/>
            </w:r>
          </w:hyperlink>
        </w:p>
        <w:p w14:paraId="413432AB" w14:textId="5F245769"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10" w:history="1">
            <w:r w:rsidRPr="00B862F2">
              <w:rPr>
                <w:rStyle w:val="Hyperlink"/>
              </w:rPr>
              <w:t>Extension activities</w:t>
            </w:r>
            <w:r>
              <w:rPr>
                <w:webHidden/>
              </w:rPr>
              <w:tab/>
            </w:r>
            <w:r>
              <w:rPr>
                <w:webHidden/>
              </w:rPr>
              <w:fldChar w:fldCharType="begin"/>
            </w:r>
            <w:r>
              <w:rPr>
                <w:webHidden/>
              </w:rPr>
              <w:instrText xml:space="preserve"> PAGEREF _Toc169867410 \h </w:instrText>
            </w:r>
            <w:r>
              <w:rPr>
                <w:webHidden/>
              </w:rPr>
            </w:r>
            <w:r>
              <w:rPr>
                <w:webHidden/>
              </w:rPr>
              <w:fldChar w:fldCharType="separate"/>
            </w:r>
            <w:r>
              <w:rPr>
                <w:webHidden/>
              </w:rPr>
              <w:t>10</w:t>
            </w:r>
            <w:r>
              <w:rPr>
                <w:webHidden/>
              </w:rPr>
              <w:fldChar w:fldCharType="end"/>
            </w:r>
          </w:hyperlink>
        </w:p>
        <w:p w14:paraId="0A88B0C7" w14:textId="36A196D9"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11" w:history="1">
            <w:r w:rsidRPr="00B862F2">
              <w:rPr>
                <w:rStyle w:val="Hyperlink"/>
              </w:rPr>
              <w:t>Evidence base</w:t>
            </w:r>
            <w:r>
              <w:rPr>
                <w:webHidden/>
              </w:rPr>
              <w:tab/>
            </w:r>
            <w:r>
              <w:rPr>
                <w:webHidden/>
              </w:rPr>
              <w:fldChar w:fldCharType="begin"/>
            </w:r>
            <w:r>
              <w:rPr>
                <w:webHidden/>
              </w:rPr>
              <w:instrText xml:space="preserve"> PAGEREF _Toc169867411 \h </w:instrText>
            </w:r>
            <w:r>
              <w:rPr>
                <w:webHidden/>
              </w:rPr>
            </w:r>
            <w:r>
              <w:rPr>
                <w:webHidden/>
              </w:rPr>
              <w:fldChar w:fldCharType="separate"/>
            </w:r>
            <w:r>
              <w:rPr>
                <w:webHidden/>
              </w:rPr>
              <w:t>10</w:t>
            </w:r>
            <w:r>
              <w:rPr>
                <w:webHidden/>
              </w:rPr>
              <w:fldChar w:fldCharType="end"/>
            </w:r>
          </w:hyperlink>
        </w:p>
        <w:p w14:paraId="38F26FED" w14:textId="51378F92" w:rsidR="00D77F54" w:rsidRDefault="00D77F54">
          <w:pPr>
            <w:pStyle w:val="TOC2"/>
            <w:rPr>
              <w:rFonts w:asciiTheme="minorHAnsi" w:eastAsiaTheme="minorEastAsia" w:hAnsiTheme="minorHAnsi" w:cstheme="minorBidi"/>
              <w:kern w:val="2"/>
              <w:sz w:val="24"/>
              <w:lang w:eastAsia="en-AU"/>
              <w14:ligatures w14:val="standardContextual"/>
            </w:rPr>
          </w:pPr>
          <w:hyperlink w:anchor="_Toc169867412" w:history="1">
            <w:r w:rsidRPr="00B862F2">
              <w:rPr>
                <w:rStyle w:val="Hyperlink"/>
              </w:rPr>
              <w:t>Feedback</w:t>
            </w:r>
            <w:r>
              <w:rPr>
                <w:webHidden/>
              </w:rPr>
              <w:tab/>
            </w:r>
            <w:r>
              <w:rPr>
                <w:webHidden/>
              </w:rPr>
              <w:fldChar w:fldCharType="begin"/>
            </w:r>
            <w:r>
              <w:rPr>
                <w:webHidden/>
              </w:rPr>
              <w:instrText xml:space="preserve"> PAGEREF _Toc169867412 \h </w:instrText>
            </w:r>
            <w:r>
              <w:rPr>
                <w:webHidden/>
              </w:rPr>
            </w:r>
            <w:r>
              <w:rPr>
                <w:webHidden/>
              </w:rPr>
              <w:fldChar w:fldCharType="separate"/>
            </w:r>
            <w:r>
              <w:rPr>
                <w:webHidden/>
              </w:rPr>
              <w:t>10</w:t>
            </w:r>
            <w:r>
              <w:rPr>
                <w:webHidden/>
              </w:rPr>
              <w:fldChar w:fldCharType="end"/>
            </w:r>
          </w:hyperlink>
        </w:p>
        <w:p w14:paraId="7A591231" w14:textId="47BCA253" w:rsidR="00727119" w:rsidRDefault="00727119">
          <w:r>
            <w:rPr>
              <w:b/>
              <w:bCs/>
              <w:noProof/>
            </w:rPr>
            <w:fldChar w:fldCharType="end"/>
          </w:r>
        </w:p>
      </w:sdtContent>
    </w:sdt>
    <w:p w14:paraId="60F8702F" w14:textId="77777777" w:rsidR="009062A5" w:rsidRDefault="009062A5" w:rsidP="0058030E">
      <w:pPr>
        <w:pStyle w:val="FeatureBox"/>
      </w:pPr>
      <w:r w:rsidRPr="009062A5">
        <w:rPr>
          <w:rStyle w:val="Strong"/>
        </w:rPr>
        <w:t>Reviewed by:</w:t>
      </w:r>
      <w:r>
        <w:t xml:space="preserve"> PDHPE Curriculum Advisor; Student Pathways Advisor and Student Transition Coordinator, Career Programs</w:t>
      </w:r>
    </w:p>
    <w:p w14:paraId="725F386D" w14:textId="77777777" w:rsidR="0058030E" w:rsidRDefault="0058030E" w:rsidP="0058030E">
      <w:pPr>
        <w:pStyle w:val="FeatureBox"/>
      </w:pPr>
      <w:r w:rsidRPr="009062A5">
        <w:rPr>
          <w:rStyle w:val="Strong"/>
        </w:rPr>
        <w:t>Consultation:</w:t>
      </w:r>
      <w:r w:rsidRPr="009062A5">
        <w:t xml:space="preserve"> Career Learning in Curriculum (CLiC) documents have been written in consultation with curriculum writers from various key learning areas; Curriculum Secondary Learners and Career and Workplace Learning. This resource has been trialled in rural and regional schools.</w:t>
      </w:r>
    </w:p>
    <w:p w14:paraId="35F4AEB1" w14:textId="77777777" w:rsidR="009062A5" w:rsidRDefault="009062A5" w:rsidP="0058030E">
      <w:pPr>
        <w:pStyle w:val="FeatureBox"/>
      </w:pPr>
      <w:r w:rsidRPr="005A5E08">
        <w:rPr>
          <w:rStyle w:val="Strong"/>
        </w:rPr>
        <w:t>Created:</w:t>
      </w:r>
      <w:r>
        <w:t xml:space="preserve"> July 2022</w:t>
      </w:r>
    </w:p>
    <w:p w14:paraId="06DE7A32" w14:textId="592A99AB" w:rsidR="009062A5" w:rsidRDefault="009062A5" w:rsidP="0058030E">
      <w:pPr>
        <w:pStyle w:val="FeatureBox"/>
      </w:pPr>
      <w:r w:rsidRPr="005A5E08">
        <w:rPr>
          <w:rStyle w:val="Strong"/>
        </w:rPr>
        <w:t>Last updated:</w:t>
      </w:r>
      <w:r>
        <w:t xml:space="preserve"> </w:t>
      </w:r>
      <w:r w:rsidR="00005A3A">
        <w:t>June 2024</w:t>
      </w:r>
    </w:p>
    <w:p w14:paraId="7F9B52F3" w14:textId="200284FE" w:rsidR="009062A5" w:rsidRDefault="009062A5" w:rsidP="0058030E">
      <w:pPr>
        <w:pStyle w:val="FeatureBox"/>
      </w:pPr>
      <w:r w:rsidRPr="005A5E08">
        <w:rPr>
          <w:rStyle w:val="Strong"/>
        </w:rPr>
        <w:t>Anticipated resource review date:</w:t>
      </w:r>
      <w:r>
        <w:t xml:space="preserve"> Resources are reviewed every 12 months for currency and relevancy as part of the Career Learning team’s evaluation plan.</w:t>
      </w:r>
    </w:p>
    <w:p w14:paraId="5210FF20" w14:textId="71185BDE" w:rsidR="009062A5" w:rsidRDefault="009062A5">
      <w:pPr>
        <w:suppressAutoHyphens w:val="0"/>
        <w:spacing w:before="0" w:after="160" w:line="259" w:lineRule="auto"/>
      </w:pPr>
      <w:r>
        <w:br w:type="page"/>
      </w:r>
    </w:p>
    <w:p w14:paraId="4E894D68" w14:textId="5B17A297" w:rsidR="009062A5" w:rsidRPr="009062A5" w:rsidRDefault="009062A5" w:rsidP="009062A5">
      <w:pPr>
        <w:rPr>
          <w:rStyle w:val="Strong"/>
        </w:rPr>
      </w:pPr>
      <w:r w:rsidRPr="009062A5">
        <w:rPr>
          <w:rStyle w:val="Strong"/>
        </w:rPr>
        <w:lastRenderedPageBreak/>
        <w:t>Alignment to School Excellence Framework:</w:t>
      </w:r>
    </w:p>
    <w:p w14:paraId="40EA84BE" w14:textId="77777777" w:rsidR="009062A5" w:rsidRPr="009062A5" w:rsidRDefault="009062A5" w:rsidP="009062A5">
      <w:pPr>
        <w:pStyle w:val="ListBullet"/>
      </w:pPr>
      <w:r w:rsidRPr="009062A5">
        <w:t>Learning domain: Curriculum; Teaching and Learning Programs</w:t>
      </w:r>
    </w:p>
    <w:p w14:paraId="7FF33FF7" w14:textId="77777777" w:rsidR="009062A5" w:rsidRPr="009062A5" w:rsidRDefault="009062A5" w:rsidP="009062A5">
      <w:pPr>
        <w:pStyle w:val="ListBullet"/>
      </w:pPr>
      <w:r w:rsidRPr="009062A5">
        <w:t>Teaching domain: Effective Classroom Practice, Lesson Planning</w:t>
      </w:r>
    </w:p>
    <w:p w14:paraId="3B7F7578" w14:textId="5214F46F" w:rsidR="009062A5" w:rsidRDefault="009062A5" w:rsidP="009062A5">
      <w:r w:rsidRPr="009062A5">
        <w:rPr>
          <w:rStyle w:val="Strong"/>
        </w:rPr>
        <w:t>Alignment to</w:t>
      </w:r>
      <w:r w:rsidRPr="009062A5">
        <w:t xml:space="preserve"> </w:t>
      </w:r>
      <w:hyperlink r:id="rId12" w:history="1">
        <w:r w:rsidRPr="00812A0D">
          <w:rPr>
            <w:rStyle w:val="Hyperlink"/>
          </w:rPr>
          <w:t>Australian Professional Standards for Teachers</w:t>
        </w:r>
      </w:hyperlink>
    </w:p>
    <w:p w14:paraId="66517F7E" w14:textId="77777777" w:rsidR="009062A5" w:rsidRDefault="009062A5" w:rsidP="009062A5">
      <w:pPr>
        <w:pStyle w:val="ListBullet"/>
      </w:pPr>
      <w:r>
        <w:t>Standard 2.1.2 Apply knowledge of the content and teaching strategies of the teaching area to develop engaging teaching activities</w:t>
      </w:r>
    </w:p>
    <w:p w14:paraId="5F94FF21" w14:textId="77777777" w:rsidR="009062A5" w:rsidRDefault="009062A5" w:rsidP="009062A5">
      <w:pPr>
        <w:pStyle w:val="ListBullet"/>
      </w:pPr>
      <w:r>
        <w:t>Standard 2.6.2 Use effective teaching strategies to integrate ICT into learning and teaching programs to make selected content relevant and meaningful</w:t>
      </w:r>
    </w:p>
    <w:p w14:paraId="66607DC8" w14:textId="1F38578D" w:rsidR="009062A5" w:rsidRDefault="009062A5" w:rsidP="009062A5">
      <w:pPr>
        <w:pStyle w:val="Heading2"/>
      </w:pPr>
      <w:bookmarkStart w:id="0" w:name="_Toc169867400"/>
      <w:r w:rsidRPr="009062A5">
        <w:t>Rationale and background information</w:t>
      </w:r>
      <w:bookmarkEnd w:id="0"/>
    </w:p>
    <w:p w14:paraId="4A5349FD" w14:textId="77777777" w:rsidR="009062A5" w:rsidRDefault="009062A5" w:rsidP="009062A5">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784A54A9" w14:textId="77777777" w:rsidR="009062A5" w:rsidRDefault="009062A5" w:rsidP="009062A5">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569ECADC" w14:textId="6F2560FD" w:rsidR="009062A5" w:rsidRDefault="009062A5" w:rsidP="009062A5">
      <w:r>
        <w:t xml:space="preserve">Career learning activities embedded within existing curriculum have been aligned to the themes from the </w:t>
      </w:r>
      <w:hyperlink r:id="rId13" w:history="1">
        <w:r w:rsidRPr="008A6C19">
          <w:rPr>
            <w:rStyle w:val="Hyperlink"/>
          </w:rPr>
          <w:t>K-12 Career Learning Framework</w:t>
        </w:r>
      </w:hyperlink>
      <w:r>
        <w:t xml:space="preserve"> and the </w:t>
      </w:r>
      <w:hyperlink r:id="rId14" w:history="1">
        <w:r w:rsidRPr="006B614B">
          <w:rPr>
            <w:rStyle w:val="Hyperlink"/>
          </w:rPr>
          <w:t>Australian Blueprint for Career Development (ABCD).</w:t>
        </w:r>
      </w:hyperlink>
    </w:p>
    <w:p w14:paraId="2B5D19D1" w14:textId="24D93051" w:rsidR="009062A5" w:rsidRDefault="009062A5" w:rsidP="009062A5">
      <w:r>
        <w:t>Activities may relate to one or more of the themes:</w:t>
      </w:r>
    </w:p>
    <w:p w14:paraId="1276811E" w14:textId="09D4C583" w:rsidR="009062A5" w:rsidRDefault="009062A5" w:rsidP="009062A5">
      <w:pPr>
        <w:pStyle w:val="ListBullet"/>
      </w:pPr>
      <w:r>
        <w:t xml:space="preserve">Identity – building and maintaining a positive self-concept, responding to </w:t>
      </w:r>
      <w:r w:rsidR="00BC51F0">
        <w:t>change,</w:t>
      </w:r>
      <w:r>
        <w:t xml:space="preserve"> and developing capabilities</w:t>
      </w:r>
    </w:p>
    <w:p w14:paraId="67440EC6" w14:textId="54D19033" w:rsidR="009062A5" w:rsidRDefault="009062A5" w:rsidP="009062A5">
      <w:pPr>
        <w:pStyle w:val="ListBullet"/>
      </w:pPr>
      <w:r>
        <w:t xml:space="preserve">Experience – discover, </w:t>
      </w:r>
      <w:r w:rsidR="00FE11F4">
        <w:t>investigate,</w:t>
      </w:r>
      <w:r>
        <w:t xml:space="preserve"> and consider opportunities in lifelong learning and work exploration</w:t>
      </w:r>
    </w:p>
    <w:p w14:paraId="38F7A895" w14:textId="77777777" w:rsidR="009062A5" w:rsidRDefault="009062A5" w:rsidP="009062A5">
      <w:pPr>
        <w:pStyle w:val="ListBullet"/>
      </w:pPr>
      <w:r>
        <w:t>Empower – learning to self-manage, engage in career decision making and developing skills and capabilities to make informed decisions</w:t>
      </w:r>
    </w:p>
    <w:p w14:paraId="0B26DA58" w14:textId="39B864CE" w:rsidR="009062A5" w:rsidRDefault="009062A5" w:rsidP="009062A5">
      <w:pPr>
        <w:pStyle w:val="Heading3"/>
      </w:pPr>
      <w:bookmarkStart w:id="1" w:name="_Toc169867401"/>
      <w:r w:rsidRPr="009062A5">
        <w:lastRenderedPageBreak/>
        <w:t>Career competencies</w:t>
      </w:r>
      <w:bookmarkEnd w:id="1"/>
    </w:p>
    <w:p w14:paraId="3505AC91" w14:textId="65906D06" w:rsidR="009062A5" w:rsidRDefault="009062A5" w:rsidP="009062A5">
      <w:r w:rsidRPr="009062A5">
        <w:t>This resource supports students develop career management skills relating to:</w:t>
      </w:r>
    </w:p>
    <w:tbl>
      <w:tblPr>
        <w:tblStyle w:val="Tableheader"/>
        <w:tblW w:w="0" w:type="auto"/>
        <w:tblLook w:val="04A0" w:firstRow="1" w:lastRow="0" w:firstColumn="1" w:lastColumn="0" w:noHBand="0" w:noVBand="1"/>
      </w:tblPr>
      <w:tblGrid>
        <w:gridCol w:w="3539"/>
        <w:gridCol w:w="6089"/>
      </w:tblGrid>
      <w:tr w:rsidR="00AD5396" w14:paraId="7A4A9945" w14:textId="77777777" w:rsidTr="0005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C08C98" w14:textId="77777777" w:rsidR="00AD5396" w:rsidRDefault="00AD5396" w:rsidP="00054040">
            <w:r>
              <w:t>Career management skills</w:t>
            </w:r>
          </w:p>
        </w:tc>
        <w:tc>
          <w:tcPr>
            <w:tcW w:w="6089" w:type="dxa"/>
          </w:tcPr>
          <w:p w14:paraId="49DE9017" w14:textId="77777777" w:rsidR="00AD5396" w:rsidRDefault="00AD5396" w:rsidP="00054040">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AD5396" w14:paraId="5C455669" w14:textId="77777777" w:rsidTr="00EA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9874674" w14:textId="77777777" w:rsidR="00AD5396" w:rsidRPr="009B4A02" w:rsidRDefault="00AD5396" w:rsidP="00AD5396">
            <w:r w:rsidRPr="009B4A02">
              <w:t>Theme: Experience</w:t>
            </w:r>
          </w:p>
          <w:p w14:paraId="264DF879" w14:textId="05A6B1B3" w:rsidR="00AD5396" w:rsidRDefault="00AD5396" w:rsidP="00AD5396">
            <w:r w:rsidRPr="009B4A02">
              <w:t>Locate and use career information</w:t>
            </w:r>
          </w:p>
        </w:tc>
        <w:tc>
          <w:tcPr>
            <w:tcW w:w="6089" w:type="dxa"/>
            <w:vAlign w:val="center"/>
          </w:tcPr>
          <w:p w14:paraId="66FBE688" w14:textId="77777777" w:rsidR="00AD5396" w:rsidRPr="009B4A02" w:rsidRDefault="00AD5396" w:rsidP="00AD5396">
            <w:pPr>
              <w:cnfStyle w:val="000000100000" w:firstRow="0" w:lastRow="0" w:firstColumn="0" w:lastColumn="0" w:oddVBand="0" w:evenVBand="0" w:oddHBand="1" w:evenHBand="0" w:firstRowFirstColumn="0" w:firstRowLastColumn="0" w:lastRowFirstColumn="0" w:lastRowLastColumn="0"/>
            </w:pPr>
            <w:r w:rsidRPr="009B4A02">
              <w:t xml:space="preserve">Learning </w:t>
            </w:r>
            <w:r>
              <w:t>area</w:t>
            </w:r>
            <w:r w:rsidRPr="009B4A02">
              <w:t xml:space="preserve"> B: Learning and work exploration</w:t>
            </w:r>
          </w:p>
          <w:p w14:paraId="68C7ECAF" w14:textId="77777777" w:rsidR="00AD5396" w:rsidRPr="009B4A02" w:rsidRDefault="00AD5396" w:rsidP="00AD5396">
            <w:pPr>
              <w:cnfStyle w:val="000000100000" w:firstRow="0" w:lastRow="0" w:firstColumn="0" w:lastColumn="0" w:oddVBand="0" w:evenVBand="0" w:oddHBand="1" w:evenHBand="0" w:firstRowFirstColumn="0" w:firstRowLastColumn="0" w:lastRowFirstColumn="0" w:lastRowLastColumn="0"/>
            </w:pPr>
            <w:r w:rsidRPr="009B4A02">
              <w:t>Career management competency: 8. Understand the changing nature of life and work roles</w:t>
            </w:r>
          </w:p>
          <w:p w14:paraId="58CFEA63" w14:textId="77777777" w:rsidR="00AD5396" w:rsidRPr="009B4A02" w:rsidRDefault="00AD5396" w:rsidP="00AD5396">
            <w:pPr>
              <w:cnfStyle w:val="000000100000" w:firstRow="0" w:lastRow="0" w:firstColumn="0" w:lastColumn="0" w:oddVBand="0" w:evenVBand="0" w:oddHBand="1" w:evenHBand="0" w:firstRowFirstColumn="0" w:firstRowLastColumn="0" w:lastRowFirstColumn="0" w:lastRowLastColumn="0"/>
            </w:pPr>
            <w:r>
              <w:t>Phase: Learn to recognise gendered life and work roles and to question their appropriateness.</w:t>
            </w:r>
          </w:p>
          <w:p w14:paraId="00767A7A" w14:textId="3B5FB89F" w:rsidR="00AD5396" w:rsidRDefault="00AD5396" w:rsidP="00AD5396">
            <w:pPr>
              <w:cnfStyle w:val="000000100000" w:firstRow="0" w:lastRow="0" w:firstColumn="0" w:lastColumn="0" w:oddVBand="0" w:evenVBand="0" w:oddHBand="1" w:evenHBand="0" w:firstRowFirstColumn="0" w:firstRowLastColumn="0" w:lastRowFirstColumn="0" w:lastRowLastColumn="0"/>
            </w:pPr>
            <w:r>
              <w:t xml:space="preserve">Performance indicator: </w:t>
            </w:r>
            <w:r w:rsidRPr="653059ED">
              <w:rPr>
                <w:rFonts w:eastAsia="Arial"/>
                <w:color w:val="000000" w:themeColor="text1"/>
              </w:rPr>
              <w:t xml:space="preserve">Student uses online resources to demonstrate </w:t>
            </w:r>
            <w:r>
              <w:t>how stereotypes impact on personal identity</w:t>
            </w:r>
            <w:r w:rsidRPr="653059ED">
              <w:rPr>
                <w:rFonts w:eastAsia="Arial"/>
                <w:color w:val="000000" w:themeColor="text1"/>
              </w:rPr>
              <w:t>.</w:t>
            </w:r>
          </w:p>
        </w:tc>
      </w:tr>
      <w:tr w:rsidR="00AD5396" w14:paraId="4A15B888" w14:textId="77777777" w:rsidTr="00EA46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8FE44B9" w14:textId="77777777" w:rsidR="00AD5396" w:rsidRPr="009B4A02" w:rsidRDefault="00AD5396" w:rsidP="00AD5396">
            <w:r w:rsidRPr="009B4A02">
              <w:t>Theme: Empower</w:t>
            </w:r>
          </w:p>
          <w:p w14:paraId="5D2ACCC8" w14:textId="5D9F51AF" w:rsidR="00AD5396" w:rsidRPr="009B4A02" w:rsidRDefault="00AD5396" w:rsidP="00AD5396">
            <w:r w:rsidRPr="009B4A02">
              <w:t>Broaden understanding of stereotypes in careers</w:t>
            </w:r>
          </w:p>
        </w:tc>
        <w:tc>
          <w:tcPr>
            <w:tcW w:w="6089" w:type="dxa"/>
            <w:vAlign w:val="center"/>
          </w:tcPr>
          <w:p w14:paraId="440D96AB" w14:textId="77777777" w:rsidR="00AD5396" w:rsidRPr="009179B5" w:rsidRDefault="00AD5396" w:rsidP="00AD5396">
            <w:pPr>
              <w:cnfStyle w:val="000000010000" w:firstRow="0" w:lastRow="0" w:firstColumn="0" w:lastColumn="0" w:oddVBand="0" w:evenVBand="0" w:oddHBand="0" w:evenHBand="1" w:firstRowFirstColumn="0" w:firstRowLastColumn="0" w:lastRowFirstColumn="0" w:lastRowLastColumn="0"/>
            </w:pPr>
            <w:r>
              <w:t xml:space="preserve">Learning area </w:t>
            </w:r>
            <w:r w:rsidRPr="009179B5">
              <w:t>B: Learning and work exploration</w:t>
            </w:r>
          </w:p>
          <w:p w14:paraId="5859EDC5" w14:textId="77777777" w:rsidR="00AD5396" w:rsidRPr="009B4A02" w:rsidRDefault="00AD5396" w:rsidP="00AD5396">
            <w:pPr>
              <w:cnfStyle w:val="000000010000" w:firstRow="0" w:lastRow="0" w:firstColumn="0" w:lastColumn="0" w:oddVBand="0" w:evenVBand="0" w:oddHBand="0" w:evenHBand="1" w:firstRowFirstColumn="0" w:firstRowLastColumn="0" w:lastRowFirstColumn="0" w:lastRowLastColumn="0"/>
            </w:pPr>
            <w:r>
              <w:t>Career management competency:</w:t>
            </w:r>
            <w:r w:rsidRPr="009179B5">
              <w:t xml:space="preserve"> 8. Understand the changing nature of life and work roles</w:t>
            </w:r>
          </w:p>
          <w:p w14:paraId="0D037BA1" w14:textId="77777777" w:rsidR="00AD5396" w:rsidRPr="009B4A02" w:rsidRDefault="00AD5396" w:rsidP="00AD5396">
            <w:pPr>
              <w:cnfStyle w:val="000000010000" w:firstRow="0" w:lastRow="0" w:firstColumn="0" w:lastColumn="0" w:oddVBand="0" w:evenVBand="0" w:oddHBand="0" w:evenHBand="1" w:firstRowFirstColumn="0" w:firstRowLastColumn="0" w:lastRowFirstColumn="0" w:lastRowLastColumn="0"/>
            </w:pPr>
            <w:r>
              <w:t>Phase: Explore non-traditional life, work options, and learn to challenge stereotypical thinking.</w:t>
            </w:r>
          </w:p>
          <w:p w14:paraId="4DFEFBFB" w14:textId="59AA99E4" w:rsidR="00AD5396" w:rsidRPr="009B4A02" w:rsidRDefault="00AD5396" w:rsidP="00AD5396">
            <w:pPr>
              <w:cnfStyle w:val="000000010000" w:firstRow="0" w:lastRow="0" w:firstColumn="0" w:lastColumn="0" w:oddVBand="0" w:evenVBand="0" w:oddHBand="0" w:evenHBand="1" w:firstRowFirstColumn="0" w:firstRowLastColumn="0" w:lastRowFirstColumn="0" w:lastRowLastColumn="0"/>
            </w:pPr>
            <w:r>
              <w:t>Performance Indicator: Create a list of high achievers or role models in non-stereotypical roles.</w:t>
            </w:r>
          </w:p>
        </w:tc>
      </w:tr>
    </w:tbl>
    <w:p w14:paraId="0BC3BC56" w14:textId="3AE3D5C8" w:rsidR="009062A5" w:rsidRPr="00991C77" w:rsidRDefault="002E248B" w:rsidP="00FA1D96">
      <w:pPr>
        <w:rPr>
          <w:sz w:val="21"/>
          <w:szCs w:val="21"/>
        </w:rPr>
      </w:pPr>
      <w:hyperlink r:id="rId15" w:history="1">
        <w:r w:rsidR="009062A5" w:rsidRPr="00991C77">
          <w:rPr>
            <w:rStyle w:val="Hyperlink"/>
            <w:sz w:val="21"/>
            <w:szCs w:val="21"/>
          </w:rPr>
          <w:t>Australian Blueprint for Career Development</w:t>
        </w:r>
      </w:hyperlink>
      <w:r w:rsidR="009062A5" w:rsidRPr="00991C77">
        <w:rPr>
          <w:sz w:val="21"/>
          <w:szCs w:val="21"/>
        </w:rPr>
        <w:t xml:space="preserve"> © Commonwealth of Australia 2022</w:t>
      </w:r>
    </w:p>
    <w:p w14:paraId="6251D4A5" w14:textId="6745AA62" w:rsidR="009062A5" w:rsidRDefault="009062A5" w:rsidP="009062A5">
      <w:pPr>
        <w:pStyle w:val="Heading3"/>
      </w:pPr>
      <w:bookmarkStart w:id="2" w:name="_Toc169867402"/>
      <w:r w:rsidRPr="009062A5">
        <w:t>Syllabus outcomes</w:t>
      </w:r>
      <w:bookmarkEnd w:id="2"/>
    </w:p>
    <w:p w14:paraId="23955CBA" w14:textId="70FAF5AD" w:rsidR="009062A5" w:rsidRDefault="009062A5" w:rsidP="009062A5">
      <w:pPr>
        <w:pStyle w:val="ListBullet"/>
      </w:pPr>
      <w:r w:rsidRPr="009062A5">
        <w:rPr>
          <w:rStyle w:val="Strong"/>
        </w:rPr>
        <w:t>PD4-3</w:t>
      </w:r>
      <w:r>
        <w:t xml:space="preserve"> investigates effective strategies to promote inclusivity, </w:t>
      </w:r>
      <w:r w:rsidR="00BC51F0">
        <w:t>equality,</w:t>
      </w:r>
      <w:r>
        <w:t xml:space="preserve"> and respectful relationships</w:t>
      </w:r>
    </w:p>
    <w:p w14:paraId="341310BB" w14:textId="77777777" w:rsidR="009062A5" w:rsidRDefault="009062A5" w:rsidP="009062A5">
      <w:pPr>
        <w:pStyle w:val="ListBullet"/>
      </w:pPr>
      <w:r w:rsidRPr="009062A5">
        <w:rPr>
          <w:rStyle w:val="Strong"/>
        </w:rPr>
        <w:t>PD4-10</w:t>
      </w:r>
      <w:r>
        <w:t xml:space="preserve"> applies and refines interpersonal skills to assist themselves and others to interact respectfully and promote inclusion in a variety of groups or contexts</w:t>
      </w:r>
    </w:p>
    <w:tbl>
      <w:tblPr>
        <w:tblStyle w:val="Tableheader"/>
        <w:tblW w:w="0" w:type="auto"/>
        <w:tblLook w:val="04A0" w:firstRow="1" w:lastRow="0" w:firstColumn="1" w:lastColumn="0" w:noHBand="0" w:noVBand="1"/>
      </w:tblPr>
      <w:tblGrid>
        <w:gridCol w:w="3154"/>
        <w:gridCol w:w="6418"/>
      </w:tblGrid>
      <w:tr w:rsidR="009062A5" w:rsidRPr="00346EFA" w14:paraId="2EEE43AB" w14:textId="77777777" w:rsidTr="00125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14:paraId="168FC717" w14:textId="77777777" w:rsidR="009062A5" w:rsidRPr="00346EFA" w:rsidRDefault="009062A5" w:rsidP="00125A4A">
            <w:r w:rsidRPr="00346EFA">
              <w:lastRenderedPageBreak/>
              <w:t>Key inquiry question</w:t>
            </w:r>
          </w:p>
        </w:tc>
        <w:tc>
          <w:tcPr>
            <w:tcW w:w="6418" w:type="dxa"/>
          </w:tcPr>
          <w:p w14:paraId="24D588CF" w14:textId="77777777" w:rsidR="009062A5" w:rsidRPr="00346EFA" w:rsidRDefault="009062A5" w:rsidP="00125A4A">
            <w:pPr>
              <w:cnfStyle w:val="100000000000" w:firstRow="1" w:lastRow="0" w:firstColumn="0" w:lastColumn="0" w:oddVBand="0" w:evenVBand="0" w:oddHBand="0" w:evenHBand="0" w:firstRowFirstColumn="0" w:firstRowLastColumn="0" w:lastRowFirstColumn="0" w:lastRowLastColumn="0"/>
            </w:pPr>
            <w:r w:rsidRPr="00346EFA">
              <w:t>Syllabus content</w:t>
            </w:r>
          </w:p>
        </w:tc>
      </w:tr>
      <w:tr w:rsidR="009062A5" w:rsidRPr="00346EFA" w14:paraId="185C5159" w14:textId="77777777" w:rsidTr="00125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14:paraId="05A6C221" w14:textId="77777777" w:rsidR="009062A5" w:rsidRPr="00346EFA" w:rsidRDefault="009062A5" w:rsidP="00125A4A">
            <w:r w:rsidRPr="00346EFA">
              <w:t>What positive actions contribute to the health, safety, wellbeing, and participation in physical activity levels of the wider community?</w:t>
            </w:r>
          </w:p>
        </w:tc>
        <w:tc>
          <w:tcPr>
            <w:tcW w:w="6418" w:type="dxa"/>
          </w:tcPr>
          <w:p w14:paraId="697218A5" w14:textId="77777777" w:rsidR="009062A5" w:rsidRPr="00346EFA" w:rsidRDefault="009062A5" w:rsidP="00125A4A">
            <w:pPr>
              <w:cnfStyle w:val="000000100000" w:firstRow="0" w:lastRow="0" w:firstColumn="0" w:lastColumn="0" w:oddVBand="0" w:evenVBand="0" w:oddHBand="1" w:evenHBand="0" w:firstRowFirstColumn="0" w:firstRowLastColumn="0" w:lastRowFirstColumn="0" w:lastRowLastColumn="0"/>
            </w:pPr>
            <w:r w:rsidRPr="00346EFA">
              <w:t>Investigate the benefits to individuals and communities of valuing diversity and promoting inclusivity:</w:t>
            </w:r>
          </w:p>
          <w:p w14:paraId="592855AB" w14:textId="77777777" w:rsidR="009062A5" w:rsidRPr="00346EFA" w:rsidRDefault="009062A5" w:rsidP="00125A4A">
            <w:pPr>
              <w:pStyle w:val="ListBullet"/>
              <w:cnfStyle w:val="000000100000" w:firstRow="0" w:lastRow="0" w:firstColumn="0" w:lastColumn="0" w:oddVBand="0" w:evenVBand="0" w:oddHBand="1" w:evenHBand="0" w:firstRowFirstColumn="0" w:firstRowLastColumn="0" w:lastRowFirstColumn="0" w:lastRowLastColumn="0"/>
            </w:pPr>
            <w:r w:rsidRPr="00346EFA">
              <w:t xml:space="preserve">explore their own and others’ values and beliefs towards issues of discrimination, for example disability, age, religion, race, sexuality, gender </w:t>
            </w:r>
          </w:p>
          <w:p w14:paraId="7B6B7841" w14:textId="58C2DCEF" w:rsidR="009062A5" w:rsidRPr="00346EFA" w:rsidRDefault="009062A5" w:rsidP="00125A4A">
            <w:pPr>
              <w:pStyle w:val="ListBullet"/>
              <w:cnfStyle w:val="000000100000" w:firstRow="0" w:lastRow="0" w:firstColumn="0" w:lastColumn="0" w:oddVBand="0" w:evenVBand="0" w:oddHBand="1" w:evenHBand="0" w:firstRowFirstColumn="0" w:firstRowLastColumn="0" w:lastRowFirstColumn="0" w:lastRowLastColumn="0"/>
            </w:pPr>
            <w:r w:rsidRPr="00346EFA">
              <w:t xml:space="preserve">research how stereotypes and prejudice are challenged in local, </w:t>
            </w:r>
            <w:r w:rsidR="00BC51F0" w:rsidRPr="00346EFA">
              <w:t>national,</w:t>
            </w:r>
            <w:r w:rsidRPr="00346EFA">
              <w:t xml:space="preserve"> and global contexts</w:t>
            </w:r>
          </w:p>
          <w:p w14:paraId="64F14E78" w14:textId="77777777" w:rsidR="009062A5" w:rsidRPr="00346EFA" w:rsidRDefault="009062A5" w:rsidP="00125A4A">
            <w:pPr>
              <w:pStyle w:val="ListBullet"/>
              <w:cnfStyle w:val="000000100000" w:firstRow="0" w:lastRow="0" w:firstColumn="0" w:lastColumn="0" w:oddVBand="0" w:evenVBand="0" w:oddHBand="1" w:evenHBand="0" w:firstRowFirstColumn="0" w:firstRowLastColumn="0" w:lastRowFirstColumn="0" w:lastRowLastColumn="0"/>
            </w:pPr>
            <w:r w:rsidRPr="00346EFA">
              <w:t>discuss how challenging and resisting stereotypes can help young people to be themselves</w:t>
            </w:r>
          </w:p>
        </w:tc>
      </w:tr>
    </w:tbl>
    <w:p w14:paraId="78183E2B" w14:textId="012DD7EE" w:rsidR="009062A5" w:rsidRPr="00955E2C" w:rsidRDefault="002E248B" w:rsidP="000A0761">
      <w:pPr>
        <w:pStyle w:val="Pulloutquote"/>
        <w:ind w:left="0"/>
        <w:rPr>
          <w:sz w:val="21"/>
          <w:szCs w:val="21"/>
        </w:rPr>
      </w:pPr>
      <w:hyperlink r:id="rId16" w:history="1">
        <w:r w:rsidR="009062A5" w:rsidRPr="00955E2C">
          <w:rPr>
            <w:rStyle w:val="Hyperlink"/>
            <w:sz w:val="21"/>
            <w:szCs w:val="21"/>
          </w:rPr>
          <w:t>PDHPE K–10 Syllabus</w:t>
        </w:r>
      </w:hyperlink>
      <w:r w:rsidR="009062A5" w:rsidRPr="00955E2C">
        <w:rPr>
          <w:sz w:val="21"/>
          <w:szCs w:val="21"/>
        </w:rPr>
        <w:t xml:space="preserve"> © NSW Education Standards Authority (NESA) for and on behalf of the Crown in right of the State of New South Wales (2018)</w:t>
      </w:r>
      <w:r w:rsidR="000A0761" w:rsidRPr="00955E2C">
        <w:rPr>
          <w:sz w:val="21"/>
          <w:szCs w:val="21"/>
        </w:rPr>
        <w:t>.</w:t>
      </w:r>
    </w:p>
    <w:p w14:paraId="13E27646" w14:textId="76BF5A17" w:rsidR="009062A5" w:rsidRDefault="009062A5" w:rsidP="009062A5">
      <w:pPr>
        <w:pStyle w:val="Heading2"/>
      </w:pPr>
      <w:bookmarkStart w:id="3" w:name="_Toc169867403"/>
      <w:r w:rsidRPr="009062A5">
        <w:t>Learning experiences</w:t>
      </w:r>
      <w:bookmarkEnd w:id="3"/>
    </w:p>
    <w:p w14:paraId="21EA866C" w14:textId="262F9D51" w:rsidR="009062A5" w:rsidRDefault="009062A5" w:rsidP="009062A5">
      <w:r>
        <w:t xml:space="preserve">In this lesson plan, students will identify that gender stereotypes and bias is developed at </w:t>
      </w:r>
      <w:r w:rsidR="001E527F">
        <w:t>an early age</w:t>
      </w:r>
      <w:r>
        <w:t xml:space="preserve"> and is applied to occupations. </w:t>
      </w:r>
    </w:p>
    <w:p w14:paraId="51FA9D89" w14:textId="3D33B474" w:rsidR="009062A5" w:rsidRDefault="009062A5" w:rsidP="009062A5">
      <w:pPr>
        <w:rPr>
          <w:rStyle w:val="Strong"/>
        </w:rPr>
      </w:pPr>
      <w:r w:rsidRPr="009062A5">
        <w:rPr>
          <w:rStyle w:val="Strong"/>
        </w:rPr>
        <w:t>Students will:</w:t>
      </w:r>
    </w:p>
    <w:p w14:paraId="79632A26" w14:textId="77777777" w:rsidR="009062A5" w:rsidRDefault="009062A5" w:rsidP="009062A5">
      <w:pPr>
        <w:pStyle w:val="ListBullet"/>
      </w:pPr>
      <w:r>
        <w:t>explore the historic inequalities for women in the workforce</w:t>
      </w:r>
    </w:p>
    <w:p w14:paraId="6C54E9E4" w14:textId="77777777" w:rsidR="009062A5" w:rsidRDefault="009062A5" w:rsidP="009062A5">
      <w:pPr>
        <w:pStyle w:val="ListBullet"/>
      </w:pPr>
      <w:r>
        <w:t>explore career stereotypes and the range of occupations available across typically stereotyped industries.</w:t>
      </w:r>
    </w:p>
    <w:p w14:paraId="14E35022" w14:textId="77777777" w:rsidR="009062A5" w:rsidRDefault="009062A5" w:rsidP="009062A5">
      <w:r w:rsidRPr="009062A5">
        <w:rPr>
          <w:rStyle w:val="Strong"/>
        </w:rPr>
        <w:t>Suggested duration:</w:t>
      </w:r>
      <w:r>
        <w:t xml:space="preserve"> 2 x 60 minutes</w:t>
      </w:r>
    </w:p>
    <w:p w14:paraId="70A6C5B1" w14:textId="6F85F23A" w:rsidR="009062A5" w:rsidRDefault="009062A5" w:rsidP="009062A5">
      <w:r w:rsidRPr="009062A5">
        <w:rPr>
          <w:rStyle w:val="Strong"/>
        </w:rPr>
        <w:t>Audience:</w:t>
      </w:r>
      <w:r>
        <w:t xml:space="preserve"> To participate in this activity, it is assumed that students have a basic understanding of the following Stage 4 PDHPE content:</w:t>
      </w:r>
    </w:p>
    <w:p w14:paraId="2E63FF00" w14:textId="77777777" w:rsidR="009062A5" w:rsidRDefault="009062A5" w:rsidP="009062A5">
      <w:pPr>
        <w:pStyle w:val="ListBullet"/>
      </w:pPr>
      <w:r>
        <w:t>definitions of stereotypes and prejudice</w:t>
      </w:r>
    </w:p>
    <w:p w14:paraId="4D3A745F" w14:textId="77777777" w:rsidR="009062A5" w:rsidRDefault="009062A5" w:rsidP="009062A5">
      <w:pPr>
        <w:pStyle w:val="ListBullet"/>
      </w:pPr>
      <w:r>
        <w:t>sources that create stereotypes</w:t>
      </w:r>
    </w:p>
    <w:p w14:paraId="568F4464" w14:textId="77777777" w:rsidR="009062A5" w:rsidRDefault="009062A5" w:rsidP="009062A5">
      <w:pPr>
        <w:pStyle w:val="ListBullet"/>
      </w:pPr>
      <w:r>
        <w:t>how stereotypes impact on personal identity</w:t>
      </w:r>
    </w:p>
    <w:p w14:paraId="1C3880BA" w14:textId="74CB64E5" w:rsidR="009062A5" w:rsidRDefault="009062A5" w:rsidP="009062A5">
      <w:pPr>
        <w:pStyle w:val="Heading3"/>
      </w:pPr>
      <w:bookmarkStart w:id="4" w:name="_Toc169867404"/>
      <w:r w:rsidRPr="009062A5">
        <w:lastRenderedPageBreak/>
        <w:t>Resources required</w:t>
      </w:r>
      <w:bookmarkEnd w:id="4"/>
    </w:p>
    <w:p w14:paraId="3C3C1C6C" w14:textId="14235787" w:rsidR="009062A5" w:rsidRDefault="009062A5" w:rsidP="009062A5">
      <w:r w:rsidRPr="009062A5">
        <w:t>To complete these activities the teacher will need:</w:t>
      </w:r>
    </w:p>
    <w:p w14:paraId="3A5B91CB" w14:textId="77777777" w:rsidR="009062A5" w:rsidRPr="009062A5" w:rsidRDefault="009062A5" w:rsidP="009062A5">
      <w:pPr>
        <w:pStyle w:val="ListBullet"/>
      </w:pPr>
      <w:r w:rsidRPr="009062A5">
        <w:t>access to a digital whiteboard</w:t>
      </w:r>
    </w:p>
    <w:p w14:paraId="6F65AFB4" w14:textId="324EF6A7" w:rsidR="009062A5" w:rsidRDefault="009062A5" w:rsidP="009062A5">
      <w:r w:rsidRPr="009062A5">
        <w:t>students will need:</w:t>
      </w:r>
    </w:p>
    <w:p w14:paraId="13D6C6D3" w14:textId="77777777" w:rsidR="009062A5" w:rsidRDefault="009062A5" w:rsidP="009062A5">
      <w:pPr>
        <w:pStyle w:val="ListBullet"/>
      </w:pPr>
      <w:r>
        <w:t>whiteboard or butchers’ paper and markers.</w:t>
      </w:r>
    </w:p>
    <w:p w14:paraId="31964539" w14:textId="0B94CD5C" w:rsidR="009062A5" w:rsidRDefault="009062A5" w:rsidP="009062A5">
      <w:pPr>
        <w:pStyle w:val="ListBullet"/>
      </w:pPr>
      <w:r>
        <w:t xml:space="preserve">access to a computer and internet access including </w:t>
      </w:r>
      <w:hyperlink r:id="rId17" w:history="1">
        <w:r w:rsidRPr="00A16286">
          <w:rPr>
            <w:rStyle w:val="Hyperlink"/>
          </w:rPr>
          <w:t>#RedrawTheBalance</w:t>
        </w:r>
      </w:hyperlink>
      <w:r>
        <w:t xml:space="preserve"> (2:07), </w:t>
      </w:r>
      <w:hyperlink r:id="rId18" w:history="1">
        <w:r w:rsidRPr="00115A0A">
          <w:rPr>
            <w:rStyle w:val="Hyperlink"/>
          </w:rPr>
          <w:t>Australian Government, Workplace Gender Equality Agency</w:t>
        </w:r>
      </w:hyperlink>
      <w:r>
        <w:t xml:space="preserve">, </w:t>
      </w:r>
      <w:hyperlink r:id="rId19" w:history="1">
        <w:r w:rsidRPr="00AE0ED0">
          <w:rPr>
            <w:rStyle w:val="Hyperlink"/>
          </w:rPr>
          <w:t>soleaustralia.com/</w:t>
        </w:r>
      </w:hyperlink>
      <w:r>
        <w:t xml:space="preserve"> (additional websites listed in teacher’s notes below)</w:t>
      </w:r>
    </w:p>
    <w:p w14:paraId="6CEA7ADD" w14:textId="77777777" w:rsidR="009062A5" w:rsidRDefault="009062A5" w:rsidP="009062A5">
      <w:pPr>
        <w:pStyle w:val="ListBullet"/>
      </w:pPr>
      <w:r>
        <w:t>student workbooks.</w:t>
      </w:r>
    </w:p>
    <w:p w14:paraId="111C76F4" w14:textId="427E5D3A" w:rsidR="009062A5" w:rsidRDefault="009062A5" w:rsidP="009062A5">
      <w:pPr>
        <w:pStyle w:val="Heading3"/>
      </w:pPr>
      <w:bookmarkStart w:id="5" w:name="_Toc169867405"/>
      <w:r w:rsidRPr="009062A5">
        <w:t>Activity 1 – Exploring unconscious bias</w:t>
      </w:r>
      <w:bookmarkEnd w:id="5"/>
    </w:p>
    <w:p w14:paraId="248B15E1" w14:textId="1FDA4EAB" w:rsidR="009062A5" w:rsidRDefault="009062A5" w:rsidP="009062A5">
      <w:r w:rsidRPr="009062A5">
        <w:t>Use a scenario to explore unconscious bias. An example might be:</w:t>
      </w:r>
    </w:p>
    <w:p w14:paraId="3C30E487" w14:textId="77777777" w:rsidR="009062A5" w:rsidRDefault="009062A5" w:rsidP="009062A5">
      <w:r>
        <w:t xml:space="preserve">A father and son are in a car crash and are rushed to the hospital. The father dies. The boy is taken to the operating room and the surgeon says, “I can't operate on this boy, because </w:t>
      </w:r>
      <w:proofErr w:type="gramStart"/>
      <w:r>
        <w:t>he's</w:t>
      </w:r>
      <w:proofErr w:type="gramEnd"/>
      <w:r>
        <w:t xml:space="preserve"> my son.”</w:t>
      </w:r>
    </w:p>
    <w:p w14:paraId="14F3DC8F" w14:textId="3ABBDF11" w:rsidR="009062A5" w:rsidRDefault="009062A5" w:rsidP="009062A5">
      <w:r>
        <w:t>As a class, discuss the scenario:</w:t>
      </w:r>
    </w:p>
    <w:p w14:paraId="72A9F6C0" w14:textId="77777777" w:rsidR="009062A5" w:rsidRDefault="009062A5" w:rsidP="009062A5">
      <w:pPr>
        <w:pStyle w:val="ListBullet"/>
      </w:pPr>
      <w:r>
        <w:t>What assumptions are made about people in the scenario?</w:t>
      </w:r>
    </w:p>
    <w:p w14:paraId="7D6C0E12" w14:textId="77777777" w:rsidR="009062A5" w:rsidRDefault="009062A5" w:rsidP="009062A5">
      <w:pPr>
        <w:pStyle w:val="ListBullet"/>
      </w:pPr>
      <w:r>
        <w:t>Where do our assumptions come from?</w:t>
      </w:r>
    </w:p>
    <w:p w14:paraId="3564BF27" w14:textId="77777777" w:rsidR="009062A5" w:rsidRDefault="009062A5" w:rsidP="009062A5">
      <w:pPr>
        <w:pStyle w:val="ListBullet"/>
      </w:pPr>
      <w:r>
        <w:t>Record other assumptions which made in relation to occupations. Save for later discussion.</w:t>
      </w:r>
    </w:p>
    <w:p w14:paraId="372C95D1" w14:textId="26534896" w:rsidR="009062A5" w:rsidRDefault="009062A5" w:rsidP="009062A5">
      <w:pPr>
        <w:pStyle w:val="FeatureBox2"/>
      </w:pPr>
      <w:r w:rsidRPr="009062A5">
        <w:rPr>
          <w:rStyle w:val="Strong"/>
        </w:rPr>
        <w:t>Teacher notes:</w:t>
      </w:r>
      <w:r w:rsidRPr="009062A5">
        <w:t xml:space="preserve"> Most people cannot solve this riddle because they are unable to imagine the surgeon is a woman. The surgeon is the boy’s mother. This is an example of the unconscious bias that can exist in the minds of people when it comes to women in medicine. This can be discussed further in relation to women in trades or men working in childcare or arts sectors.</w:t>
      </w:r>
    </w:p>
    <w:p w14:paraId="5C8E1AF4" w14:textId="002916B4" w:rsidR="002A2060" w:rsidRDefault="002A2060" w:rsidP="002A2060">
      <w:pPr>
        <w:pStyle w:val="Heading3"/>
      </w:pPr>
      <w:bookmarkStart w:id="6" w:name="_Toc169867406"/>
      <w:r w:rsidRPr="002A2060">
        <w:lastRenderedPageBreak/>
        <w:t>Activity 2 – Gender stereotypes in the workforce</w:t>
      </w:r>
      <w:bookmarkEnd w:id="6"/>
    </w:p>
    <w:p w14:paraId="7925C107" w14:textId="0380F235" w:rsidR="002A2060" w:rsidRDefault="002A2060" w:rsidP="002A2060">
      <w:r>
        <w:t xml:space="preserve">View </w:t>
      </w:r>
      <w:hyperlink r:id="rId20" w:history="1">
        <w:r w:rsidRPr="00FF762E">
          <w:rPr>
            <w:rStyle w:val="Hyperlink"/>
          </w:rPr>
          <w:t>#Redraw the balance</w:t>
        </w:r>
      </w:hyperlink>
      <w:r>
        <w:t xml:space="preserve"> (2:07) </w:t>
      </w:r>
    </w:p>
    <w:p w14:paraId="1A3D7B49" w14:textId="386B1178" w:rsidR="002A2060" w:rsidRDefault="002A2060" w:rsidP="002A2060">
      <w:r>
        <w:t>After the clip, ask students:</w:t>
      </w:r>
    </w:p>
    <w:p w14:paraId="70DD1ED9" w14:textId="77777777" w:rsidR="002A2060" w:rsidRDefault="002A2060" w:rsidP="002A2060">
      <w:pPr>
        <w:pStyle w:val="ListBullet"/>
      </w:pPr>
      <w:r>
        <w:t>Why were the young students surprised when the workers revealed who they were?</w:t>
      </w:r>
    </w:p>
    <w:p w14:paraId="6DF55860" w14:textId="77777777" w:rsidR="002A2060" w:rsidRDefault="002A2060" w:rsidP="002A2060">
      <w:pPr>
        <w:pStyle w:val="ListBullet"/>
      </w:pPr>
      <w:r>
        <w:t>At what age do you think children fix their idea on careers?</w:t>
      </w:r>
    </w:p>
    <w:p w14:paraId="784C4A4A" w14:textId="77777777" w:rsidR="002A2060" w:rsidRDefault="002A2060" w:rsidP="002A2060">
      <w:pPr>
        <w:pStyle w:val="ListBullet"/>
      </w:pPr>
      <w:r>
        <w:t>Are there jobs that are traditionally filled by men or women? Share the list you created in the previous activity.</w:t>
      </w:r>
    </w:p>
    <w:p w14:paraId="21CAFCFC" w14:textId="77777777" w:rsidR="002A2060" w:rsidRDefault="002A2060" w:rsidP="002A2060">
      <w:pPr>
        <w:pStyle w:val="ListBullet"/>
      </w:pPr>
      <w:r>
        <w:t>To what extent do you think this perception of traditional jobs for genders is changing? What is causing this change? What is hindering this change?</w:t>
      </w:r>
    </w:p>
    <w:p w14:paraId="03580C05" w14:textId="77777777" w:rsidR="002A2060" w:rsidRDefault="002A2060" w:rsidP="002A2060">
      <w:pPr>
        <w:pStyle w:val="ListBullet"/>
      </w:pPr>
      <w:r>
        <w:t>What can you do as an individual, to change and challenge traditional stereotypes of gender roles in the workplace?</w:t>
      </w:r>
    </w:p>
    <w:p w14:paraId="55868500" w14:textId="670A82F6" w:rsidR="002A2060" w:rsidRDefault="002A2060" w:rsidP="002A2060">
      <w:pPr>
        <w:pStyle w:val="FeatureBox2"/>
      </w:pPr>
      <w:r w:rsidRPr="002A2060">
        <w:rPr>
          <w:rStyle w:val="Strong"/>
        </w:rPr>
        <w:t>Teacher notes:</w:t>
      </w:r>
      <w:r w:rsidRPr="002A2060">
        <w:t xml:space="preserve">  Gender stereotypes are defined between 5 and 7 years of age. Discuss with students why this might occur. For example, think about the language we use for job roles, ‘fireman</w:t>
      </w:r>
      <w:r w:rsidR="00BC51F0" w:rsidRPr="002A2060">
        <w:t>.’</w:t>
      </w:r>
      <w:r w:rsidRPr="002A2060">
        <w:t xml:space="preserve"> </w:t>
      </w:r>
    </w:p>
    <w:p w14:paraId="2C2A5C13" w14:textId="04580FE4" w:rsidR="002A2060" w:rsidRDefault="002A2060" w:rsidP="002A2060">
      <w:pPr>
        <w:pStyle w:val="FeatureBox2"/>
      </w:pPr>
      <w:r w:rsidRPr="002A2060">
        <w:t xml:space="preserve">Workplace gender equality is achieved when people can access and enjoy the same rewards, resources, and opportunities regardless of gender. (Source </w:t>
      </w:r>
      <w:hyperlink r:id="rId21" w:history="1">
        <w:r w:rsidRPr="009133E8">
          <w:rPr>
            <w:rStyle w:val="Hyperlink"/>
          </w:rPr>
          <w:t>Australian Government, Workplace Gender Equality Agency</w:t>
        </w:r>
      </w:hyperlink>
      <w:r w:rsidRPr="002A2060">
        <w:t>)</w:t>
      </w:r>
    </w:p>
    <w:p w14:paraId="21D704BF" w14:textId="3809CA6D" w:rsidR="002A2060" w:rsidRDefault="002A2060" w:rsidP="002A2060">
      <w:pPr>
        <w:pStyle w:val="Heading3"/>
      </w:pPr>
      <w:bookmarkStart w:id="7" w:name="_Toc169867407"/>
      <w:r w:rsidRPr="002A2060">
        <w:t>Activity 3 – Exploring career choices</w:t>
      </w:r>
      <w:bookmarkEnd w:id="7"/>
    </w:p>
    <w:p w14:paraId="6A75FF23" w14:textId="77777777" w:rsidR="002A2060" w:rsidRDefault="002A2060" w:rsidP="002A2060">
      <w:r>
        <w:t>Students respond to one of the questions below. Select an occupation for further exploration to support the response. A collaborative learning approach may be used to complete this task. For example, self-organised learning environment, (SOLE)</w:t>
      </w:r>
    </w:p>
    <w:p w14:paraId="6A9303FA" w14:textId="4BC9E297" w:rsidR="002A2060" w:rsidRDefault="002A2060" w:rsidP="002A2060">
      <w:r>
        <w:t>Select from one of the question options:</w:t>
      </w:r>
    </w:p>
    <w:p w14:paraId="5666CA7C" w14:textId="77777777" w:rsidR="002A2060" w:rsidRDefault="002A2060" w:rsidP="002A2060">
      <w:pPr>
        <w:pStyle w:val="ListBullet"/>
      </w:pPr>
      <w:r>
        <w:t>How can I choose the career I want when society tells me otherwise?</w:t>
      </w:r>
    </w:p>
    <w:p w14:paraId="4072EDF5" w14:textId="77777777" w:rsidR="002A2060" w:rsidRDefault="002A2060" w:rsidP="002A2060">
      <w:pPr>
        <w:pStyle w:val="ListBullet"/>
      </w:pPr>
      <w:r>
        <w:t>Respond to the statement: There are no limits to the career I choose.</w:t>
      </w:r>
    </w:p>
    <w:p w14:paraId="4F12B13D" w14:textId="5CEC9511" w:rsidR="002A2060" w:rsidRDefault="002A2060" w:rsidP="002A2060">
      <w:pPr>
        <w:pStyle w:val="FeatureBox2"/>
      </w:pPr>
      <w:r w:rsidRPr="002A2060">
        <w:rPr>
          <w:rStyle w:val="Strong"/>
        </w:rPr>
        <w:lastRenderedPageBreak/>
        <w:t>Teacher notes:</w:t>
      </w:r>
      <w:r>
        <w:t xml:space="preserve"> The last census shows that of the top 30 jobs in Australia, all but a handful were skewed more than 75 percent towards one gender or the other. (</w:t>
      </w:r>
      <w:hyperlink r:id="rId22" w:history="1">
        <w:r w:rsidRPr="005815EA">
          <w:rPr>
            <w:rStyle w:val="Hyperlink"/>
          </w:rPr>
          <w:t>The most manly (and womanly) jobs in Australia</w:t>
        </w:r>
      </w:hyperlink>
      <w:r>
        <w:t>)</w:t>
      </w:r>
    </w:p>
    <w:p w14:paraId="1B2643BC" w14:textId="77777777" w:rsidR="002A2060" w:rsidRDefault="002A2060" w:rsidP="002A2060">
      <w:pPr>
        <w:pStyle w:val="FeatureBox2"/>
      </w:pPr>
      <w:r>
        <w:t xml:space="preserve">Students explore gender and occupation choice such as women in STEM, men in nursing, jobs of the future. Resources to access include but are not limited to: </w:t>
      </w:r>
    </w:p>
    <w:p w14:paraId="26013D38" w14:textId="5A06AC55" w:rsidR="002A2060" w:rsidRDefault="002A2060" w:rsidP="002A2060">
      <w:pPr>
        <w:pStyle w:val="FeatureBox2"/>
      </w:pPr>
      <w:r>
        <w:t>•</w:t>
      </w:r>
      <w:r>
        <w:tab/>
      </w:r>
      <w:hyperlink r:id="rId23" w:history="1">
        <w:r w:rsidRPr="00811169">
          <w:rPr>
            <w:rStyle w:val="Hyperlink"/>
          </w:rPr>
          <w:t>Australian jobs overview</w:t>
        </w:r>
      </w:hyperlink>
      <w:r>
        <w:t xml:space="preserve"> </w:t>
      </w:r>
    </w:p>
    <w:p w14:paraId="1896507B" w14:textId="1DABE87E" w:rsidR="002A2060" w:rsidRDefault="002A2060" w:rsidP="002A2060">
      <w:pPr>
        <w:pStyle w:val="FeatureBox2"/>
      </w:pPr>
      <w:r>
        <w:t>•</w:t>
      </w:r>
      <w:r>
        <w:tab/>
      </w:r>
      <w:hyperlink r:id="rId24" w:history="1">
        <w:proofErr w:type="spellStart"/>
        <w:r w:rsidRPr="009E7C64">
          <w:rPr>
            <w:rStyle w:val="Hyperlink"/>
          </w:rPr>
          <w:t>Skillsone</w:t>
        </w:r>
        <w:proofErr w:type="spellEnd"/>
      </w:hyperlink>
    </w:p>
    <w:p w14:paraId="599A4EEE" w14:textId="64FEB209" w:rsidR="002A2060" w:rsidRDefault="002A2060" w:rsidP="002A2060">
      <w:pPr>
        <w:pStyle w:val="FeatureBox2"/>
      </w:pPr>
      <w:r>
        <w:t>•</w:t>
      </w:r>
      <w:r>
        <w:tab/>
      </w:r>
      <w:hyperlink r:id="rId25" w:history="1">
        <w:r w:rsidRPr="000B7301">
          <w:rPr>
            <w:rStyle w:val="Hyperlink"/>
          </w:rPr>
          <w:t>myfuture</w:t>
        </w:r>
      </w:hyperlink>
    </w:p>
    <w:p w14:paraId="0FD2EEE9" w14:textId="4E43B21C" w:rsidR="002A2060" w:rsidRDefault="002A2060" w:rsidP="002A2060">
      <w:pPr>
        <w:pStyle w:val="FeatureBox2"/>
      </w:pPr>
      <w:r>
        <w:t>•</w:t>
      </w:r>
      <w:r>
        <w:tab/>
      </w:r>
      <w:hyperlink r:id="rId26" w:history="1">
        <w:proofErr w:type="spellStart"/>
        <w:r w:rsidRPr="00BB2D8E">
          <w:rPr>
            <w:rStyle w:val="Hyperlink"/>
          </w:rPr>
          <w:t>JobOutlook</w:t>
        </w:r>
        <w:proofErr w:type="spellEnd"/>
      </w:hyperlink>
      <w:r>
        <w:t xml:space="preserve"> </w:t>
      </w:r>
    </w:p>
    <w:p w14:paraId="2A240A15" w14:textId="689D5BD1" w:rsidR="002A2060" w:rsidRDefault="002A2060" w:rsidP="002A2060">
      <w:pPr>
        <w:pStyle w:val="FeatureBox2"/>
      </w:pPr>
      <w:r>
        <w:t>•</w:t>
      </w:r>
      <w:r>
        <w:tab/>
      </w:r>
      <w:hyperlink r:id="rId27" w:history="1">
        <w:r w:rsidRPr="0015429C">
          <w:rPr>
            <w:rStyle w:val="Hyperlink"/>
          </w:rPr>
          <w:t>Careers with STEM</w:t>
        </w:r>
      </w:hyperlink>
    </w:p>
    <w:p w14:paraId="43A38C43" w14:textId="7A5BB1D0" w:rsidR="002A2060" w:rsidRDefault="002A2060" w:rsidP="002A2060">
      <w:pPr>
        <w:pStyle w:val="FeatureBox2"/>
      </w:pPr>
      <w:r>
        <w:t>•</w:t>
      </w:r>
      <w:r>
        <w:tab/>
      </w:r>
      <w:hyperlink r:id="rId28" w:history="1">
        <w:r w:rsidRPr="00A91B44">
          <w:rPr>
            <w:rStyle w:val="Hyperlink"/>
          </w:rPr>
          <w:t>Women in Policing</w:t>
        </w:r>
      </w:hyperlink>
    </w:p>
    <w:p w14:paraId="7448CEDD" w14:textId="22032EB3" w:rsidR="002A2060" w:rsidRDefault="002A2060" w:rsidP="002A2060">
      <w:pPr>
        <w:pStyle w:val="FeatureBox2"/>
      </w:pPr>
      <w:r>
        <w:t>•</w:t>
      </w:r>
      <w:r>
        <w:tab/>
      </w:r>
      <w:hyperlink r:id="rId29" w:history="1">
        <w:r w:rsidRPr="007834C7">
          <w:rPr>
            <w:rStyle w:val="Hyperlink"/>
          </w:rPr>
          <w:t>Women in Defence</w:t>
        </w:r>
      </w:hyperlink>
    </w:p>
    <w:p w14:paraId="1E3D575B" w14:textId="2DACD576" w:rsidR="002A2060" w:rsidRDefault="002A2060" w:rsidP="002A2060">
      <w:pPr>
        <w:pStyle w:val="FeatureBox2"/>
      </w:pPr>
      <w:r>
        <w:t>•</w:t>
      </w:r>
      <w:r>
        <w:tab/>
      </w:r>
      <w:hyperlink r:id="rId30" w:history="1">
        <w:r w:rsidRPr="003F6049">
          <w:rPr>
            <w:rStyle w:val="Hyperlink"/>
          </w:rPr>
          <w:t>Occupation by gender (UK) report</w:t>
        </w:r>
      </w:hyperlink>
    </w:p>
    <w:p w14:paraId="0CA922B2" w14:textId="513C1B2E" w:rsidR="005F58F9" w:rsidRDefault="005F58F9" w:rsidP="005F58F9">
      <w:pPr>
        <w:rPr>
          <w:rStyle w:val="Strong"/>
        </w:rPr>
      </w:pPr>
      <w:r w:rsidRPr="005F58F9">
        <w:rPr>
          <w:rStyle w:val="Strong"/>
        </w:rPr>
        <w:t>Setting up your self-organised learning environment (SOLE)</w:t>
      </w:r>
    </w:p>
    <w:p w14:paraId="0C2C1E6D" w14:textId="77777777" w:rsidR="005F58F9" w:rsidRPr="005F58F9" w:rsidRDefault="005F58F9" w:rsidP="005F58F9">
      <w:pPr>
        <w:pStyle w:val="ListBullet"/>
      </w:pPr>
      <w:r w:rsidRPr="005F58F9">
        <w:t>Provide students with an overview of the SOLE process.</w:t>
      </w:r>
    </w:p>
    <w:p w14:paraId="1811CAAE" w14:textId="77777777" w:rsidR="005F58F9" w:rsidRPr="005F58F9" w:rsidRDefault="005F58F9" w:rsidP="005F58F9">
      <w:pPr>
        <w:pStyle w:val="ListBullet3"/>
      </w:pPr>
      <w:r w:rsidRPr="005F58F9">
        <w:t>Students will form groups of 4. Within these groups, allocate a helper.</w:t>
      </w:r>
    </w:p>
    <w:p w14:paraId="7D993473" w14:textId="77777777" w:rsidR="005F58F9" w:rsidRPr="005F58F9" w:rsidRDefault="005F58F9" w:rsidP="005F58F9">
      <w:pPr>
        <w:pStyle w:val="ListBullet3"/>
      </w:pPr>
      <w:r w:rsidRPr="005F58F9">
        <w:t>Each group will have 1 computer per group (only), a whiteboard or butchers’ paper, markers.</w:t>
      </w:r>
    </w:p>
    <w:p w14:paraId="797E10CE" w14:textId="77777777" w:rsidR="005F58F9" w:rsidRPr="005F58F9" w:rsidRDefault="005F58F9" w:rsidP="005F58F9">
      <w:pPr>
        <w:pStyle w:val="ListBullet3"/>
      </w:pPr>
      <w:r w:rsidRPr="005F58F9">
        <w:t>Students can go to other groups to ask questions or change groups at any times.</w:t>
      </w:r>
    </w:p>
    <w:p w14:paraId="74579C27" w14:textId="77777777" w:rsidR="005F58F9" w:rsidRPr="005F58F9" w:rsidRDefault="005F58F9" w:rsidP="005F58F9">
      <w:pPr>
        <w:pStyle w:val="ListBullet3"/>
      </w:pPr>
      <w:r w:rsidRPr="005F58F9">
        <w:t>Students can move about the classroom freely.</w:t>
      </w:r>
    </w:p>
    <w:p w14:paraId="600E84F8" w14:textId="77777777" w:rsidR="005F58F9" w:rsidRPr="005F58F9" w:rsidRDefault="005F58F9" w:rsidP="005F58F9">
      <w:pPr>
        <w:pStyle w:val="ListBullet3"/>
      </w:pPr>
      <w:r w:rsidRPr="005F58F9">
        <w:t>At the end of the SOLE, students will have the opportunity to share what they discovered.</w:t>
      </w:r>
    </w:p>
    <w:p w14:paraId="405B6086" w14:textId="77777777" w:rsidR="005F58F9" w:rsidRDefault="005F58F9" w:rsidP="005F58F9">
      <w:pPr>
        <w:pStyle w:val="ListBullet"/>
      </w:pPr>
      <w:r>
        <w:t>Decide how your students will present what they find. This could be butchers’ paper, whiteboards, or electronic tools, for example PowerPoint or infographic.</w:t>
      </w:r>
    </w:p>
    <w:p w14:paraId="0C92CC20" w14:textId="77777777" w:rsidR="005F58F9" w:rsidRDefault="005F58F9" w:rsidP="005F58F9">
      <w:pPr>
        <w:pStyle w:val="ListBullet"/>
      </w:pPr>
      <w:r>
        <w:lastRenderedPageBreak/>
        <w:t>Explain to students:</w:t>
      </w:r>
    </w:p>
    <w:p w14:paraId="22ABF90E" w14:textId="77777777" w:rsidR="005F58F9" w:rsidRDefault="005F58F9" w:rsidP="005F58F9">
      <w:pPr>
        <w:pStyle w:val="ListBullet3"/>
      </w:pPr>
      <w:r>
        <w:t>they will have 40 minutes to investigate the question.</w:t>
      </w:r>
    </w:p>
    <w:p w14:paraId="3A7E63A8" w14:textId="77777777" w:rsidR="005F58F9" w:rsidRDefault="005F58F9" w:rsidP="005F58F9">
      <w:pPr>
        <w:pStyle w:val="ListBullet3"/>
      </w:pPr>
      <w:r>
        <w:t>the helper is there to help problem solve and manage group dynamics.</w:t>
      </w:r>
    </w:p>
    <w:p w14:paraId="1DC1E825" w14:textId="77777777" w:rsidR="005F58F9" w:rsidRDefault="005F58F9" w:rsidP="005F58F9">
      <w:pPr>
        <w:pStyle w:val="ListBullet3"/>
      </w:pPr>
      <w:r>
        <w:t>use other groups as resources as well.</w:t>
      </w:r>
    </w:p>
    <w:p w14:paraId="32F38B30" w14:textId="77777777" w:rsidR="005F58F9" w:rsidRDefault="005F58F9" w:rsidP="005F58F9">
      <w:pPr>
        <w:pStyle w:val="ListBullet3"/>
      </w:pPr>
      <w:r>
        <w:t>at the end of the 40 minutes, they will need to present their findings.</w:t>
      </w:r>
    </w:p>
    <w:p w14:paraId="442F8FAC" w14:textId="77777777" w:rsidR="005F58F9" w:rsidRDefault="005F58F9" w:rsidP="005F58F9">
      <w:pPr>
        <w:pStyle w:val="ListBullet3"/>
      </w:pPr>
      <w:r>
        <w:t>they do not necessarily need to answer the question, but what they have discovered so far and conclusion they have drawn.</w:t>
      </w:r>
    </w:p>
    <w:p w14:paraId="5E9BAB60" w14:textId="77777777" w:rsidR="005F58F9" w:rsidRDefault="005F58F9" w:rsidP="005F58F9">
      <w:pPr>
        <w:pStyle w:val="ListBullet"/>
      </w:pPr>
      <w:r>
        <w:t>After 40 minutes have the groups partner up and discuss their process and what they found.</w:t>
      </w:r>
    </w:p>
    <w:p w14:paraId="150A72F2" w14:textId="77777777" w:rsidR="005F58F9" w:rsidRDefault="005F58F9" w:rsidP="005F58F9">
      <w:pPr>
        <w:pStyle w:val="ListBullet"/>
      </w:pPr>
      <w:r>
        <w:t>Discuss as a class what they found and what processes they would do differently in the future.</w:t>
      </w:r>
    </w:p>
    <w:p w14:paraId="64AE0EFB" w14:textId="1A10DF74" w:rsidR="005F58F9" w:rsidRDefault="005F58F9" w:rsidP="005F58F9">
      <w:r w:rsidRPr="005F58F9">
        <w:t>Additional resources for SOLE:</w:t>
      </w:r>
    </w:p>
    <w:p w14:paraId="07F9D507" w14:textId="37EBE99A" w:rsidR="005F58F9" w:rsidRDefault="002E248B" w:rsidP="005F58F9">
      <w:pPr>
        <w:pStyle w:val="ListBullet"/>
      </w:pPr>
      <w:hyperlink r:id="rId31" w:history="1">
        <w:r w:rsidR="005F58F9" w:rsidRPr="00131410">
          <w:rPr>
            <w:rStyle w:val="Hyperlink"/>
          </w:rPr>
          <w:t>soleaustralia.com/</w:t>
        </w:r>
      </w:hyperlink>
      <w:r w:rsidR="005F58F9">
        <w:t xml:space="preserve"> </w:t>
      </w:r>
    </w:p>
    <w:p w14:paraId="166E2298" w14:textId="5E796C4D" w:rsidR="005F58F9" w:rsidRDefault="002E248B" w:rsidP="005F58F9">
      <w:pPr>
        <w:pStyle w:val="ListBullet"/>
      </w:pPr>
      <w:hyperlink r:id="rId32" w:history="1">
        <w:r w:rsidR="005F58F9" w:rsidRPr="00B5300E">
          <w:rPr>
            <w:rStyle w:val="Hyperlink"/>
          </w:rPr>
          <w:t>Run a SOLE session</w:t>
        </w:r>
      </w:hyperlink>
    </w:p>
    <w:p w14:paraId="520796B2" w14:textId="5E772EEA" w:rsidR="005F58F9" w:rsidRDefault="005F58F9" w:rsidP="005F58F9">
      <w:pPr>
        <w:pStyle w:val="FeatureBox2"/>
      </w:pPr>
      <w:r w:rsidRPr="005F58F9">
        <w:rPr>
          <w:rStyle w:val="Strong"/>
        </w:rPr>
        <w:t>Teacher notes:</w:t>
      </w:r>
      <w:r w:rsidRPr="005F58F9">
        <w:t xml:space="preserve"> If time allows, this activity could be done across two lessons, with the investigation going for the majority of the first lesson and the second lesson being the students presenting their discoveries and having more in-depth conversation about their findings.</w:t>
      </w:r>
    </w:p>
    <w:p w14:paraId="1724D130" w14:textId="74399980" w:rsidR="005F58F9" w:rsidRDefault="005F58F9" w:rsidP="00C12A34">
      <w:pPr>
        <w:pStyle w:val="Heading2"/>
      </w:pPr>
      <w:bookmarkStart w:id="8" w:name="_Toc169867408"/>
      <w:r w:rsidRPr="005F58F9">
        <w:t>Conclusion</w:t>
      </w:r>
      <w:bookmarkEnd w:id="8"/>
    </w:p>
    <w:p w14:paraId="27D56501" w14:textId="79B1F7E8" w:rsidR="005F58F9" w:rsidRDefault="005F58F9" w:rsidP="005F58F9">
      <w:r w:rsidRPr="005F58F9">
        <w:t>The teacher reviews the lesson’s concepts to ensure student’s understanding through questioning, discussion or exit slips. The teacher can also ask students to complete a peer review of a teams’ presentation and provide feedback to the reviewed student and teacher.</w:t>
      </w:r>
    </w:p>
    <w:p w14:paraId="722F5112" w14:textId="002DD327" w:rsidR="005F58F9" w:rsidRDefault="005F58F9" w:rsidP="00C12A34">
      <w:pPr>
        <w:pStyle w:val="Heading2"/>
      </w:pPr>
      <w:bookmarkStart w:id="9" w:name="_Toc169867409"/>
      <w:r w:rsidRPr="005F58F9">
        <w:t>Differentiation</w:t>
      </w:r>
      <w:bookmarkEnd w:id="9"/>
    </w:p>
    <w:p w14:paraId="5F1D8450" w14:textId="625D76A3" w:rsidR="005F58F9" w:rsidRDefault="005F58F9" w:rsidP="005F58F9">
      <w:r>
        <w:t>The resource provides links that will support a diverse range of students. This includes examples of artworks, and YouTube videos with audio and text that provide easy to understand information on public art. Information on Concept to Realisation</w:t>
      </w:r>
      <w:r w:rsidR="00605383">
        <w:t>,</w:t>
      </w:r>
      <w:r>
        <w:t xml:space="preserve"> and the steps in developing public art</w:t>
      </w:r>
      <w:r w:rsidR="00605383">
        <w:t>,</w:t>
      </w:r>
      <w:r>
        <w:t xml:space="preserve"> is </w:t>
      </w:r>
      <w:r>
        <w:lastRenderedPageBreak/>
        <w:t xml:space="preserve">available on a YouTube clip. Artworks featured include Aboriginal artists and artwork, artists from multi-cultural background or featuring persons from a multi-cultural background. </w:t>
      </w:r>
    </w:p>
    <w:p w14:paraId="6223D05B" w14:textId="77777777" w:rsidR="002B028D" w:rsidRDefault="002B028D" w:rsidP="002B028D">
      <w:r>
        <w:t xml:space="preserve">Teachers need to consider </w:t>
      </w:r>
      <w:hyperlink r:id="rId33" w:history="1">
        <w:r w:rsidRPr="003E74A3">
          <w:rPr>
            <w:rStyle w:val="Hyperlink"/>
          </w:rPr>
          <w:t>inclusion and differentiation</w:t>
        </w:r>
      </w:hyperlink>
      <w:r>
        <w:t xml:space="preserve"> and </w:t>
      </w:r>
      <w:hyperlink r:id="rId34" w:history="1">
        <w:r w:rsidRPr="000D73E2">
          <w:rPr>
            <w:rStyle w:val="Hyperlink"/>
          </w:rPr>
          <w:t>curriculum planning</w:t>
        </w:r>
      </w:hyperlink>
      <w:r>
        <w:t xml:space="preserve"> when using the Career Learning in Curriculum resources in the classroom. Differentiated learning should be enabled through both planned and contingent adjustments to the teaching approach for content, process, product, and learning environment. </w:t>
      </w:r>
    </w:p>
    <w:p w14:paraId="39EDB6BD" w14:textId="77777777" w:rsidR="002B028D" w:rsidRDefault="002B028D" w:rsidP="002B028D">
      <w:r>
        <w:t xml:space="preserve">For additional support with differentiation of this lesson, visit </w:t>
      </w:r>
      <w:hyperlink r:id="rId35" w:history="1">
        <w:r w:rsidRPr="00EB386F">
          <w:rPr>
            <w:rStyle w:val="Hyperlink"/>
          </w:rPr>
          <w:t>Career Learning and Vocational Education</w:t>
        </w:r>
      </w:hyperlink>
      <w:r>
        <w:t>.</w:t>
      </w:r>
    </w:p>
    <w:p w14:paraId="3A6ABC2F" w14:textId="1CC76E5D" w:rsidR="005F58F9" w:rsidRDefault="005F58F9" w:rsidP="00C12A34">
      <w:pPr>
        <w:pStyle w:val="Heading2"/>
      </w:pPr>
      <w:bookmarkStart w:id="10" w:name="_Toc169867410"/>
      <w:r w:rsidRPr="005F58F9">
        <w:t>Extension activities</w:t>
      </w:r>
      <w:bookmarkEnd w:id="10"/>
    </w:p>
    <w:p w14:paraId="40AE5841" w14:textId="530AF15D" w:rsidR="005F58F9" w:rsidRDefault="005F58F9" w:rsidP="005F58F9">
      <w:r w:rsidRPr="005F58F9">
        <w:t>Students are required to answer one of the two questions in activity three. If a team completes the work on the first chosen question, they can move on to the second question.</w:t>
      </w:r>
    </w:p>
    <w:p w14:paraId="5347D494" w14:textId="630EAA21" w:rsidR="005F58F9" w:rsidRDefault="005F58F9" w:rsidP="005F58F9">
      <w:pPr>
        <w:pStyle w:val="Heading2"/>
      </w:pPr>
      <w:bookmarkStart w:id="11" w:name="_Toc169867411"/>
      <w:r w:rsidRPr="005F58F9">
        <w:t>Evidence base</w:t>
      </w:r>
      <w:bookmarkEnd w:id="11"/>
    </w:p>
    <w:p w14:paraId="0F699F33" w14:textId="77777777" w:rsidR="005F58F9" w:rsidRDefault="005F58F9" w:rsidP="005F58F9">
      <w:r>
        <w:t>Evidence-based refers to researching practices to apply proof, reliability, and ethical standards to ensure quality. Evidence-based provides credible knowledge that has been created and tested through rigorous methods.</w:t>
      </w:r>
    </w:p>
    <w:p w14:paraId="620D14DB" w14:textId="77777777" w:rsidR="005F58F9" w:rsidRDefault="005F58F9" w:rsidP="005F58F9">
      <w:r>
        <w:t>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(What Works, Hughes et. al) and Career Education: every teacher has a role (myfuture, Education Services Australia).</w:t>
      </w:r>
    </w:p>
    <w:p w14:paraId="61548BFD" w14:textId="5D0F023A" w:rsidR="005F58F9" w:rsidRDefault="005F58F9" w:rsidP="005F58F9">
      <w:r>
        <w:t xml:space="preserve">For the complete list of academic research that informed the development of Career Learning in Curriculum resources, visit the </w:t>
      </w:r>
      <w:hyperlink r:id="rId36" w:history="1">
        <w:r w:rsidRPr="00D97A10">
          <w:rPr>
            <w:rStyle w:val="Hyperlink"/>
          </w:rPr>
          <w:t>K-12 Career Learning Framework</w:t>
        </w:r>
      </w:hyperlink>
      <w:r>
        <w:t xml:space="preserve"> website.</w:t>
      </w:r>
    </w:p>
    <w:p w14:paraId="233A31E7" w14:textId="23BE965F" w:rsidR="005F58F9" w:rsidRDefault="005F58F9" w:rsidP="005F58F9">
      <w:pPr>
        <w:pStyle w:val="Heading2"/>
      </w:pPr>
      <w:bookmarkStart w:id="12" w:name="_Toc169867412"/>
      <w:r w:rsidRPr="005F58F9">
        <w:t>Feedback</w:t>
      </w:r>
      <w:bookmarkEnd w:id="12"/>
    </w:p>
    <w:p w14:paraId="61314442" w14:textId="77A3CEE4" w:rsidR="005F58F9" w:rsidRDefault="005F58F9" w:rsidP="005F58F9">
      <w:r w:rsidRPr="005F58F9">
        <w:t xml:space="preserve">The Career and Workplace Learning team would appreciate you taking the time to complete this short feedback form. Please use the </w:t>
      </w:r>
      <w:hyperlink r:id="rId37" w:history="1">
        <w:r w:rsidRPr="004113FB">
          <w:rPr>
            <w:rStyle w:val="Hyperlink"/>
          </w:rPr>
          <w:t>Career Programs feedback form</w:t>
        </w:r>
      </w:hyperlink>
      <w:r w:rsidRPr="005F58F9">
        <w:t xml:space="preserve"> or QR code below to provide an evaluation or feedback on this resource.</w:t>
      </w:r>
    </w:p>
    <w:p w14:paraId="30A01777" w14:textId="1140169E" w:rsidR="005F58F9" w:rsidRDefault="005F58F9" w:rsidP="005F58F9">
      <w:r>
        <w:rPr>
          <w:noProof/>
        </w:rPr>
        <w:lastRenderedPageBreak/>
        <w:drawing>
          <wp:inline distT="0" distB="0" distL="0" distR="0" wp14:anchorId="3F27099B" wp14:editId="2914D4C0">
            <wp:extent cx="1475105" cy="1463040"/>
            <wp:effectExtent l="0" t="0" r="0" b="3810"/>
            <wp:docPr id="1937489517" name="Picture 2" descr="QR code linking to the CLiC feedback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89517" name="Picture 2" descr="QR code linking to the CLiC feedback for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75105" cy="1463040"/>
                    </a:xfrm>
                    <a:prstGeom prst="rect">
                      <a:avLst/>
                    </a:prstGeom>
                    <a:noFill/>
                  </pic:spPr>
                </pic:pic>
              </a:graphicData>
            </a:graphic>
          </wp:inline>
        </w:drawing>
      </w:r>
    </w:p>
    <w:p w14:paraId="570DCAC1" w14:textId="77777777" w:rsidR="005F58F9" w:rsidRPr="005F58F9" w:rsidRDefault="005F58F9" w:rsidP="005F58F9">
      <w:pPr>
        <w:rPr>
          <w:rStyle w:val="Strong"/>
        </w:rPr>
      </w:pPr>
      <w:r w:rsidRPr="005F58F9">
        <w:rPr>
          <w:rStyle w:val="Strong"/>
        </w:rPr>
        <w:t>© State of New South Wales (Department of Education), 2023</w:t>
      </w:r>
    </w:p>
    <w:p w14:paraId="47282A20" w14:textId="77777777" w:rsidR="005F58F9" w:rsidRDefault="005F58F9" w:rsidP="005F58F9">
      <w:r>
        <w:t>The copyright material published in this resource is subject to the Copyright Act 1968 (Cth) and is owned by the NSW Department of Education or, where indicated, by a party other than the NSW Department of Education (third-party material).</w:t>
      </w:r>
    </w:p>
    <w:p w14:paraId="0CC2338B" w14:textId="5EA4D4B3" w:rsidR="005F58F9" w:rsidRDefault="005F58F9" w:rsidP="005F58F9">
      <w:r>
        <w:t xml:space="preserve">Copyright material available in this resource and owned by the NSW Department of Education is licensed under a </w:t>
      </w:r>
      <w:hyperlink r:id="rId39" w:history="1">
        <w:r w:rsidRPr="00576C49">
          <w:rPr>
            <w:rStyle w:val="Hyperlink"/>
          </w:rPr>
          <w:t>Creative Commons Attribution 4.0 International (CC BY 4.0) licence</w:t>
        </w:r>
      </w:hyperlink>
      <w:r>
        <w:t>.</w:t>
      </w:r>
    </w:p>
    <w:p w14:paraId="5DD3C9CC" w14:textId="4644459F" w:rsidR="005F58F9" w:rsidRDefault="005F58F9" w:rsidP="005F58F9">
      <w:r>
        <w:rPr>
          <w:noProof/>
        </w:rPr>
        <w:drawing>
          <wp:inline distT="0" distB="0" distL="0" distR="0" wp14:anchorId="6DAB9C3A" wp14:editId="60AF13C7">
            <wp:extent cx="1231265" cy="426720"/>
            <wp:effectExtent l="0" t="0" r="6985" b="0"/>
            <wp:docPr id="116823169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231697" name="Picture 3">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7BD408D7" w14:textId="77777777" w:rsidR="005F58F9" w:rsidRDefault="005F58F9" w:rsidP="005F58F9">
      <w:r>
        <w:t>This licence allows you to share and adapt the material for any purpose, even commercially.</w:t>
      </w:r>
    </w:p>
    <w:p w14:paraId="10641F43" w14:textId="77777777" w:rsidR="005F58F9" w:rsidRDefault="005F58F9" w:rsidP="005F58F9">
      <w:r>
        <w:t>Attribution should be given to © State of New South Wales (Department of Education), 2023.</w:t>
      </w:r>
    </w:p>
    <w:p w14:paraId="0742D02F" w14:textId="6C100A41" w:rsidR="005F58F9" w:rsidRDefault="005F58F9" w:rsidP="005F58F9">
      <w:r>
        <w:t>Material in this resource not available under a Creative Commons licence:</w:t>
      </w:r>
    </w:p>
    <w:p w14:paraId="6840380E" w14:textId="1B59C5F0" w:rsidR="005F58F9" w:rsidRDefault="005F58F9" w:rsidP="005F58F9">
      <w:pPr>
        <w:pStyle w:val="ListBullet"/>
      </w:pPr>
      <w:r>
        <w:t xml:space="preserve">the NSW Department of Education logo, other </w:t>
      </w:r>
      <w:r w:rsidR="00BC51F0">
        <w:t>logos,</w:t>
      </w:r>
      <w:r>
        <w:t xml:space="preserve"> and trademark-protected material</w:t>
      </w:r>
    </w:p>
    <w:p w14:paraId="02B35053" w14:textId="77777777" w:rsidR="005F58F9" w:rsidRDefault="005F58F9" w:rsidP="005F58F9">
      <w:pPr>
        <w:pStyle w:val="ListBullet"/>
      </w:pPr>
      <w:r>
        <w:t>material owned by a third party that has been reproduced with permission. You will need to obtain permission from the third party to reuse its material.</w:t>
      </w:r>
    </w:p>
    <w:p w14:paraId="692DFE21" w14:textId="77777777" w:rsidR="005F58F9" w:rsidRPr="005F58F9" w:rsidRDefault="005F58F9" w:rsidP="005F58F9">
      <w:pPr>
        <w:pStyle w:val="FeatureBox2"/>
        <w:rPr>
          <w:rStyle w:val="Strong"/>
        </w:rPr>
      </w:pPr>
      <w:r w:rsidRPr="005F58F9">
        <w:rPr>
          <w:rStyle w:val="Strong"/>
        </w:rPr>
        <w:t>Links to third-party material and websites</w:t>
      </w:r>
    </w:p>
    <w:p w14:paraId="247B368B" w14:textId="77777777" w:rsidR="005F58F9" w:rsidRDefault="005F58F9" w:rsidP="005F58F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087CE1E" w14:textId="25E84452" w:rsidR="005F58F9" w:rsidRPr="005F58F9" w:rsidRDefault="005F58F9" w:rsidP="005F58F9">
      <w:pPr>
        <w:pStyle w:val="FeatureBox2"/>
      </w:pPr>
      <w:r>
        <w:t xml:space="preserve">If you use the links provided in this document to access a third-party's website, you acknowledge that the terms of use, including licence terms set out on the third-party's website apply to the use </w:t>
      </w:r>
      <w:r>
        <w:lastRenderedPageBreak/>
        <w:t xml:space="preserve">which may be made of the materials on that third-party website or </w:t>
      </w:r>
      <w:proofErr w:type="gramStart"/>
      <w:r>
        <w:t>where</w:t>
      </w:r>
      <w:proofErr w:type="gramEnd"/>
      <w:r>
        <w:t xml:space="preserve"> permitted by the Copyright Act 1968 (Cth). The department accepts no responsibility for content on third-party websites.</w:t>
      </w:r>
    </w:p>
    <w:sectPr w:rsidR="005F58F9" w:rsidRPr="005F58F9" w:rsidSect="00123A38">
      <w:headerReference w:type="default" r:id="rId41"/>
      <w:footerReference w:type="default" r:id="rId42"/>
      <w:headerReference w:type="first" r:id="rId43"/>
      <w:footerReference w:type="first" r:id="rId4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79D4B" w14:textId="77777777" w:rsidR="009062A5" w:rsidRDefault="009062A5" w:rsidP="00843DF5">
      <w:r>
        <w:separator/>
      </w:r>
    </w:p>
    <w:p w14:paraId="041A0DF5" w14:textId="77777777" w:rsidR="009062A5" w:rsidRDefault="009062A5" w:rsidP="00843DF5"/>
    <w:p w14:paraId="76961CF5" w14:textId="77777777" w:rsidR="009062A5" w:rsidRDefault="009062A5" w:rsidP="00843DF5"/>
  </w:endnote>
  <w:endnote w:type="continuationSeparator" w:id="0">
    <w:p w14:paraId="2FBF3B09" w14:textId="77777777" w:rsidR="009062A5" w:rsidRDefault="009062A5" w:rsidP="00843DF5">
      <w:r>
        <w:continuationSeparator/>
      </w:r>
    </w:p>
    <w:p w14:paraId="5648A34E" w14:textId="77777777" w:rsidR="009062A5" w:rsidRDefault="009062A5" w:rsidP="00843DF5"/>
    <w:p w14:paraId="3BADDBC6" w14:textId="77777777" w:rsidR="009062A5" w:rsidRDefault="009062A5" w:rsidP="00843DF5"/>
  </w:endnote>
  <w:endnote w:type="continuationNotice" w:id="1">
    <w:p w14:paraId="66174964" w14:textId="77777777" w:rsidR="00496FB9" w:rsidRDefault="00496F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C1B00" w14:textId="6C95F079"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88239F">
      <w:rPr>
        <w:noProof/>
      </w:rPr>
      <w:t>Jun-24</w:t>
    </w:r>
    <w:r>
      <w:fldChar w:fldCharType="end"/>
    </w:r>
    <w:r>
      <w:ptab w:relativeTo="margin" w:alignment="right" w:leader="none"/>
    </w:r>
    <w:r>
      <w:t xml:space="preserve"> </w:t>
    </w:r>
    <w:r>
      <w:rPr>
        <w:b/>
        <w:noProof/>
        <w:sz w:val="28"/>
        <w:szCs w:val="28"/>
      </w:rPr>
      <w:drawing>
        <wp:inline distT="0" distB="0" distL="0" distR="0" wp14:anchorId="089A6D78" wp14:editId="2766402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3899B"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00DD1" w14:textId="77777777" w:rsidR="009062A5" w:rsidRDefault="009062A5" w:rsidP="00843DF5">
      <w:r>
        <w:separator/>
      </w:r>
    </w:p>
    <w:p w14:paraId="11EEFF98" w14:textId="77777777" w:rsidR="009062A5" w:rsidRDefault="009062A5" w:rsidP="00843DF5"/>
    <w:p w14:paraId="18D01694" w14:textId="77777777" w:rsidR="009062A5" w:rsidRDefault="009062A5" w:rsidP="00843DF5"/>
  </w:footnote>
  <w:footnote w:type="continuationSeparator" w:id="0">
    <w:p w14:paraId="2CD4FC05" w14:textId="77777777" w:rsidR="009062A5" w:rsidRDefault="009062A5" w:rsidP="00843DF5">
      <w:r>
        <w:continuationSeparator/>
      </w:r>
    </w:p>
    <w:p w14:paraId="01D51CD2" w14:textId="77777777" w:rsidR="009062A5" w:rsidRDefault="009062A5" w:rsidP="00843DF5"/>
    <w:p w14:paraId="67BF55F7" w14:textId="77777777" w:rsidR="009062A5" w:rsidRDefault="009062A5" w:rsidP="00843DF5"/>
  </w:footnote>
  <w:footnote w:type="continuationNotice" w:id="1">
    <w:p w14:paraId="077E5365" w14:textId="77777777" w:rsidR="00496FB9" w:rsidRDefault="00496FB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77D5" w14:textId="6FEF1E74" w:rsidR="008A353C" w:rsidRDefault="001E527F" w:rsidP="00843DF5">
    <w:pPr>
      <w:pStyle w:val="Documentname"/>
    </w:pPr>
    <w:r w:rsidRPr="001E527F">
      <w:t>PDHPE Stage 4 – Challenging and resisting stereotypes</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462B4"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18B6F9EC" wp14:editId="3E9E9499">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DE3197"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6F9EC"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7DE3197"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64B77E75" wp14:editId="6E7B364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002973615">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3"/>
  </w:num>
  <w:num w:numId="27" w16cid:durableId="151022054">
    <w:abstractNumId w:val="6"/>
  </w:num>
  <w:num w:numId="28" w16cid:durableId="857544514">
    <w:abstractNumId w:val="6"/>
  </w:num>
  <w:num w:numId="29" w16cid:durableId="1825125117">
    <w:abstractNumId w:val="4"/>
  </w:num>
  <w:num w:numId="30" w16cid:durableId="186405631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3"/>
  </w:num>
  <w:num w:numId="33" w16cid:durableId="224413841">
    <w:abstractNumId w:val="6"/>
  </w:num>
  <w:num w:numId="34" w16cid:durableId="495387649">
    <w:abstractNumId w:val="6"/>
  </w:num>
  <w:num w:numId="35" w16cid:durableId="9761789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A5"/>
    <w:rsid w:val="00003EFA"/>
    <w:rsid w:val="00004183"/>
    <w:rsid w:val="00005A3A"/>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94824"/>
    <w:rsid w:val="000A0761"/>
    <w:rsid w:val="000B7301"/>
    <w:rsid w:val="000C1B93"/>
    <w:rsid w:val="000C24ED"/>
    <w:rsid w:val="000C4344"/>
    <w:rsid w:val="000C5481"/>
    <w:rsid w:val="000D1EB7"/>
    <w:rsid w:val="000D3BBE"/>
    <w:rsid w:val="000D7466"/>
    <w:rsid w:val="000D7E5E"/>
    <w:rsid w:val="00103E4F"/>
    <w:rsid w:val="00112528"/>
    <w:rsid w:val="00113093"/>
    <w:rsid w:val="00115A0A"/>
    <w:rsid w:val="00123A38"/>
    <w:rsid w:val="00125DFF"/>
    <w:rsid w:val="0012654C"/>
    <w:rsid w:val="00131410"/>
    <w:rsid w:val="00153D13"/>
    <w:rsid w:val="0015429C"/>
    <w:rsid w:val="001613E4"/>
    <w:rsid w:val="0017408C"/>
    <w:rsid w:val="00176A78"/>
    <w:rsid w:val="00181F54"/>
    <w:rsid w:val="00190C6F"/>
    <w:rsid w:val="001A2D64"/>
    <w:rsid w:val="001A3009"/>
    <w:rsid w:val="001A67E8"/>
    <w:rsid w:val="001B4D1C"/>
    <w:rsid w:val="001C0997"/>
    <w:rsid w:val="001C7E97"/>
    <w:rsid w:val="001D15C3"/>
    <w:rsid w:val="001D5230"/>
    <w:rsid w:val="001E103F"/>
    <w:rsid w:val="001E3497"/>
    <w:rsid w:val="001E527F"/>
    <w:rsid w:val="001E66A9"/>
    <w:rsid w:val="001E761A"/>
    <w:rsid w:val="001F2668"/>
    <w:rsid w:val="001F2D78"/>
    <w:rsid w:val="001F5F7B"/>
    <w:rsid w:val="002075BD"/>
    <w:rsid w:val="00207B55"/>
    <w:rsid w:val="002105AD"/>
    <w:rsid w:val="00216244"/>
    <w:rsid w:val="00216633"/>
    <w:rsid w:val="002178F4"/>
    <w:rsid w:val="002227AD"/>
    <w:rsid w:val="002300CD"/>
    <w:rsid w:val="00242D98"/>
    <w:rsid w:val="0024474D"/>
    <w:rsid w:val="0025592F"/>
    <w:rsid w:val="0026327B"/>
    <w:rsid w:val="0026548C"/>
    <w:rsid w:val="00266207"/>
    <w:rsid w:val="0027370C"/>
    <w:rsid w:val="002A2060"/>
    <w:rsid w:val="002A28B4"/>
    <w:rsid w:val="002A2B8C"/>
    <w:rsid w:val="002A30D8"/>
    <w:rsid w:val="002A35CF"/>
    <w:rsid w:val="002A475D"/>
    <w:rsid w:val="002B028D"/>
    <w:rsid w:val="002B316A"/>
    <w:rsid w:val="002B50F2"/>
    <w:rsid w:val="002C35DA"/>
    <w:rsid w:val="002F7CFE"/>
    <w:rsid w:val="00302680"/>
    <w:rsid w:val="00303085"/>
    <w:rsid w:val="00306C23"/>
    <w:rsid w:val="003355E2"/>
    <w:rsid w:val="00340DD9"/>
    <w:rsid w:val="00360E17"/>
    <w:rsid w:val="0036209C"/>
    <w:rsid w:val="00371F68"/>
    <w:rsid w:val="0038536D"/>
    <w:rsid w:val="00385DFB"/>
    <w:rsid w:val="003A0CFB"/>
    <w:rsid w:val="003A5190"/>
    <w:rsid w:val="003B0768"/>
    <w:rsid w:val="003B240E"/>
    <w:rsid w:val="003B3E41"/>
    <w:rsid w:val="003B6CDC"/>
    <w:rsid w:val="003D13EF"/>
    <w:rsid w:val="003D1F70"/>
    <w:rsid w:val="003F4473"/>
    <w:rsid w:val="003F5A78"/>
    <w:rsid w:val="003F6049"/>
    <w:rsid w:val="003F6E52"/>
    <w:rsid w:val="00400ACE"/>
    <w:rsid w:val="00401084"/>
    <w:rsid w:val="00407CAD"/>
    <w:rsid w:val="00407EF0"/>
    <w:rsid w:val="004113FB"/>
    <w:rsid w:val="00412F2B"/>
    <w:rsid w:val="004178B3"/>
    <w:rsid w:val="00430F12"/>
    <w:rsid w:val="00442345"/>
    <w:rsid w:val="00453EC1"/>
    <w:rsid w:val="00454159"/>
    <w:rsid w:val="00456066"/>
    <w:rsid w:val="004662AB"/>
    <w:rsid w:val="00474E4B"/>
    <w:rsid w:val="00480185"/>
    <w:rsid w:val="0048642E"/>
    <w:rsid w:val="00491389"/>
    <w:rsid w:val="00496FB9"/>
    <w:rsid w:val="004A29D0"/>
    <w:rsid w:val="004B13C5"/>
    <w:rsid w:val="004B484F"/>
    <w:rsid w:val="004B723A"/>
    <w:rsid w:val="004C11A9"/>
    <w:rsid w:val="004C4B48"/>
    <w:rsid w:val="004C68E7"/>
    <w:rsid w:val="004E1043"/>
    <w:rsid w:val="004F2AC5"/>
    <w:rsid w:val="004F48DD"/>
    <w:rsid w:val="004F6AF2"/>
    <w:rsid w:val="00511863"/>
    <w:rsid w:val="005128E7"/>
    <w:rsid w:val="00526795"/>
    <w:rsid w:val="00537DBB"/>
    <w:rsid w:val="00541725"/>
    <w:rsid w:val="00541FBB"/>
    <w:rsid w:val="005500B1"/>
    <w:rsid w:val="005538AD"/>
    <w:rsid w:val="005608F0"/>
    <w:rsid w:val="005649D2"/>
    <w:rsid w:val="005651B7"/>
    <w:rsid w:val="00576C49"/>
    <w:rsid w:val="0058030E"/>
    <w:rsid w:val="0058102D"/>
    <w:rsid w:val="005815EA"/>
    <w:rsid w:val="00583731"/>
    <w:rsid w:val="005934B4"/>
    <w:rsid w:val="00594F84"/>
    <w:rsid w:val="005957FA"/>
    <w:rsid w:val="00597644"/>
    <w:rsid w:val="005A34D4"/>
    <w:rsid w:val="005A5E08"/>
    <w:rsid w:val="005A67CA"/>
    <w:rsid w:val="005B184F"/>
    <w:rsid w:val="005B4B00"/>
    <w:rsid w:val="005B57F5"/>
    <w:rsid w:val="005B76BC"/>
    <w:rsid w:val="005B77E0"/>
    <w:rsid w:val="005C14A7"/>
    <w:rsid w:val="005C344B"/>
    <w:rsid w:val="005D0140"/>
    <w:rsid w:val="005D1384"/>
    <w:rsid w:val="005D49FE"/>
    <w:rsid w:val="005E1F63"/>
    <w:rsid w:val="005F49D6"/>
    <w:rsid w:val="005F58F9"/>
    <w:rsid w:val="00605383"/>
    <w:rsid w:val="00613017"/>
    <w:rsid w:val="00615172"/>
    <w:rsid w:val="00624D13"/>
    <w:rsid w:val="00626BBF"/>
    <w:rsid w:val="00627A57"/>
    <w:rsid w:val="0064273E"/>
    <w:rsid w:val="00643CC4"/>
    <w:rsid w:val="0066335C"/>
    <w:rsid w:val="00677835"/>
    <w:rsid w:val="006801B5"/>
    <w:rsid w:val="00680388"/>
    <w:rsid w:val="00691121"/>
    <w:rsid w:val="0069617A"/>
    <w:rsid w:val="00696410"/>
    <w:rsid w:val="006A046F"/>
    <w:rsid w:val="006A3884"/>
    <w:rsid w:val="006B3488"/>
    <w:rsid w:val="006B614B"/>
    <w:rsid w:val="006D00B0"/>
    <w:rsid w:val="006D1CF3"/>
    <w:rsid w:val="006D4CDD"/>
    <w:rsid w:val="006E54D3"/>
    <w:rsid w:val="006F1CF4"/>
    <w:rsid w:val="00717237"/>
    <w:rsid w:val="0072638E"/>
    <w:rsid w:val="00727119"/>
    <w:rsid w:val="00752ED5"/>
    <w:rsid w:val="00754860"/>
    <w:rsid w:val="007564F8"/>
    <w:rsid w:val="0076669D"/>
    <w:rsid w:val="00766D19"/>
    <w:rsid w:val="00767CA4"/>
    <w:rsid w:val="00773CDB"/>
    <w:rsid w:val="0077535E"/>
    <w:rsid w:val="00775E3C"/>
    <w:rsid w:val="007834C7"/>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11169"/>
    <w:rsid w:val="00812A0D"/>
    <w:rsid w:val="008130B2"/>
    <w:rsid w:val="00817F80"/>
    <w:rsid w:val="008242EB"/>
    <w:rsid w:val="00824F5A"/>
    <w:rsid w:val="00836838"/>
    <w:rsid w:val="008426B6"/>
    <w:rsid w:val="00843DF5"/>
    <w:rsid w:val="008559F3"/>
    <w:rsid w:val="00856CA3"/>
    <w:rsid w:val="0086164A"/>
    <w:rsid w:val="00863533"/>
    <w:rsid w:val="00864528"/>
    <w:rsid w:val="00865BC1"/>
    <w:rsid w:val="0087496A"/>
    <w:rsid w:val="00881ED0"/>
    <w:rsid w:val="0088239F"/>
    <w:rsid w:val="00890EEE"/>
    <w:rsid w:val="0089316E"/>
    <w:rsid w:val="008A353C"/>
    <w:rsid w:val="008A4CF6"/>
    <w:rsid w:val="008A6C19"/>
    <w:rsid w:val="008B1946"/>
    <w:rsid w:val="008C6C8F"/>
    <w:rsid w:val="008D5C37"/>
    <w:rsid w:val="008E1359"/>
    <w:rsid w:val="008E3DE9"/>
    <w:rsid w:val="008E4E66"/>
    <w:rsid w:val="009062A5"/>
    <w:rsid w:val="009107ED"/>
    <w:rsid w:val="009133E8"/>
    <w:rsid w:val="009138BF"/>
    <w:rsid w:val="00915B46"/>
    <w:rsid w:val="00921FDC"/>
    <w:rsid w:val="0093679E"/>
    <w:rsid w:val="00941947"/>
    <w:rsid w:val="0094511B"/>
    <w:rsid w:val="00945B9D"/>
    <w:rsid w:val="00955E2C"/>
    <w:rsid w:val="009560E5"/>
    <w:rsid w:val="00957754"/>
    <w:rsid w:val="0097042E"/>
    <w:rsid w:val="009739C8"/>
    <w:rsid w:val="00982157"/>
    <w:rsid w:val="0099003A"/>
    <w:rsid w:val="00991C77"/>
    <w:rsid w:val="0099399A"/>
    <w:rsid w:val="00995C6E"/>
    <w:rsid w:val="009B1280"/>
    <w:rsid w:val="009B3D61"/>
    <w:rsid w:val="009C1656"/>
    <w:rsid w:val="009C2DB5"/>
    <w:rsid w:val="009C5B0E"/>
    <w:rsid w:val="009D43DD"/>
    <w:rsid w:val="009E6C28"/>
    <w:rsid w:val="009E6FBE"/>
    <w:rsid w:val="009E7C64"/>
    <w:rsid w:val="00A10577"/>
    <w:rsid w:val="00A119B4"/>
    <w:rsid w:val="00A153F0"/>
    <w:rsid w:val="00A16286"/>
    <w:rsid w:val="00A170A2"/>
    <w:rsid w:val="00A2629A"/>
    <w:rsid w:val="00A534B8"/>
    <w:rsid w:val="00A54063"/>
    <w:rsid w:val="00A5409F"/>
    <w:rsid w:val="00A56811"/>
    <w:rsid w:val="00A57460"/>
    <w:rsid w:val="00A63054"/>
    <w:rsid w:val="00A630C8"/>
    <w:rsid w:val="00A6693C"/>
    <w:rsid w:val="00A74A54"/>
    <w:rsid w:val="00A76FB9"/>
    <w:rsid w:val="00A83D41"/>
    <w:rsid w:val="00A873E9"/>
    <w:rsid w:val="00A9004C"/>
    <w:rsid w:val="00A91B44"/>
    <w:rsid w:val="00AB099B"/>
    <w:rsid w:val="00AB3116"/>
    <w:rsid w:val="00AB5F89"/>
    <w:rsid w:val="00AD5396"/>
    <w:rsid w:val="00AE0ED0"/>
    <w:rsid w:val="00AE4760"/>
    <w:rsid w:val="00B03CCC"/>
    <w:rsid w:val="00B05292"/>
    <w:rsid w:val="00B07D8D"/>
    <w:rsid w:val="00B2036D"/>
    <w:rsid w:val="00B222FB"/>
    <w:rsid w:val="00B26C50"/>
    <w:rsid w:val="00B34D24"/>
    <w:rsid w:val="00B42E51"/>
    <w:rsid w:val="00B46033"/>
    <w:rsid w:val="00B47814"/>
    <w:rsid w:val="00B5300E"/>
    <w:rsid w:val="00B53FCE"/>
    <w:rsid w:val="00B56BFE"/>
    <w:rsid w:val="00B57D39"/>
    <w:rsid w:val="00B65452"/>
    <w:rsid w:val="00B656BE"/>
    <w:rsid w:val="00B6716A"/>
    <w:rsid w:val="00B727CB"/>
    <w:rsid w:val="00B72931"/>
    <w:rsid w:val="00B80AAD"/>
    <w:rsid w:val="00B80ADE"/>
    <w:rsid w:val="00B816F5"/>
    <w:rsid w:val="00B868BA"/>
    <w:rsid w:val="00B902B9"/>
    <w:rsid w:val="00BA7230"/>
    <w:rsid w:val="00BA7AAB"/>
    <w:rsid w:val="00BB2D8E"/>
    <w:rsid w:val="00BB4FBA"/>
    <w:rsid w:val="00BC1208"/>
    <w:rsid w:val="00BC51F0"/>
    <w:rsid w:val="00BC7C1F"/>
    <w:rsid w:val="00BD7F86"/>
    <w:rsid w:val="00BF35D4"/>
    <w:rsid w:val="00BF732E"/>
    <w:rsid w:val="00C11B8E"/>
    <w:rsid w:val="00C12A34"/>
    <w:rsid w:val="00C2168A"/>
    <w:rsid w:val="00C436AB"/>
    <w:rsid w:val="00C43F7A"/>
    <w:rsid w:val="00C55B7A"/>
    <w:rsid w:val="00C62B29"/>
    <w:rsid w:val="00C664FC"/>
    <w:rsid w:val="00C66A21"/>
    <w:rsid w:val="00C70C44"/>
    <w:rsid w:val="00C84DB5"/>
    <w:rsid w:val="00C92FDF"/>
    <w:rsid w:val="00CA0226"/>
    <w:rsid w:val="00CB2145"/>
    <w:rsid w:val="00CB4CB2"/>
    <w:rsid w:val="00CB66B0"/>
    <w:rsid w:val="00CD6723"/>
    <w:rsid w:val="00CE5951"/>
    <w:rsid w:val="00CE6DC1"/>
    <w:rsid w:val="00CF3B77"/>
    <w:rsid w:val="00CF73E9"/>
    <w:rsid w:val="00D07402"/>
    <w:rsid w:val="00D136E3"/>
    <w:rsid w:val="00D14573"/>
    <w:rsid w:val="00D15A52"/>
    <w:rsid w:val="00D17CC0"/>
    <w:rsid w:val="00D2403C"/>
    <w:rsid w:val="00D26176"/>
    <w:rsid w:val="00D31E35"/>
    <w:rsid w:val="00D411BE"/>
    <w:rsid w:val="00D43178"/>
    <w:rsid w:val="00D507E2"/>
    <w:rsid w:val="00D534B3"/>
    <w:rsid w:val="00D61CE0"/>
    <w:rsid w:val="00D678DB"/>
    <w:rsid w:val="00D7649E"/>
    <w:rsid w:val="00D77F54"/>
    <w:rsid w:val="00D924E7"/>
    <w:rsid w:val="00D97A10"/>
    <w:rsid w:val="00DA016D"/>
    <w:rsid w:val="00DB32F3"/>
    <w:rsid w:val="00DC66B8"/>
    <w:rsid w:val="00DC6BCA"/>
    <w:rsid w:val="00DC74E1"/>
    <w:rsid w:val="00DD1132"/>
    <w:rsid w:val="00DD2F4E"/>
    <w:rsid w:val="00DE07A5"/>
    <w:rsid w:val="00DE2CE3"/>
    <w:rsid w:val="00E04DAF"/>
    <w:rsid w:val="00E05C30"/>
    <w:rsid w:val="00E112C7"/>
    <w:rsid w:val="00E15C44"/>
    <w:rsid w:val="00E22F6B"/>
    <w:rsid w:val="00E32ED9"/>
    <w:rsid w:val="00E40220"/>
    <w:rsid w:val="00E4272D"/>
    <w:rsid w:val="00E4707A"/>
    <w:rsid w:val="00E5058E"/>
    <w:rsid w:val="00E51733"/>
    <w:rsid w:val="00E56264"/>
    <w:rsid w:val="00E604B6"/>
    <w:rsid w:val="00E66CA0"/>
    <w:rsid w:val="00E836F5"/>
    <w:rsid w:val="00E87132"/>
    <w:rsid w:val="00E904DB"/>
    <w:rsid w:val="00EA07C6"/>
    <w:rsid w:val="00EC59D6"/>
    <w:rsid w:val="00ED1EDE"/>
    <w:rsid w:val="00EE3CEA"/>
    <w:rsid w:val="00F04295"/>
    <w:rsid w:val="00F1353E"/>
    <w:rsid w:val="00F14D7F"/>
    <w:rsid w:val="00F20AC8"/>
    <w:rsid w:val="00F26492"/>
    <w:rsid w:val="00F30E4C"/>
    <w:rsid w:val="00F3454B"/>
    <w:rsid w:val="00F522E3"/>
    <w:rsid w:val="00F54F06"/>
    <w:rsid w:val="00F620A7"/>
    <w:rsid w:val="00F65B7F"/>
    <w:rsid w:val="00F66145"/>
    <w:rsid w:val="00F6692B"/>
    <w:rsid w:val="00F67719"/>
    <w:rsid w:val="00F814BD"/>
    <w:rsid w:val="00F81980"/>
    <w:rsid w:val="00FA1D96"/>
    <w:rsid w:val="00FA3555"/>
    <w:rsid w:val="00FA6449"/>
    <w:rsid w:val="00FC0523"/>
    <w:rsid w:val="00FC0E4A"/>
    <w:rsid w:val="00FC3BCF"/>
    <w:rsid w:val="00FD0590"/>
    <w:rsid w:val="00FD0A93"/>
    <w:rsid w:val="00FE11F4"/>
    <w:rsid w:val="00FE393D"/>
    <w:rsid w:val="00FE5E0D"/>
    <w:rsid w:val="00FF76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C938"/>
  <w15:chartTrackingRefBased/>
  <w15:docId w15:val="{6059A770-CC3E-418B-8153-B09D93AD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17F8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semiHidden/>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semiHidden/>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areer-learning" TargetMode="External"/><Relationship Id="rId18" Type="http://schemas.openxmlformats.org/officeDocument/2006/relationships/hyperlink" Target="https://www.wgea.gov.au/about/workplace-gender-equality" TargetMode="External"/><Relationship Id="rId26" Type="http://schemas.openxmlformats.org/officeDocument/2006/relationships/hyperlink" Target="https://joboutlook.gov.au/industries/industry-profiles?industryCode=Q" TargetMode="External"/><Relationship Id="rId39" Type="http://schemas.openxmlformats.org/officeDocument/2006/relationships/hyperlink" Target="https://creativecommons.org/licenses/by/4.0/" TargetMode="External"/><Relationship Id="rId21" Type="http://schemas.openxmlformats.org/officeDocument/2006/relationships/hyperlink" Target="https://www.wgea.gov.au/about/workplace-gender-equality" TargetMode="External"/><Relationship Id="rId34" Type="http://schemas.openxmlformats.org/officeDocument/2006/relationships/hyperlink" Target="https://education.nsw.gov.au/teaching-and-learning/curriculum/planning-programming-and-assessing-k-12"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pdhpe/pdhpe-k-10-2018" TargetMode="External"/><Relationship Id="rId29" Type="http://schemas.openxmlformats.org/officeDocument/2006/relationships/hyperlink" Target="https://www.defencejobs.gov.au/about-the-adf/women-in-the-a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killsone.com.au/category/women-in-trades/" TargetMode="External"/><Relationship Id="rId32" Type="http://schemas.openxmlformats.org/officeDocument/2006/relationships/hyperlink" Target="https://www.theschoolinthecloud.org/how-to/how-to-run-a-sole-session/" TargetMode="External"/><Relationship Id="rId37" Type="http://schemas.openxmlformats.org/officeDocument/2006/relationships/hyperlink" Target="https://forms.office.com/Pages/ResponsePage.aspx?id=muagBYpBwUecJZOHJhv5kdR9XgNzBt1AheGePVM3QdNUNzE1OEYwRzhEOVZJNkNHTFVTWDdGMVhQNyQlQCN0PWcu"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www.nationalskillscommission.gov.au/publications/australian-jobs-2021" TargetMode="External"/><Relationship Id="rId28" Type="http://schemas.openxmlformats.org/officeDocument/2006/relationships/hyperlink" Target="https://www.police.nsw.gov.au/recruitment/the_career/diversity/women_in_policing" TargetMode="External"/><Relationship Id="rId36" Type="http://schemas.openxmlformats.org/officeDocument/2006/relationships/hyperlink" Target="https://edit.education.nsw.gov.au/editor.html/content/main-education/en/home/teaching-and-learning/curriculum/career-learning-and-vet/curriculum-support/k-12-career-learning-framework.html" TargetMode="External"/><Relationship Id="rId10" Type="http://schemas.openxmlformats.org/officeDocument/2006/relationships/endnotes" Target="endnotes.xml"/><Relationship Id="rId19" Type="http://schemas.openxmlformats.org/officeDocument/2006/relationships/hyperlink" Target="http://www.soleaustralia.com/" TargetMode="External"/><Relationship Id="rId31" Type="http://schemas.openxmlformats.org/officeDocument/2006/relationships/hyperlink" Target="http://www.soleaustralia.co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career.gov.au/resources/australian-blueprint-for-career-development" TargetMode="External"/><Relationship Id="rId22" Type="http://schemas.openxmlformats.org/officeDocument/2006/relationships/hyperlink" Target="https://www.abc.net.au/news/2018-05-21/the-most-gendered-top-jobs-in-australia/9775544?nw=0" TargetMode="External"/><Relationship Id="rId27" Type="http://schemas.openxmlformats.org/officeDocument/2006/relationships/hyperlink" Target="https://careerswithstem.com.au/" TargetMode="External"/><Relationship Id="rId30" Type="http://schemas.openxmlformats.org/officeDocument/2006/relationships/hyperlink" Target="https://careersmart.org.uk/occupations/equality/which-jobs-do-men-and-women-do-occupational-breakdown-gender" TargetMode="External"/><Relationship Id="rId35" Type="http://schemas.openxmlformats.org/officeDocument/2006/relationships/hyperlink" Target="https://education.nsw.gov.au/teaching-and-learning/curriculum/career-learning-and-vet/curriculum-support/k-12-career-learning-framework"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www.youtube.com/watch?v=kJP1zPOfq_0" TargetMode="External"/><Relationship Id="rId25" Type="http://schemas.openxmlformats.org/officeDocument/2006/relationships/hyperlink" Target="https://myfuture.edu.au/footer/assist-others/career-bullseye-posters" TargetMode="External"/><Relationship Id="rId33" Type="http://schemas.openxmlformats.org/officeDocument/2006/relationships/hyperlink" Target="https://education.nsw.gov.au/teaching-and-learning/curriculum/planning-programming-and-assessing-k-12"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s://www.youtube.com/watch?v=kJP1zPOfq_0"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n\Downloads\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767b79-66c0-4d92-916d-0ea16ff5735c" xsi:nil="true"/>
    <Current xmlns="28f56b1e-4829-4a14-82d9-21df24f8d737">true</Current>
    <_Flow_SignoffStatus xmlns="28f56b1e-4829-4a14-82d9-21df24f8d737" xsi:nil="true"/>
    <lcf76f155ced4ddcb4097134ff3c332f xmlns="28f56b1e-4829-4a14-82d9-21df24f8d737">
      <Terms xmlns="http://schemas.microsoft.com/office/infopath/2007/PartnerControls"/>
    </lcf76f155ced4ddcb4097134ff3c332f>
    <TRIM xmlns="28f56b1e-4829-4a14-82d9-21df24f8d737">false</TRI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D8C0FA2F9FF4EAB5A754535DF5DEC" ma:contentTypeVersion="19" ma:contentTypeDescription="Create a new document." ma:contentTypeScope="" ma:versionID="8647a093f9d8c2ddcc3d8be7795db9d1">
  <xsd:schema xmlns:xsd="http://www.w3.org/2001/XMLSchema" xmlns:xs="http://www.w3.org/2001/XMLSchema" xmlns:p="http://schemas.microsoft.com/office/2006/metadata/properties" xmlns:ns2="28f56b1e-4829-4a14-82d9-21df24f8d737" xmlns:ns3="5c767b79-66c0-4d92-916d-0ea16ff5735c" targetNamespace="http://schemas.microsoft.com/office/2006/metadata/properties" ma:root="true" ma:fieldsID="a211b73e3fc064f234b05bd1d93250b3" ns2:_="" ns3:_="">
    <xsd:import namespace="28f56b1e-4829-4a14-82d9-21df24f8d737"/>
    <xsd:import namespace="5c767b79-66c0-4d92-916d-0ea16ff573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2:Current" minOccurs="0"/>
                <xsd:element ref="ns2:_Flow_SignoffStatus" minOccurs="0"/>
                <xsd:element ref="ns2:TR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6b1e-4829-4a14-82d9-21df24f8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urrent" ma:index="23" nillable="true" ma:displayName="Current" ma:default="1" ma:format="Dropdown" ma:internalName="Current">
      <xsd:simpleType>
        <xsd:restriction base="dms:Boolean"/>
      </xsd:simpleType>
    </xsd:element>
    <xsd:element name="_Flow_SignoffStatus" ma:index="24" nillable="true" ma:displayName="Sign-off status" ma:internalName="Sign_x002d_off_x0020_status">
      <xsd:simpleType>
        <xsd:restriction base="dms:Text"/>
      </xsd:simpleType>
    </xsd:element>
    <xsd:element name="TRIM" ma:index="25" nillable="true" ma:displayName="TRIM" ma:default="0" ma:format="Dropdown" ma:internalName="TRI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67b79-66c0-4d92-916d-0ea16ff573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7a0211-368d-4e37-b94c-269bff6a5c00}" ma:internalName="TaxCatchAll" ma:showField="CatchAllData" ma:web="5c767b79-66c0-4d92-916d-0ea16ff57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2E4-65A1-4DB9-A67E-69FD54E8763C}">
  <ds:schemaRefs>
    <ds:schemaRef ds:uri="http://purl.org/dc/terms/"/>
    <ds:schemaRef ds:uri="http://www.w3.org/XML/1998/namespace"/>
    <ds:schemaRef ds:uri="28f56b1e-4829-4a14-82d9-21df24f8d737"/>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c767b79-66c0-4d92-916d-0ea16ff5735c"/>
    <ds:schemaRef ds:uri="http://purl.org/dc/dcmitype/"/>
  </ds:schemaRefs>
</ds:datastoreItem>
</file>

<file path=customXml/itemProps2.xml><?xml version="1.0" encoding="utf-8"?>
<ds:datastoreItem xmlns:ds="http://schemas.openxmlformats.org/officeDocument/2006/customXml" ds:itemID="{6D2B9C26-3C14-411F-BF87-C5DBD9AB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6b1e-4829-4a14-82d9-21df24f8d737"/>
    <ds:schemaRef ds:uri="5c767b79-66c0-4d92-916d-0ea16ff5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DoE_Blank_Word_Template_-_Portrait</Template>
  <TotalTime>1</TotalTime>
  <Pages>12</Pages>
  <Words>2915</Words>
  <Characters>15130</Characters>
  <Application>Microsoft Office Word</Application>
  <DocSecurity>0</DocSecurity>
  <Lines>369</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17858</CharactersWithSpaces>
  <SharedDoc>false</SharedDoc>
  <HyperlinkBase/>
  <HLinks>
    <vt:vector size="240" baseType="variant">
      <vt:variant>
        <vt:i4>5308424</vt:i4>
      </vt:variant>
      <vt:variant>
        <vt:i4>159</vt:i4>
      </vt:variant>
      <vt:variant>
        <vt:i4>0</vt:i4>
      </vt:variant>
      <vt:variant>
        <vt:i4>5</vt:i4>
      </vt:variant>
      <vt:variant>
        <vt:lpwstr>https://creativecommons.org/licenses/by/4.0/</vt:lpwstr>
      </vt:variant>
      <vt:variant>
        <vt:lpwstr/>
      </vt:variant>
      <vt:variant>
        <vt:i4>1835017</vt:i4>
      </vt:variant>
      <vt:variant>
        <vt:i4>156</vt:i4>
      </vt:variant>
      <vt:variant>
        <vt:i4>0</vt:i4>
      </vt:variant>
      <vt:variant>
        <vt:i4>5</vt:i4>
      </vt:variant>
      <vt:variant>
        <vt:lpwstr>https://forms.office.com/Pages/ResponsePage.aspx?id=muagBYpBwUecJZOHJhv5kdR9XgNzBt1AheGePVM3QdNUNzE1OEYwRzhEOVZJNkNHTFVTWDdGMVhQNyQlQCN0PWcu</vt:lpwstr>
      </vt:variant>
      <vt:variant>
        <vt:lpwstr/>
      </vt:variant>
      <vt:variant>
        <vt:i4>393234</vt:i4>
      </vt:variant>
      <vt:variant>
        <vt:i4>153</vt:i4>
      </vt:variant>
      <vt:variant>
        <vt:i4>0</vt:i4>
      </vt:variant>
      <vt:variant>
        <vt:i4>5</vt:i4>
      </vt:variant>
      <vt:variant>
        <vt:lpwstr>https://edit.education.nsw.gov.au/editor.html/content/main-education/en/home/teaching-and-learning/curriculum/career-learning-and-vet/curriculum-support/k-12-career-learning-framework.html</vt:lpwstr>
      </vt:variant>
      <vt:variant>
        <vt:lpwstr/>
      </vt:variant>
      <vt:variant>
        <vt:i4>6291490</vt:i4>
      </vt:variant>
      <vt:variant>
        <vt:i4>150</vt:i4>
      </vt:variant>
      <vt:variant>
        <vt:i4>0</vt:i4>
      </vt:variant>
      <vt:variant>
        <vt:i4>5</vt:i4>
      </vt:variant>
      <vt:variant>
        <vt:lpwstr>https://education.nsw.gov.au/teaching-and-learning/curriculum/career-learning-and-vet/curriculum-support/k-12-career-learning-framework</vt:lpwstr>
      </vt:variant>
      <vt:variant>
        <vt:lpwstr/>
      </vt:variant>
      <vt:variant>
        <vt:i4>4915220</vt:i4>
      </vt:variant>
      <vt:variant>
        <vt:i4>147</vt:i4>
      </vt:variant>
      <vt:variant>
        <vt:i4>0</vt:i4>
      </vt:variant>
      <vt:variant>
        <vt:i4>5</vt:i4>
      </vt:variant>
      <vt:variant>
        <vt:lpwstr>https://education.nsw.gov.au/teaching-and-learning/curriculum/planning-programming-and-assessing-k-12</vt:lpwstr>
      </vt:variant>
      <vt:variant>
        <vt:lpwstr/>
      </vt:variant>
      <vt:variant>
        <vt:i4>4915220</vt:i4>
      </vt:variant>
      <vt:variant>
        <vt:i4>144</vt:i4>
      </vt:variant>
      <vt:variant>
        <vt:i4>0</vt:i4>
      </vt:variant>
      <vt:variant>
        <vt:i4>5</vt:i4>
      </vt:variant>
      <vt:variant>
        <vt:lpwstr>https://education.nsw.gov.au/teaching-and-learning/curriculum/planning-programming-and-assessing-k-12</vt:lpwstr>
      </vt:variant>
      <vt:variant>
        <vt:lpwstr/>
      </vt:variant>
      <vt:variant>
        <vt:i4>5570568</vt:i4>
      </vt:variant>
      <vt:variant>
        <vt:i4>141</vt:i4>
      </vt:variant>
      <vt:variant>
        <vt:i4>0</vt:i4>
      </vt:variant>
      <vt:variant>
        <vt:i4>5</vt:i4>
      </vt:variant>
      <vt:variant>
        <vt:lpwstr>https://www.theschoolinthecloud.org/how-to/how-to-run-a-sole-session/</vt:lpwstr>
      </vt:variant>
      <vt:variant>
        <vt:lpwstr/>
      </vt:variant>
      <vt:variant>
        <vt:i4>5701650</vt:i4>
      </vt:variant>
      <vt:variant>
        <vt:i4>138</vt:i4>
      </vt:variant>
      <vt:variant>
        <vt:i4>0</vt:i4>
      </vt:variant>
      <vt:variant>
        <vt:i4>5</vt:i4>
      </vt:variant>
      <vt:variant>
        <vt:lpwstr>http://www.soleaustralia.com/</vt:lpwstr>
      </vt:variant>
      <vt:variant>
        <vt:lpwstr/>
      </vt:variant>
      <vt:variant>
        <vt:i4>1507397</vt:i4>
      </vt:variant>
      <vt:variant>
        <vt:i4>135</vt:i4>
      </vt:variant>
      <vt:variant>
        <vt:i4>0</vt:i4>
      </vt:variant>
      <vt:variant>
        <vt:i4>5</vt:i4>
      </vt:variant>
      <vt:variant>
        <vt:lpwstr>https://careersmart.org.uk/occupations/equality/which-jobs-do-men-and-women-do-occupational-breakdown-gender</vt:lpwstr>
      </vt:variant>
      <vt:variant>
        <vt:lpwstr/>
      </vt:variant>
      <vt:variant>
        <vt:i4>4456455</vt:i4>
      </vt:variant>
      <vt:variant>
        <vt:i4>132</vt:i4>
      </vt:variant>
      <vt:variant>
        <vt:i4>0</vt:i4>
      </vt:variant>
      <vt:variant>
        <vt:i4>5</vt:i4>
      </vt:variant>
      <vt:variant>
        <vt:lpwstr>https://www.defencejobs.gov.au/about-the-adf/women-in-the-adf</vt:lpwstr>
      </vt:variant>
      <vt:variant>
        <vt:lpwstr/>
      </vt:variant>
      <vt:variant>
        <vt:i4>4456509</vt:i4>
      </vt:variant>
      <vt:variant>
        <vt:i4>129</vt:i4>
      </vt:variant>
      <vt:variant>
        <vt:i4>0</vt:i4>
      </vt:variant>
      <vt:variant>
        <vt:i4>5</vt:i4>
      </vt:variant>
      <vt:variant>
        <vt:lpwstr>https://www.police.nsw.gov.au/recruitment/the_career/diversity/women_in_policing</vt:lpwstr>
      </vt:variant>
      <vt:variant>
        <vt:lpwstr/>
      </vt:variant>
      <vt:variant>
        <vt:i4>6815792</vt:i4>
      </vt:variant>
      <vt:variant>
        <vt:i4>126</vt:i4>
      </vt:variant>
      <vt:variant>
        <vt:i4>0</vt:i4>
      </vt:variant>
      <vt:variant>
        <vt:i4>5</vt:i4>
      </vt:variant>
      <vt:variant>
        <vt:lpwstr>https://careerswithstem.com.au/</vt:lpwstr>
      </vt:variant>
      <vt:variant>
        <vt:lpwstr/>
      </vt:variant>
      <vt:variant>
        <vt:i4>5701700</vt:i4>
      </vt:variant>
      <vt:variant>
        <vt:i4>123</vt:i4>
      </vt:variant>
      <vt:variant>
        <vt:i4>0</vt:i4>
      </vt:variant>
      <vt:variant>
        <vt:i4>5</vt:i4>
      </vt:variant>
      <vt:variant>
        <vt:lpwstr>https://joboutlook.gov.au/industries/industry-profiles?industryCode=Q</vt:lpwstr>
      </vt:variant>
      <vt:variant>
        <vt:lpwstr/>
      </vt:variant>
      <vt:variant>
        <vt:i4>4259869</vt:i4>
      </vt:variant>
      <vt:variant>
        <vt:i4>120</vt:i4>
      </vt:variant>
      <vt:variant>
        <vt:i4>0</vt:i4>
      </vt:variant>
      <vt:variant>
        <vt:i4>5</vt:i4>
      </vt:variant>
      <vt:variant>
        <vt:lpwstr>https://myfuture.edu.au/footer/assist-others/career-bullseye-posters</vt:lpwstr>
      </vt:variant>
      <vt:variant>
        <vt:lpwstr/>
      </vt:variant>
      <vt:variant>
        <vt:i4>7536699</vt:i4>
      </vt:variant>
      <vt:variant>
        <vt:i4>117</vt:i4>
      </vt:variant>
      <vt:variant>
        <vt:i4>0</vt:i4>
      </vt:variant>
      <vt:variant>
        <vt:i4>5</vt:i4>
      </vt:variant>
      <vt:variant>
        <vt:lpwstr>https://www.skillsone.com.au/category/women-in-trades/</vt:lpwstr>
      </vt:variant>
      <vt:variant>
        <vt:lpwstr/>
      </vt:variant>
      <vt:variant>
        <vt:i4>5308419</vt:i4>
      </vt:variant>
      <vt:variant>
        <vt:i4>114</vt:i4>
      </vt:variant>
      <vt:variant>
        <vt:i4>0</vt:i4>
      </vt:variant>
      <vt:variant>
        <vt:i4>5</vt:i4>
      </vt:variant>
      <vt:variant>
        <vt:lpwstr>https://www.nationalskillscommission.gov.au/publications/australian-jobs-2021</vt:lpwstr>
      </vt:variant>
      <vt:variant>
        <vt:lpwstr/>
      </vt:variant>
      <vt:variant>
        <vt:i4>6488126</vt:i4>
      </vt:variant>
      <vt:variant>
        <vt:i4>111</vt:i4>
      </vt:variant>
      <vt:variant>
        <vt:i4>0</vt:i4>
      </vt:variant>
      <vt:variant>
        <vt:i4>5</vt:i4>
      </vt:variant>
      <vt:variant>
        <vt:lpwstr>https://www.abc.net.au/news/2018-05-21/the-most-gendered-top-jobs-in-australia/9775544?nw=0</vt:lpwstr>
      </vt:variant>
      <vt:variant>
        <vt:lpwstr/>
      </vt:variant>
      <vt:variant>
        <vt:i4>7602299</vt:i4>
      </vt:variant>
      <vt:variant>
        <vt:i4>108</vt:i4>
      </vt:variant>
      <vt:variant>
        <vt:i4>0</vt:i4>
      </vt:variant>
      <vt:variant>
        <vt:i4>5</vt:i4>
      </vt:variant>
      <vt:variant>
        <vt:lpwstr>https://www.wgea.gov.au/about/workplace-gender-equality</vt:lpwstr>
      </vt:variant>
      <vt:variant>
        <vt:lpwstr/>
      </vt:variant>
      <vt:variant>
        <vt:i4>5046320</vt:i4>
      </vt:variant>
      <vt:variant>
        <vt:i4>105</vt:i4>
      </vt:variant>
      <vt:variant>
        <vt:i4>0</vt:i4>
      </vt:variant>
      <vt:variant>
        <vt:i4>5</vt:i4>
      </vt:variant>
      <vt:variant>
        <vt:lpwstr>https://www.youtube.com/watch?v=kJP1zPOfq_0</vt:lpwstr>
      </vt:variant>
      <vt:variant>
        <vt:lpwstr/>
      </vt:variant>
      <vt:variant>
        <vt:i4>5701650</vt:i4>
      </vt:variant>
      <vt:variant>
        <vt:i4>102</vt:i4>
      </vt:variant>
      <vt:variant>
        <vt:i4>0</vt:i4>
      </vt:variant>
      <vt:variant>
        <vt:i4>5</vt:i4>
      </vt:variant>
      <vt:variant>
        <vt:lpwstr>http://www.soleaustralia.com/</vt:lpwstr>
      </vt:variant>
      <vt:variant>
        <vt:lpwstr/>
      </vt:variant>
      <vt:variant>
        <vt:i4>7602299</vt:i4>
      </vt:variant>
      <vt:variant>
        <vt:i4>99</vt:i4>
      </vt:variant>
      <vt:variant>
        <vt:i4>0</vt:i4>
      </vt:variant>
      <vt:variant>
        <vt:i4>5</vt:i4>
      </vt:variant>
      <vt:variant>
        <vt:lpwstr>https://www.wgea.gov.au/about/workplace-gender-equality</vt:lpwstr>
      </vt:variant>
      <vt:variant>
        <vt:lpwstr/>
      </vt:variant>
      <vt:variant>
        <vt:i4>5046320</vt:i4>
      </vt:variant>
      <vt:variant>
        <vt:i4>96</vt:i4>
      </vt:variant>
      <vt:variant>
        <vt:i4>0</vt:i4>
      </vt:variant>
      <vt:variant>
        <vt:i4>5</vt:i4>
      </vt:variant>
      <vt:variant>
        <vt:lpwstr>https://www.youtube.com/watch?v=kJP1zPOfq_0</vt:lpwstr>
      </vt:variant>
      <vt:variant>
        <vt:lpwstr/>
      </vt:variant>
      <vt:variant>
        <vt:i4>3801205</vt:i4>
      </vt:variant>
      <vt:variant>
        <vt:i4>93</vt:i4>
      </vt:variant>
      <vt:variant>
        <vt:i4>0</vt:i4>
      </vt:variant>
      <vt:variant>
        <vt:i4>5</vt:i4>
      </vt:variant>
      <vt:variant>
        <vt:lpwstr>https://educationstandards.nsw.edu.au/wps/portal/nesa/k-10/learning-areas/pdhpe/pdhpe-k-10-2018</vt:lpwstr>
      </vt:variant>
      <vt:variant>
        <vt:lpwstr/>
      </vt:variant>
      <vt:variant>
        <vt:i4>7471201</vt:i4>
      </vt:variant>
      <vt:variant>
        <vt:i4>90</vt:i4>
      </vt:variant>
      <vt:variant>
        <vt:i4>0</vt:i4>
      </vt:variant>
      <vt:variant>
        <vt:i4>5</vt:i4>
      </vt:variant>
      <vt:variant>
        <vt:lpwstr>https://www.yourcareer.gov.au/resources/australian-blueprint-for-career-development</vt:lpwstr>
      </vt:variant>
      <vt:variant>
        <vt:lpwstr/>
      </vt:variant>
      <vt:variant>
        <vt:i4>7471201</vt:i4>
      </vt:variant>
      <vt:variant>
        <vt:i4>87</vt:i4>
      </vt:variant>
      <vt:variant>
        <vt:i4>0</vt:i4>
      </vt:variant>
      <vt:variant>
        <vt:i4>5</vt:i4>
      </vt:variant>
      <vt:variant>
        <vt:lpwstr>https://www.yourcareer.gov.au/resources/australian-blueprint-for-career-development</vt:lpwstr>
      </vt:variant>
      <vt:variant>
        <vt:lpwstr/>
      </vt:variant>
      <vt:variant>
        <vt:i4>6094938</vt:i4>
      </vt:variant>
      <vt:variant>
        <vt:i4>84</vt:i4>
      </vt:variant>
      <vt:variant>
        <vt:i4>0</vt:i4>
      </vt:variant>
      <vt:variant>
        <vt:i4>5</vt:i4>
      </vt:variant>
      <vt:variant>
        <vt:lpwstr>https://education.nsw.gov.au/teaching-and-learning/curriculum/career-learning-and-vet/career-learning</vt:lpwstr>
      </vt:variant>
      <vt:variant>
        <vt:lpwstr/>
      </vt:variant>
      <vt:variant>
        <vt:i4>7995427</vt:i4>
      </vt:variant>
      <vt:variant>
        <vt:i4>81</vt:i4>
      </vt:variant>
      <vt:variant>
        <vt:i4>0</vt:i4>
      </vt:variant>
      <vt:variant>
        <vt:i4>5</vt:i4>
      </vt:variant>
      <vt:variant>
        <vt:lpwstr>https://educationstandards.nsw.edu.au/wps/portal/nesa/teacher-accreditation/meeting-requirements/the-standards</vt:lpwstr>
      </vt:variant>
      <vt:variant>
        <vt:lpwstr/>
      </vt:variant>
      <vt:variant>
        <vt:i4>2031674</vt:i4>
      </vt:variant>
      <vt:variant>
        <vt:i4>74</vt:i4>
      </vt:variant>
      <vt:variant>
        <vt:i4>0</vt:i4>
      </vt:variant>
      <vt:variant>
        <vt:i4>5</vt:i4>
      </vt:variant>
      <vt:variant>
        <vt:lpwstr/>
      </vt:variant>
      <vt:variant>
        <vt:lpwstr>_Toc169867412</vt:lpwstr>
      </vt:variant>
      <vt:variant>
        <vt:i4>2031674</vt:i4>
      </vt:variant>
      <vt:variant>
        <vt:i4>68</vt:i4>
      </vt:variant>
      <vt:variant>
        <vt:i4>0</vt:i4>
      </vt:variant>
      <vt:variant>
        <vt:i4>5</vt:i4>
      </vt:variant>
      <vt:variant>
        <vt:lpwstr/>
      </vt:variant>
      <vt:variant>
        <vt:lpwstr>_Toc169867411</vt:lpwstr>
      </vt:variant>
      <vt:variant>
        <vt:i4>2031674</vt:i4>
      </vt:variant>
      <vt:variant>
        <vt:i4>62</vt:i4>
      </vt:variant>
      <vt:variant>
        <vt:i4>0</vt:i4>
      </vt:variant>
      <vt:variant>
        <vt:i4>5</vt:i4>
      </vt:variant>
      <vt:variant>
        <vt:lpwstr/>
      </vt:variant>
      <vt:variant>
        <vt:lpwstr>_Toc169867410</vt:lpwstr>
      </vt:variant>
      <vt:variant>
        <vt:i4>1966138</vt:i4>
      </vt:variant>
      <vt:variant>
        <vt:i4>56</vt:i4>
      </vt:variant>
      <vt:variant>
        <vt:i4>0</vt:i4>
      </vt:variant>
      <vt:variant>
        <vt:i4>5</vt:i4>
      </vt:variant>
      <vt:variant>
        <vt:lpwstr/>
      </vt:variant>
      <vt:variant>
        <vt:lpwstr>_Toc169867409</vt:lpwstr>
      </vt:variant>
      <vt:variant>
        <vt:i4>1966138</vt:i4>
      </vt:variant>
      <vt:variant>
        <vt:i4>50</vt:i4>
      </vt:variant>
      <vt:variant>
        <vt:i4>0</vt:i4>
      </vt:variant>
      <vt:variant>
        <vt:i4>5</vt:i4>
      </vt:variant>
      <vt:variant>
        <vt:lpwstr/>
      </vt:variant>
      <vt:variant>
        <vt:lpwstr>_Toc169867408</vt:lpwstr>
      </vt:variant>
      <vt:variant>
        <vt:i4>1966138</vt:i4>
      </vt:variant>
      <vt:variant>
        <vt:i4>44</vt:i4>
      </vt:variant>
      <vt:variant>
        <vt:i4>0</vt:i4>
      </vt:variant>
      <vt:variant>
        <vt:i4>5</vt:i4>
      </vt:variant>
      <vt:variant>
        <vt:lpwstr/>
      </vt:variant>
      <vt:variant>
        <vt:lpwstr>_Toc169867407</vt:lpwstr>
      </vt:variant>
      <vt:variant>
        <vt:i4>1966138</vt:i4>
      </vt:variant>
      <vt:variant>
        <vt:i4>38</vt:i4>
      </vt:variant>
      <vt:variant>
        <vt:i4>0</vt:i4>
      </vt:variant>
      <vt:variant>
        <vt:i4>5</vt:i4>
      </vt:variant>
      <vt:variant>
        <vt:lpwstr/>
      </vt:variant>
      <vt:variant>
        <vt:lpwstr>_Toc169867406</vt:lpwstr>
      </vt:variant>
      <vt:variant>
        <vt:i4>1966138</vt:i4>
      </vt:variant>
      <vt:variant>
        <vt:i4>32</vt:i4>
      </vt:variant>
      <vt:variant>
        <vt:i4>0</vt:i4>
      </vt:variant>
      <vt:variant>
        <vt:i4>5</vt:i4>
      </vt:variant>
      <vt:variant>
        <vt:lpwstr/>
      </vt:variant>
      <vt:variant>
        <vt:lpwstr>_Toc169867405</vt:lpwstr>
      </vt:variant>
      <vt:variant>
        <vt:i4>1966138</vt:i4>
      </vt:variant>
      <vt:variant>
        <vt:i4>26</vt:i4>
      </vt:variant>
      <vt:variant>
        <vt:i4>0</vt:i4>
      </vt:variant>
      <vt:variant>
        <vt:i4>5</vt:i4>
      </vt:variant>
      <vt:variant>
        <vt:lpwstr/>
      </vt:variant>
      <vt:variant>
        <vt:lpwstr>_Toc169867404</vt:lpwstr>
      </vt:variant>
      <vt:variant>
        <vt:i4>1966138</vt:i4>
      </vt:variant>
      <vt:variant>
        <vt:i4>20</vt:i4>
      </vt:variant>
      <vt:variant>
        <vt:i4>0</vt:i4>
      </vt:variant>
      <vt:variant>
        <vt:i4>5</vt:i4>
      </vt:variant>
      <vt:variant>
        <vt:lpwstr/>
      </vt:variant>
      <vt:variant>
        <vt:lpwstr>_Toc169867403</vt:lpwstr>
      </vt:variant>
      <vt:variant>
        <vt:i4>1966138</vt:i4>
      </vt:variant>
      <vt:variant>
        <vt:i4>14</vt:i4>
      </vt:variant>
      <vt:variant>
        <vt:i4>0</vt:i4>
      </vt:variant>
      <vt:variant>
        <vt:i4>5</vt:i4>
      </vt:variant>
      <vt:variant>
        <vt:lpwstr/>
      </vt:variant>
      <vt:variant>
        <vt:lpwstr>_Toc169867402</vt:lpwstr>
      </vt:variant>
      <vt:variant>
        <vt:i4>1966138</vt:i4>
      </vt:variant>
      <vt:variant>
        <vt:i4>8</vt:i4>
      </vt:variant>
      <vt:variant>
        <vt:i4>0</vt:i4>
      </vt:variant>
      <vt:variant>
        <vt:i4>5</vt:i4>
      </vt:variant>
      <vt:variant>
        <vt:lpwstr/>
      </vt:variant>
      <vt:variant>
        <vt:lpwstr>_Toc169867401</vt:lpwstr>
      </vt:variant>
      <vt:variant>
        <vt:i4>1966138</vt:i4>
      </vt:variant>
      <vt:variant>
        <vt:i4>2</vt:i4>
      </vt:variant>
      <vt:variant>
        <vt:i4>0</vt:i4>
      </vt:variant>
      <vt:variant>
        <vt:i4>5</vt:i4>
      </vt:variant>
      <vt:variant>
        <vt:lpwstr/>
      </vt:variant>
      <vt:variant>
        <vt:lpwstr>_Toc169867400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Lown</dc:creator>
  <cp:keywords/>
  <dc:description/>
  <cp:lastModifiedBy>Amy Greenshields</cp:lastModifiedBy>
  <cp:revision>2</cp:revision>
  <dcterms:created xsi:type="dcterms:W3CDTF">2024-06-21T03:05:00Z</dcterms:created>
  <dcterms:modified xsi:type="dcterms:W3CDTF">2024-06-21T03:05:00Z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0x010100E5ED8C0FA2F9FF4EAB5A754535DF5DEC</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