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D70A" w14:textId="794A3E63" w:rsidR="51BF7A4A" w:rsidRDefault="51BF7A4A" w:rsidP="00546EBD">
      <w:pPr>
        <w:pStyle w:val="Title"/>
        <w:rPr>
          <w:bCs/>
          <w:szCs w:val="48"/>
        </w:rPr>
      </w:pPr>
      <w:r w:rsidRPr="09FEC9F9">
        <w:rPr>
          <w:rFonts w:eastAsia="Arial"/>
        </w:rPr>
        <w:t>PDHPE</w:t>
      </w:r>
      <w:r w:rsidR="005638A2" w:rsidRPr="09FEC9F9">
        <w:rPr>
          <w:rFonts w:eastAsia="Arial"/>
        </w:rPr>
        <w:t xml:space="preserve"> Stage 4</w:t>
      </w:r>
      <w:r w:rsidR="55043126" w:rsidRPr="09FEC9F9">
        <w:rPr>
          <w:rFonts w:eastAsia="Arial"/>
        </w:rPr>
        <w:t xml:space="preserve"> - </w:t>
      </w:r>
      <w:r w:rsidR="13595CF3">
        <w:t>Healthy, safe and active lifestyles</w:t>
      </w:r>
    </w:p>
    <w:p w14:paraId="3EA75237" w14:textId="43541981" w:rsidR="22E32F78" w:rsidRPr="006A2976" w:rsidRDefault="00CA3B93" w:rsidP="00546EBD">
      <w:pPr>
        <w:spacing w:before="0" w:after="240"/>
      </w:pPr>
      <w:r w:rsidRPr="00CA3B93">
        <w:rPr>
          <w:rStyle w:val="Strong"/>
        </w:rPr>
        <w:t>Suggested duration:</w:t>
      </w:r>
      <w:r>
        <w:rPr>
          <w:lang w:eastAsia="zh-CN"/>
        </w:rPr>
        <w:t xml:space="preserve"> </w:t>
      </w:r>
      <w:r w:rsidR="00355BD5">
        <w:rPr>
          <w:lang w:eastAsia="zh-CN"/>
        </w:rPr>
        <w:t>2</w:t>
      </w:r>
      <w:r w:rsidR="79EDFC3C" w:rsidRPr="09FEC9F9">
        <w:rPr>
          <w:lang w:eastAsia="zh-CN"/>
        </w:rPr>
        <w:t xml:space="preserve"> lessons</w:t>
      </w:r>
    </w:p>
    <w:p w14:paraId="60476943" w14:textId="7FA1DFF9" w:rsidR="492F1E3F" w:rsidRDefault="492F1E3F" w:rsidP="0578740A">
      <w:pPr>
        <w:spacing w:before="0"/>
      </w:pPr>
      <w:r>
        <w:t>Learning for life beyond school is supported when subjects are delivered to students in a way that they can understand how the content is relevant to career pathways and work settings</w:t>
      </w:r>
      <w:r w:rsidR="26B725A9">
        <w:t>.</w:t>
      </w:r>
      <w:r w:rsidR="00546EBD" w:rsidRPr="00546EBD">
        <w:rPr>
          <w:rFonts w:cs="Arial"/>
          <w:color w:val="000000"/>
          <w:bdr w:val="none" w:sz="0" w:space="0" w:color="auto" w:frame="1"/>
        </w:rPr>
        <w:t xml:space="preserve"> </w:t>
      </w:r>
      <w:r w:rsidR="21C5EC45" w:rsidRPr="0578740A">
        <w:rPr>
          <w:rStyle w:val="normaltextrun"/>
          <w:rFonts w:eastAsia="Arial" w:cs="Arial"/>
          <w:color w:val="000000" w:themeColor="text1"/>
        </w:rPr>
        <w:t>NESA syllabuses identify work and enterprise as important learning across the curriculum content for all students.</w:t>
      </w:r>
    </w:p>
    <w:p w14:paraId="411204F8" w14:textId="1755868D" w:rsidR="006A2976" w:rsidRDefault="006A2976" w:rsidP="00CA3B93">
      <w:pPr>
        <w:pStyle w:val="Heading1"/>
      </w:pPr>
      <w:r>
        <w:t>Career learning benefits</w:t>
      </w:r>
      <w:r w:rsidR="00CA3B93">
        <w:t xml:space="preserve"> and c</w:t>
      </w:r>
      <w:r>
        <w:t>areer management skills</w:t>
      </w:r>
    </w:p>
    <w:p w14:paraId="223032C9" w14:textId="571507E2" w:rsidR="00CA3B93" w:rsidRDefault="006A2976" w:rsidP="005D0DD3">
      <w:pPr>
        <w:spacing w:before="0"/>
      </w:pPr>
      <w:r w:rsidRPr="49AB5F70">
        <w:rPr>
          <w:rFonts w:eastAsia="Arial" w:cs="Arial"/>
          <w:color w:val="212121"/>
        </w:rPr>
        <w:t xml:space="preserve">Career learning resources have been developed to enrich existing teaching and learning programs to facilitate effective career education for students, supporting students to </w:t>
      </w:r>
      <w:r w:rsidR="00BB0B75" w:rsidRPr="49AB5F70">
        <w:rPr>
          <w:rFonts w:eastAsia="Arial" w:cs="Arial"/>
          <w:color w:val="212121"/>
        </w:rPr>
        <w:t xml:space="preserve">link classroom learning to </w:t>
      </w:r>
      <w:r w:rsidRPr="49AB5F70">
        <w:rPr>
          <w:rFonts w:eastAsia="Arial" w:cs="Arial"/>
          <w:color w:val="212121"/>
        </w:rPr>
        <w:t>workplace applications, including developing career management</w:t>
      </w:r>
      <w:r>
        <w:t xml:space="preserve"> skills. </w:t>
      </w:r>
      <w:r w:rsidR="00CA3B93">
        <w:t>Career lea</w:t>
      </w:r>
      <w:r w:rsidR="3E4C7119">
        <w:t>r</w:t>
      </w:r>
      <w:r w:rsidR="00CA3B93">
        <w:t xml:space="preserve">ning activities embedded within existing curriculum have been aligned to the themes from the </w:t>
      </w:r>
      <w:hyperlink r:id="rId11" w:history="1">
        <w:r w:rsidR="00CA3B93" w:rsidRPr="00F75266">
          <w:rPr>
            <w:rStyle w:val="Hyperlink"/>
          </w:rPr>
          <w:t>K-12 Career Learning Framework</w:t>
        </w:r>
      </w:hyperlink>
      <w:r w:rsidR="00CA3B93">
        <w:t xml:space="preserve">. Activities may relate to one or more of the themes: </w:t>
      </w:r>
    </w:p>
    <w:p w14:paraId="51990400" w14:textId="00060E5D" w:rsidR="001A563B" w:rsidRDefault="001A563B" w:rsidP="001A563B">
      <w:pPr>
        <w:pStyle w:val="ListBullet"/>
      </w:pPr>
      <w:r>
        <w:t xml:space="preserve">Identity – building and maintaining a positive </w:t>
      </w:r>
      <w:r w:rsidR="2691C848">
        <w:t>self-concept</w:t>
      </w:r>
      <w:r>
        <w:t>, responding to change and developing capabilities</w:t>
      </w:r>
    </w:p>
    <w:p w14:paraId="763B52EE" w14:textId="4198034A" w:rsidR="001A563B" w:rsidRDefault="001A563B" w:rsidP="001A563B">
      <w:pPr>
        <w:pStyle w:val="ListBullet"/>
      </w:pPr>
      <w:r>
        <w:t>Experience – discover,</w:t>
      </w:r>
      <w:r w:rsidR="008E6DC7">
        <w:t xml:space="preserve"> explore,</w:t>
      </w:r>
      <w:r>
        <w:t xml:space="preserve"> investigate and consider opportunities </w:t>
      </w:r>
      <w:r w:rsidR="766C14DF">
        <w:t>for</w:t>
      </w:r>
      <w:r>
        <w:t xml:space="preserve"> lifelong learning to support career goals</w:t>
      </w:r>
    </w:p>
    <w:p w14:paraId="5CE979FB" w14:textId="77777777" w:rsidR="001A563B" w:rsidRDefault="001A563B" w:rsidP="001A563B">
      <w:pPr>
        <w:pStyle w:val="ListBullet"/>
      </w:pPr>
      <w:r>
        <w:t>Empower – learning to self manage, engage in career decision making and developing skills and capabilities to make informed decisions</w:t>
      </w:r>
    </w:p>
    <w:tbl>
      <w:tblPr>
        <w:tblStyle w:val="Tableheader"/>
        <w:tblW w:w="9602" w:type="dxa"/>
        <w:tblInd w:w="-60" w:type="dxa"/>
        <w:tblLook w:val="04A0" w:firstRow="1" w:lastRow="0" w:firstColumn="1" w:lastColumn="0" w:noHBand="0" w:noVBand="1"/>
      </w:tblPr>
      <w:tblGrid>
        <w:gridCol w:w="2229"/>
        <w:gridCol w:w="3471"/>
        <w:gridCol w:w="3902"/>
      </w:tblGrid>
      <w:tr w:rsidR="006A2976" w14:paraId="5772BCD5" w14:textId="77777777" w:rsidTr="00047119">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2229" w:type="dxa"/>
          </w:tcPr>
          <w:p w14:paraId="3A20C557" w14:textId="77777777" w:rsidR="006A2976" w:rsidRDefault="006A2976" w:rsidP="00047119">
            <w:pPr>
              <w:spacing w:before="192" w:after="192" w:line="276" w:lineRule="auto"/>
              <w:rPr>
                <w:lang w:eastAsia="zh-CN"/>
              </w:rPr>
            </w:pPr>
            <w:r>
              <w:rPr>
                <w:lang w:eastAsia="zh-CN"/>
              </w:rPr>
              <w:t>Theme</w:t>
            </w:r>
          </w:p>
        </w:tc>
        <w:tc>
          <w:tcPr>
            <w:tcW w:w="3471" w:type="dxa"/>
          </w:tcPr>
          <w:p w14:paraId="163F7007" w14:textId="6792AA19" w:rsidR="006A2976" w:rsidRPr="09FEC9F9" w:rsidRDefault="00F71181" w:rsidP="0004711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Career Management Skills</w:t>
            </w:r>
          </w:p>
        </w:tc>
        <w:tc>
          <w:tcPr>
            <w:tcW w:w="3902" w:type="dxa"/>
          </w:tcPr>
          <w:p w14:paraId="1AB972B8" w14:textId="3F505B39" w:rsidR="006A2976" w:rsidRDefault="00F71181" w:rsidP="0004711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Australian Blueprint </w:t>
            </w:r>
            <w:r w:rsidR="00546EBD">
              <w:rPr>
                <w:lang w:eastAsia="zh-CN"/>
              </w:rPr>
              <w:t>for Career Development c</w:t>
            </w:r>
            <w:r>
              <w:rPr>
                <w:lang w:eastAsia="zh-CN"/>
              </w:rPr>
              <w:t>ompetency</w:t>
            </w:r>
          </w:p>
        </w:tc>
      </w:tr>
      <w:tr w:rsidR="006A2976" w14:paraId="6013BE44" w14:textId="77777777" w:rsidTr="00047119">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29" w:type="dxa"/>
          </w:tcPr>
          <w:p w14:paraId="67C315DD" w14:textId="77777777" w:rsidR="006A2976" w:rsidRDefault="006A2976" w:rsidP="00047119">
            <w:pPr>
              <w:rPr>
                <w:lang w:eastAsia="zh-CN"/>
              </w:rPr>
            </w:pPr>
            <w:r>
              <w:rPr>
                <w:lang w:eastAsia="zh-CN"/>
              </w:rPr>
              <w:t>Experience</w:t>
            </w:r>
          </w:p>
        </w:tc>
        <w:tc>
          <w:tcPr>
            <w:tcW w:w="3471" w:type="dxa"/>
          </w:tcPr>
          <w:p w14:paraId="422A9AFF" w14:textId="5C6315CF" w:rsidR="006A2976" w:rsidRPr="09FEC9F9" w:rsidRDefault="00F71181" w:rsidP="0004711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Link learning and motivations to personal career aspirations which give a work/life balance</w:t>
            </w:r>
          </w:p>
        </w:tc>
        <w:tc>
          <w:tcPr>
            <w:tcW w:w="3902" w:type="dxa"/>
          </w:tcPr>
          <w:p w14:paraId="77890F10" w14:textId="77777777" w:rsidR="006A2976" w:rsidRDefault="006A2976" w:rsidP="00047119">
            <w:pPr>
              <w:cnfStyle w:val="000000100000" w:firstRow="0" w:lastRow="0" w:firstColumn="0" w:lastColumn="0" w:oddVBand="0" w:evenVBand="0" w:oddHBand="1" w:evenHBand="0" w:firstRowFirstColumn="0" w:firstRowLastColumn="0" w:lastRowFirstColumn="0" w:lastRowLastColumn="0"/>
              <w:rPr>
                <w:lang w:eastAsia="zh-CN"/>
              </w:rPr>
            </w:pPr>
            <w:r w:rsidRPr="09FEC9F9">
              <w:rPr>
                <w:lang w:eastAsia="zh-CN"/>
              </w:rPr>
              <w:t>4.2 Link lifelong learning to personal career aspirations</w:t>
            </w:r>
          </w:p>
        </w:tc>
      </w:tr>
      <w:tr w:rsidR="006A2976" w14:paraId="57AB2061" w14:textId="77777777" w:rsidTr="00047119">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229" w:type="dxa"/>
          </w:tcPr>
          <w:p w14:paraId="70770E71" w14:textId="77777777" w:rsidR="006A2976" w:rsidRDefault="006A2976" w:rsidP="00047119">
            <w:pPr>
              <w:rPr>
                <w:lang w:eastAsia="zh-CN"/>
              </w:rPr>
            </w:pPr>
            <w:r>
              <w:rPr>
                <w:lang w:eastAsia="zh-CN"/>
              </w:rPr>
              <w:t>Experience</w:t>
            </w:r>
          </w:p>
        </w:tc>
        <w:tc>
          <w:tcPr>
            <w:tcW w:w="3471" w:type="dxa"/>
          </w:tcPr>
          <w:p w14:paraId="2271F9CB" w14:textId="604882BC" w:rsidR="006A2976" w:rsidRPr="09FEC9F9" w:rsidRDefault="006A2976" w:rsidP="00047119">
            <w:pPr>
              <w:cnfStyle w:val="000000010000" w:firstRow="0" w:lastRow="0" w:firstColumn="0" w:lastColumn="0" w:oddVBand="0" w:evenVBand="0" w:oddHBand="0" w:evenHBand="1" w:firstRowFirstColumn="0" w:firstRowLastColumn="0" w:lastRowFirstColumn="0" w:lastRowLastColumn="0"/>
              <w:rPr>
                <w:lang w:eastAsia="zh-CN"/>
              </w:rPr>
            </w:pPr>
            <w:r w:rsidRPr="09FEC9F9">
              <w:rPr>
                <w:lang w:eastAsia="zh-CN"/>
              </w:rPr>
              <w:t>Locate and use career information</w:t>
            </w:r>
          </w:p>
        </w:tc>
        <w:tc>
          <w:tcPr>
            <w:tcW w:w="3902" w:type="dxa"/>
          </w:tcPr>
          <w:p w14:paraId="0988943A" w14:textId="77777777" w:rsidR="006A2976" w:rsidRDefault="006A2976" w:rsidP="00047119">
            <w:pPr>
              <w:cnfStyle w:val="000000010000" w:firstRow="0" w:lastRow="0" w:firstColumn="0" w:lastColumn="0" w:oddVBand="0" w:evenVBand="0" w:oddHBand="0" w:evenHBand="1" w:firstRowFirstColumn="0" w:firstRowLastColumn="0" w:lastRowFirstColumn="0" w:lastRowLastColumn="0"/>
              <w:rPr>
                <w:lang w:eastAsia="zh-CN"/>
              </w:rPr>
            </w:pPr>
            <w:r w:rsidRPr="09FEC9F9">
              <w:rPr>
                <w:lang w:eastAsia="zh-CN"/>
              </w:rPr>
              <w:t>5.2 Locate and use career information</w:t>
            </w:r>
          </w:p>
        </w:tc>
      </w:tr>
      <w:tr w:rsidR="006A2976" w14:paraId="356509C6" w14:textId="77777777" w:rsidTr="00047119">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29" w:type="dxa"/>
          </w:tcPr>
          <w:p w14:paraId="5B0602A0" w14:textId="77777777" w:rsidR="006A2976" w:rsidRDefault="006A2976" w:rsidP="00047119">
            <w:pPr>
              <w:rPr>
                <w:rFonts w:eastAsia="Calibri"/>
                <w:lang w:eastAsia="zh-CN"/>
              </w:rPr>
            </w:pPr>
            <w:r>
              <w:rPr>
                <w:rFonts w:eastAsia="Calibri"/>
                <w:lang w:eastAsia="zh-CN"/>
              </w:rPr>
              <w:t>Experience</w:t>
            </w:r>
          </w:p>
        </w:tc>
        <w:tc>
          <w:tcPr>
            <w:tcW w:w="3471" w:type="dxa"/>
          </w:tcPr>
          <w:p w14:paraId="109FA8B7" w14:textId="542ECD9C" w:rsidR="006A2976" w:rsidRPr="09FEC9F9" w:rsidRDefault="006A2976" w:rsidP="00047119">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9FEC9F9">
              <w:rPr>
                <w:rFonts w:eastAsia="Calibri"/>
                <w:lang w:eastAsia="zh-CN"/>
              </w:rPr>
              <w:t xml:space="preserve">Understand </w:t>
            </w:r>
            <w:r w:rsidR="00F71181">
              <w:rPr>
                <w:rFonts w:eastAsia="Calibri"/>
                <w:lang w:eastAsia="zh-CN"/>
              </w:rPr>
              <w:t>how work contributes to your life and the community</w:t>
            </w:r>
          </w:p>
        </w:tc>
        <w:tc>
          <w:tcPr>
            <w:tcW w:w="3902" w:type="dxa"/>
          </w:tcPr>
          <w:p w14:paraId="5818403B" w14:textId="3B6A2A84" w:rsidR="006A2976" w:rsidRDefault="006A2976" w:rsidP="00047119">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9FEC9F9">
              <w:rPr>
                <w:rFonts w:eastAsia="Calibri"/>
                <w:lang w:eastAsia="zh-CN"/>
              </w:rPr>
              <w:t xml:space="preserve">6.2 Understand </w:t>
            </w:r>
            <w:r w:rsidR="00F71181">
              <w:rPr>
                <w:rFonts w:eastAsia="Calibri"/>
                <w:lang w:eastAsia="zh-CN"/>
              </w:rPr>
              <w:t>how societal needs and economic conditions influence the nature and structure of work</w:t>
            </w:r>
          </w:p>
        </w:tc>
      </w:tr>
    </w:tbl>
    <w:p w14:paraId="51EE99A0" w14:textId="77777777" w:rsidR="006A2976" w:rsidRDefault="006A2976" w:rsidP="54975C2B"/>
    <w:p w14:paraId="0D7ACF15" w14:textId="5A0C2896" w:rsidR="4FF82DDA" w:rsidRPr="000347B0" w:rsidRDefault="4FF82DDA" w:rsidP="005D0DD3">
      <w:pPr>
        <w:pStyle w:val="Heading2"/>
        <w:spacing w:before="0"/>
      </w:pPr>
      <w:r w:rsidRPr="000347B0">
        <w:t>What do we want students to know, understand or be able to do?</w:t>
      </w:r>
    </w:p>
    <w:p w14:paraId="63490DA3" w14:textId="53FF614C" w:rsidR="4FF82DDA" w:rsidRDefault="4FF82DDA" w:rsidP="09FEC9F9">
      <w:pPr>
        <w:rPr>
          <w:rFonts w:eastAsia="Calibri"/>
          <w:lang w:eastAsia="zh-CN"/>
        </w:rPr>
      </w:pPr>
      <w:r w:rsidRPr="1D1E39DA">
        <w:rPr>
          <w:rFonts w:eastAsia="Calibri"/>
          <w:lang w:eastAsia="zh-CN"/>
        </w:rPr>
        <w:t xml:space="preserve">Students discuss the people, occupations and industries that support the health and wellbeing of young people. Students </w:t>
      </w:r>
      <w:r w:rsidR="007E74DA">
        <w:rPr>
          <w:rFonts w:eastAsia="Calibri"/>
          <w:lang w:eastAsia="zh-CN"/>
        </w:rPr>
        <w:t>analyse</w:t>
      </w:r>
      <w:r w:rsidRPr="1D1E39DA">
        <w:rPr>
          <w:rFonts w:eastAsia="Calibri"/>
          <w:lang w:eastAsia="zh-CN"/>
        </w:rPr>
        <w:t xml:space="preserve"> why the health sector is one that is experiencing employment growth and how that will influence employment options in the future. Students explore the range of occupations that support the health</w:t>
      </w:r>
      <w:r w:rsidR="2AF9697A" w:rsidRPr="1D1E39DA">
        <w:rPr>
          <w:rFonts w:eastAsia="Calibri"/>
          <w:lang w:eastAsia="zh-CN"/>
        </w:rPr>
        <w:t xml:space="preserve"> and</w:t>
      </w:r>
      <w:r w:rsidRPr="1D1E39DA">
        <w:rPr>
          <w:rFonts w:eastAsia="Calibri"/>
          <w:lang w:eastAsia="zh-CN"/>
        </w:rPr>
        <w:t xml:space="preserve"> wellbeing </w:t>
      </w:r>
      <w:r w:rsidR="4D30F41B" w:rsidRPr="1D1E39DA">
        <w:rPr>
          <w:rFonts w:eastAsia="Calibri"/>
          <w:lang w:eastAsia="zh-CN"/>
        </w:rPr>
        <w:t>of</w:t>
      </w:r>
      <w:r w:rsidRPr="1D1E39DA">
        <w:rPr>
          <w:rFonts w:eastAsia="Calibri"/>
          <w:lang w:eastAsia="zh-CN"/>
        </w:rPr>
        <w:t xml:space="preserve"> individuals throughout the stages of life.</w:t>
      </w:r>
    </w:p>
    <w:p w14:paraId="2AA206A8" w14:textId="18416F49" w:rsidR="005638A2" w:rsidRDefault="464CED95" w:rsidP="005638A2">
      <w:pPr>
        <w:pStyle w:val="Heading3"/>
      </w:pPr>
      <w:r>
        <w:t>Syllabus</w:t>
      </w:r>
      <w:r w:rsidR="005638A2">
        <w:t xml:space="preserve"> outcomes</w:t>
      </w:r>
    </w:p>
    <w:p w14:paraId="783B4FB4" w14:textId="1C9AF8C7" w:rsidR="005638A2" w:rsidRDefault="6FC58980" w:rsidP="09FEC9F9">
      <w:pPr>
        <w:pStyle w:val="ListParagraph"/>
        <w:numPr>
          <w:ilvl w:val="0"/>
          <w:numId w:val="2"/>
        </w:numPr>
        <w:rPr>
          <w:rFonts w:asciiTheme="minorHAnsi" w:eastAsiaTheme="minorEastAsia" w:hAnsiTheme="minorHAnsi"/>
          <w:b/>
          <w:bCs/>
          <w:color w:val="000000" w:themeColor="text1"/>
          <w:lang w:val="en-US"/>
        </w:rPr>
      </w:pPr>
      <w:r w:rsidRPr="0578740A">
        <w:rPr>
          <w:rFonts w:eastAsia="Arial" w:cs="Arial"/>
          <w:b/>
          <w:bCs/>
          <w:color w:val="000000" w:themeColor="text1"/>
        </w:rPr>
        <w:t>PD 4-7</w:t>
      </w:r>
      <w:r w:rsidRPr="0578740A">
        <w:rPr>
          <w:rFonts w:eastAsia="Arial" w:cs="Arial"/>
          <w:color w:val="000000" w:themeColor="text1"/>
        </w:rPr>
        <w:t xml:space="preserve"> investigates health practices, behaviours and resources to promote health, safety, wellbeing, and physically active communities</w:t>
      </w:r>
    </w:p>
    <w:p w14:paraId="44E851A9" w14:textId="77A58E58" w:rsidR="1D1E39DA" w:rsidRPr="006A2976" w:rsidRDefault="6FC58980" w:rsidP="006A2976">
      <w:pPr>
        <w:pStyle w:val="ListParagraph"/>
        <w:numPr>
          <w:ilvl w:val="0"/>
          <w:numId w:val="2"/>
        </w:numPr>
        <w:spacing w:after="240"/>
        <w:rPr>
          <w:rFonts w:eastAsia="Arial" w:cs="Arial"/>
          <w:color w:val="000000" w:themeColor="text1"/>
        </w:rPr>
      </w:pPr>
      <w:r w:rsidRPr="0578740A">
        <w:rPr>
          <w:rFonts w:eastAsia="Arial" w:cs="Arial"/>
          <w:b/>
          <w:bCs/>
          <w:color w:val="000000" w:themeColor="text1"/>
        </w:rPr>
        <w:t>PD 4-8</w:t>
      </w:r>
      <w:r w:rsidRPr="0578740A">
        <w:rPr>
          <w:rFonts w:eastAsia="Arial" w:cs="Arial"/>
          <w:color w:val="000000" w:themeColor="text1"/>
        </w:rPr>
        <w:t xml:space="preserve"> plans for and participates in activities that encourage health and a lifetime of physical activity</w:t>
      </w:r>
    </w:p>
    <w:tbl>
      <w:tblPr>
        <w:tblStyle w:val="Tableheader"/>
        <w:tblW w:w="0" w:type="auto"/>
        <w:tblLook w:val="04A0" w:firstRow="1" w:lastRow="0" w:firstColumn="1" w:lastColumn="0" w:noHBand="0" w:noVBand="1"/>
      </w:tblPr>
      <w:tblGrid>
        <w:gridCol w:w="3155"/>
        <w:gridCol w:w="6417"/>
      </w:tblGrid>
      <w:tr w:rsidR="09FEC9F9" w14:paraId="3609A270" w14:textId="77777777" w:rsidTr="057874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72ED2E63" w14:textId="120744C4" w:rsidR="53BB2D8F" w:rsidRDefault="53BB2D8F" w:rsidP="09FEC9F9">
            <w:pPr>
              <w:spacing w:before="192" w:after="192"/>
              <w:rPr>
                <w:lang w:eastAsia="zh-CN"/>
              </w:rPr>
            </w:pPr>
            <w:r w:rsidRPr="09FEC9F9">
              <w:rPr>
                <w:lang w:eastAsia="zh-CN"/>
              </w:rPr>
              <w:t>Key inquiry questions</w:t>
            </w:r>
          </w:p>
        </w:tc>
        <w:tc>
          <w:tcPr>
            <w:tcW w:w="6553" w:type="dxa"/>
          </w:tcPr>
          <w:p w14:paraId="43917622" w14:textId="06A0317F" w:rsidR="53BB2D8F" w:rsidRDefault="53BB2D8F" w:rsidP="09FEC9F9">
            <w:pPr>
              <w:cnfStyle w:val="100000000000" w:firstRow="1" w:lastRow="0" w:firstColumn="0" w:lastColumn="0" w:oddVBand="0" w:evenVBand="0" w:oddHBand="0" w:evenHBand="0" w:firstRowFirstColumn="0" w:firstRowLastColumn="0" w:lastRowFirstColumn="0" w:lastRowLastColumn="0"/>
              <w:rPr>
                <w:lang w:eastAsia="zh-CN"/>
              </w:rPr>
            </w:pPr>
            <w:r w:rsidRPr="09FEC9F9">
              <w:rPr>
                <w:lang w:eastAsia="zh-CN"/>
              </w:rPr>
              <w:t>Syllabus content</w:t>
            </w:r>
          </w:p>
        </w:tc>
      </w:tr>
      <w:tr w:rsidR="09FEC9F9" w14:paraId="0A834CF7" w14:textId="77777777" w:rsidTr="05787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2DF9573" w14:textId="32BB635A" w:rsidR="5332CAE1" w:rsidRDefault="5332CAE1" w:rsidP="09FEC9F9">
            <w:pPr>
              <w:rPr>
                <w:lang w:eastAsia="zh-CN"/>
              </w:rPr>
            </w:pPr>
            <w:r w:rsidRPr="09FEC9F9">
              <w:rPr>
                <w:lang w:eastAsia="zh-CN"/>
              </w:rPr>
              <w:t>What positive actions contribute to the health, safety, wellbeing and participation in physical activity levels of the wider community?</w:t>
            </w:r>
          </w:p>
        </w:tc>
        <w:tc>
          <w:tcPr>
            <w:tcW w:w="6553" w:type="dxa"/>
          </w:tcPr>
          <w:p w14:paraId="2C3324E2" w14:textId="6B77F911" w:rsidR="17BA1455" w:rsidRDefault="17BA1455" w:rsidP="09FEC9F9">
            <w:pPr>
              <w:cnfStyle w:val="000000100000" w:firstRow="0" w:lastRow="0" w:firstColumn="0" w:lastColumn="0" w:oddVBand="0" w:evenVBand="0" w:oddHBand="1" w:evenHBand="0" w:firstRowFirstColumn="0" w:firstRowLastColumn="0" w:lastRowFirstColumn="0" w:lastRowLastColumn="0"/>
              <w:rPr>
                <w:lang w:eastAsia="zh-CN"/>
              </w:rPr>
            </w:pPr>
            <w:r w:rsidRPr="09FEC9F9">
              <w:rPr>
                <w:lang w:eastAsia="zh-CN"/>
              </w:rPr>
              <w:t>Examine factors that influence health and wellbeing</w:t>
            </w:r>
          </w:p>
          <w:p w14:paraId="5BB2D16B" w14:textId="76AF580E" w:rsidR="17BA1455" w:rsidRDefault="263CEE84" w:rsidP="1D1E39DA">
            <w:pPr>
              <w:pStyle w:val="ListBullet"/>
              <w:cnfStyle w:val="000000100000" w:firstRow="0" w:lastRow="0" w:firstColumn="0" w:lastColumn="0" w:oddVBand="0" w:evenVBand="0" w:oddHBand="1" w:evenHBand="0" w:firstRowFirstColumn="0" w:firstRowLastColumn="0" w:lastRowFirstColumn="0" w:lastRowLastColumn="0"/>
              <w:rPr>
                <w:lang w:eastAsia="zh-CN"/>
              </w:rPr>
            </w:pPr>
            <w:r>
              <w:t xml:space="preserve">describe health and its dynamic nature </w:t>
            </w:r>
          </w:p>
          <w:p w14:paraId="272466AD" w14:textId="71955886" w:rsidR="17BA1455" w:rsidRDefault="263CEE84" w:rsidP="1D1E39DA">
            <w:pPr>
              <w:pStyle w:val="ListBullet"/>
              <w:cnfStyle w:val="000000100000" w:firstRow="0" w:lastRow="0" w:firstColumn="0" w:lastColumn="0" w:oddVBand="0" w:evenVBand="0" w:oddHBand="1" w:evenHBand="0" w:firstRowFirstColumn="0" w:firstRowLastColumn="0" w:lastRowFirstColumn="0" w:lastRowLastColumn="0"/>
              <w:rPr>
                <w:lang w:eastAsia="zh-CN"/>
              </w:rPr>
            </w:pPr>
            <w:r>
              <w:t xml:space="preserve">explore the term ‘wellbeing’ and examine factors that contribute to overall wellbeing </w:t>
            </w:r>
          </w:p>
          <w:p w14:paraId="208828AD" w14:textId="339BBB32" w:rsidR="17BA1455" w:rsidRDefault="263CEE84" w:rsidP="1D1E39DA">
            <w:pPr>
              <w:pStyle w:val="ListBullet"/>
              <w:cnfStyle w:val="000000100000" w:firstRow="0" w:lastRow="0" w:firstColumn="0" w:lastColumn="0" w:oddVBand="0" w:evenVBand="0" w:oddHBand="1" w:evenHBand="0" w:firstRowFirstColumn="0" w:firstRowLastColumn="0" w:lastRowFirstColumn="0" w:lastRowLastColumn="0"/>
              <w:rPr>
                <w:lang w:eastAsia="zh-CN"/>
              </w:rPr>
            </w:pPr>
            <w:r>
              <w:t>examine how contextual factors influence attitudes and behaviours towards health and wellbeing</w:t>
            </w:r>
          </w:p>
        </w:tc>
      </w:tr>
      <w:tr w:rsidR="09FEC9F9" w14:paraId="0F637CFB" w14:textId="77777777" w:rsidTr="057874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757EDE9" w14:textId="3B5C9533" w:rsidR="2F4AD5BB" w:rsidRDefault="2F4AD5BB" w:rsidP="09FEC9F9">
            <w:pPr>
              <w:rPr>
                <w:lang w:eastAsia="zh-CN"/>
              </w:rPr>
            </w:pPr>
            <w:r w:rsidRPr="09FEC9F9">
              <w:rPr>
                <w:lang w:eastAsia="zh-CN"/>
              </w:rPr>
              <w:t>How can I effectively manage my own and support others’ health, safety, wellbeing and participation in physical activity?</w:t>
            </w:r>
          </w:p>
        </w:tc>
        <w:tc>
          <w:tcPr>
            <w:tcW w:w="6553" w:type="dxa"/>
          </w:tcPr>
          <w:p w14:paraId="5B52CAD4" w14:textId="5B23C766" w:rsidR="2F4AD5BB" w:rsidRDefault="2F4AD5BB" w:rsidP="09FEC9F9">
            <w:pPr>
              <w:cnfStyle w:val="000000010000" w:firstRow="0" w:lastRow="0" w:firstColumn="0" w:lastColumn="0" w:oddVBand="0" w:evenVBand="0" w:oddHBand="0" w:evenHBand="1" w:firstRowFirstColumn="0" w:firstRowLastColumn="0" w:lastRowFirstColumn="0" w:lastRowLastColumn="0"/>
              <w:rPr>
                <w:lang w:eastAsia="zh-CN"/>
              </w:rPr>
            </w:pPr>
            <w:r w:rsidRPr="09FEC9F9">
              <w:rPr>
                <w:lang w:eastAsia="zh-CN"/>
              </w:rPr>
              <w:t>Plan and implement inclusive strategies to promote health and wellbeing and to connect with their communities</w:t>
            </w:r>
          </w:p>
          <w:p w14:paraId="693F3EE3" w14:textId="43636660" w:rsidR="2F4AD5BB" w:rsidRDefault="41045494" w:rsidP="1D1E39DA">
            <w:pPr>
              <w:pStyle w:val="ListBullet"/>
              <w:cnfStyle w:val="000000010000" w:firstRow="0" w:lastRow="0" w:firstColumn="0" w:lastColumn="0" w:oddVBand="0" w:evenVBand="0" w:oddHBand="0" w:evenHBand="1" w:firstRowFirstColumn="0" w:firstRowLastColumn="0" w:lastRowFirstColumn="0" w:lastRowLastColumn="0"/>
              <w:rPr>
                <w:lang w:eastAsia="zh-CN"/>
              </w:rPr>
            </w:pPr>
            <w:r>
              <w:t>identify and research local resources and environments where individuals and groups can connect as a community through participation in physical and social activities</w:t>
            </w:r>
          </w:p>
        </w:tc>
      </w:tr>
    </w:tbl>
    <w:p w14:paraId="2E17C951" w14:textId="2A6A6BF9" w:rsidR="005638A2" w:rsidRDefault="761CE20A" w:rsidP="008E6DC7">
      <w:pPr>
        <w:pStyle w:val="Heading3"/>
      </w:pPr>
      <w:r>
        <w:t>Assumed knowledge and understanding</w:t>
      </w:r>
    </w:p>
    <w:p w14:paraId="645259E7" w14:textId="3D4E3765" w:rsidR="765C297F" w:rsidRDefault="765C297F" w:rsidP="09FEC9F9">
      <w:r>
        <w:t>To participate in this activity, it is assumed that students have a basic understanding of the following Stage 4 PDHPE content:</w:t>
      </w:r>
    </w:p>
    <w:p w14:paraId="187E7B97" w14:textId="5FC66AB2" w:rsidR="58061E8F" w:rsidRDefault="58061E8F" w:rsidP="09FEC9F9">
      <w:pPr>
        <w:pStyle w:val="ListBullet"/>
      </w:pPr>
      <w:r>
        <w:t>H</w:t>
      </w:r>
      <w:r w:rsidR="23447873">
        <w:t>ealth and its dynamic nature</w:t>
      </w:r>
    </w:p>
    <w:p w14:paraId="3636953C" w14:textId="4B393740" w:rsidR="43750416" w:rsidRDefault="43750416" w:rsidP="09FEC9F9">
      <w:pPr>
        <w:pStyle w:val="ListBullet"/>
      </w:pPr>
      <w:r>
        <w:t>Health changes throughout our lifetime</w:t>
      </w:r>
    </w:p>
    <w:p w14:paraId="6AA1FCBB" w14:textId="1F3CEFB7" w:rsidR="43750416" w:rsidRDefault="43750416" w:rsidP="09FEC9F9">
      <w:pPr>
        <w:pStyle w:val="ListBullet"/>
        <w:rPr>
          <w:rFonts w:asciiTheme="minorHAnsi" w:eastAsiaTheme="minorEastAsia" w:hAnsiTheme="minorHAnsi"/>
        </w:rPr>
      </w:pPr>
      <w:r>
        <w:t>Health definitions and personal meaning</w:t>
      </w:r>
    </w:p>
    <w:p w14:paraId="3EDF285C" w14:textId="513B827F" w:rsidR="43750416" w:rsidRDefault="43750416" w:rsidP="09FEC9F9">
      <w:pPr>
        <w:pStyle w:val="ListBullet"/>
      </w:pPr>
      <w:r>
        <w:t>Wellbeing</w:t>
      </w:r>
      <w:r w:rsidR="692C5052">
        <w:t>,</w:t>
      </w:r>
      <w:r>
        <w:t xml:space="preserve"> and the factors that contribute to overall wellbeing</w:t>
      </w:r>
    </w:p>
    <w:p w14:paraId="7F429981" w14:textId="72E8870F" w:rsidR="006A2976" w:rsidRPr="006A2976" w:rsidRDefault="765C297F" w:rsidP="006A2976">
      <w:pPr>
        <w:pStyle w:val="Heading3"/>
      </w:pPr>
      <w:r>
        <w:lastRenderedPageBreak/>
        <w:t xml:space="preserve">Learning </w:t>
      </w:r>
      <w:r w:rsidR="2F7F39FF">
        <w:t>e</w:t>
      </w:r>
      <w:r>
        <w:t>xperiences</w:t>
      </w:r>
      <w:r w:rsidR="5FDFE44C">
        <w:t xml:space="preserve">, </w:t>
      </w:r>
      <w:r>
        <w:t>adaptations, changes or extensions</w:t>
      </w:r>
    </w:p>
    <w:p w14:paraId="198A2791" w14:textId="107AAB54" w:rsidR="247E4129" w:rsidRDefault="247E4129" w:rsidP="09FEC9F9">
      <w:pPr>
        <w:pStyle w:val="Heading4"/>
      </w:pPr>
      <w:r>
        <w:t>Activity 1 – Who keeps us healthy?</w:t>
      </w:r>
    </w:p>
    <w:p w14:paraId="389172D5" w14:textId="12455931" w:rsidR="5D6647E7" w:rsidRDefault="5D6647E7" w:rsidP="09FEC9F9">
      <w:pPr>
        <w:rPr>
          <w:rFonts w:eastAsia="Calibri"/>
        </w:rPr>
      </w:pPr>
      <w:r w:rsidRPr="43F5F01F">
        <w:rPr>
          <w:rFonts w:eastAsia="Arial" w:cs="Arial"/>
        </w:rPr>
        <w:t xml:space="preserve">Working in pairs students create a </w:t>
      </w:r>
      <w:r w:rsidR="07A69A58" w:rsidRPr="43F5F01F">
        <w:rPr>
          <w:rFonts w:eastAsia="Arial" w:cs="Arial"/>
        </w:rPr>
        <w:t>list</w:t>
      </w:r>
      <w:r w:rsidRPr="43F5F01F">
        <w:rPr>
          <w:rFonts w:eastAsia="Arial" w:cs="Arial"/>
        </w:rPr>
        <w:t xml:space="preserve"> of all the </w:t>
      </w:r>
      <w:r w:rsidR="5A2BE028" w:rsidRPr="43F5F01F">
        <w:rPr>
          <w:rFonts w:eastAsia="Arial" w:cs="Arial"/>
        </w:rPr>
        <w:t>factor</w:t>
      </w:r>
      <w:r w:rsidRPr="43F5F01F">
        <w:rPr>
          <w:rFonts w:eastAsia="Arial" w:cs="Arial"/>
        </w:rPr>
        <w:t xml:space="preserve">s that contribute to keeping us healthy. </w:t>
      </w:r>
      <w:r w:rsidR="5C886CC4" w:rsidRPr="43F5F01F">
        <w:rPr>
          <w:rFonts w:eastAsia="Arial" w:cs="Arial"/>
        </w:rPr>
        <w:t xml:space="preserve">From the </w:t>
      </w:r>
      <w:r w:rsidR="0D0C56EB" w:rsidRPr="43F5F01F">
        <w:rPr>
          <w:rFonts w:eastAsia="Arial" w:cs="Arial"/>
        </w:rPr>
        <w:t xml:space="preserve">list students create a </w:t>
      </w:r>
      <w:r w:rsidR="00D57294">
        <w:rPr>
          <w:rFonts w:eastAsia="Arial" w:cs="Arial"/>
        </w:rPr>
        <w:t>concept</w:t>
      </w:r>
      <w:r w:rsidR="0D0C56EB" w:rsidRPr="43F5F01F">
        <w:rPr>
          <w:rFonts w:eastAsia="Arial" w:cs="Arial"/>
        </w:rPr>
        <w:t xml:space="preserve"> map </w:t>
      </w:r>
      <w:r w:rsidR="00D57294">
        <w:rPr>
          <w:rFonts w:eastAsia="Arial" w:cs="Arial"/>
        </w:rPr>
        <w:t xml:space="preserve">or affinity diagram </w:t>
      </w:r>
      <w:r w:rsidR="0D0C56EB" w:rsidRPr="43F5F01F">
        <w:rPr>
          <w:rFonts w:eastAsia="Arial" w:cs="Arial"/>
        </w:rPr>
        <w:t xml:space="preserve">of the occupations that relate to one of the contributing factors. </w:t>
      </w:r>
    </w:p>
    <w:p w14:paraId="7E66DF97" w14:textId="6C9A0C68" w:rsidR="0D0C56EB" w:rsidRDefault="0D0C56EB" w:rsidP="09FEC9F9">
      <w:pPr>
        <w:rPr>
          <w:rFonts w:eastAsia="Calibri"/>
        </w:rPr>
      </w:pPr>
      <w:r w:rsidRPr="09FEC9F9">
        <w:rPr>
          <w:rFonts w:eastAsia="Arial" w:cs="Arial"/>
        </w:rPr>
        <w:t xml:space="preserve">For </w:t>
      </w:r>
      <w:r w:rsidR="52864115" w:rsidRPr="09FEC9F9">
        <w:rPr>
          <w:rFonts w:eastAsia="Arial" w:cs="Arial"/>
        </w:rPr>
        <w:t>example,</w:t>
      </w:r>
      <w:r w:rsidRPr="09FEC9F9">
        <w:rPr>
          <w:rFonts w:eastAsia="Arial" w:cs="Arial"/>
        </w:rPr>
        <w:t xml:space="preserve"> eating a healthy diet could include occupations </w:t>
      </w:r>
      <w:r w:rsidR="0A62091B" w:rsidRPr="09FEC9F9">
        <w:rPr>
          <w:rFonts w:eastAsia="Arial" w:cs="Arial"/>
        </w:rPr>
        <w:t>such as</w:t>
      </w:r>
      <w:r w:rsidRPr="09FEC9F9">
        <w:rPr>
          <w:rFonts w:eastAsia="Arial" w:cs="Arial"/>
        </w:rPr>
        <w:t xml:space="preserve"> a nutritionist,</w:t>
      </w:r>
      <w:r w:rsidR="70079FD7" w:rsidRPr="09FEC9F9">
        <w:rPr>
          <w:rFonts w:eastAsia="Arial" w:cs="Arial"/>
        </w:rPr>
        <w:t xml:space="preserve"> chef</w:t>
      </w:r>
      <w:r w:rsidRPr="09FEC9F9">
        <w:rPr>
          <w:rFonts w:eastAsia="Arial" w:cs="Arial"/>
        </w:rPr>
        <w:t xml:space="preserve"> </w:t>
      </w:r>
      <w:r w:rsidR="7EF89700" w:rsidRPr="09FEC9F9">
        <w:rPr>
          <w:rFonts w:eastAsia="Arial" w:cs="Arial"/>
        </w:rPr>
        <w:t xml:space="preserve">organic </w:t>
      </w:r>
      <w:r w:rsidRPr="09FEC9F9">
        <w:rPr>
          <w:rFonts w:eastAsia="Arial" w:cs="Arial"/>
        </w:rPr>
        <w:t>farm</w:t>
      </w:r>
      <w:r w:rsidR="0822FB1C" w:rsidRPr="09FEC9F9">
        <w:rPr>
          <w:rFonts w:eastAsia="Arial" w:cs="Arial"/>
        </w:rPr>
        <w:t>er</w:t>
      </w:r>
      <w:r w:rsidR="0798613E" w:rsidRPr="09FEC9F9">
        <w:rPr>
          <w:rFonts w:eastAsia="Arial" w:cs="Arial"/>
        </w:rPr>
        <w:t xml:space="preserve">, </w:t>
      </w:r>
      <w:r w:rsidR="3D430D93" w:rsidRPr="09FEC9F9">
        <w:rPr>
          <w:rFonts w:eastAsia="Arial" w:cs="Arial"/>
        </w:rPr>
        <w:t>nutrition blogger. Keeping fit could include a gym instructor, exercise physiologist, fitness app designer.</w:t>
      </w:r>
    </w:p>
    <w:p w14:paraId="117F4AB2" w14:textId="10D812D3" w:rsidR="5D6647E7" w:rsidRDefault="5D6647E7" w:rsidP="09FEC9F9">
      <w:pPr>
        <w:rPr>
          <w:rFonts w:eastAsia="Arial" w:cs="Arial"/>
        </w:rPr>
      </w:pPr>
      <w:r w:rsidRPr="09FEC9F9">
        <w:rPr>
          <w:rFonts w:eastAsia="Arial" w:cs="Arial"/>
        </w:rPr>
        <w:t xml:space="preserve">Select one of the </w:t>
      </w:r>
      <w:hyperlink r:id="rId12" w:anchor="Remember">
        <w:r w:rsidRPr="09FEC9F9">
          <w:rPr>
            <w:rStyle w:val="Hyperlink"/>
          </w:rPr>
          <w:t>brainstorming</w:t>
        </w:r>
      </w:hyperlink>
      <w:r w:rsidRPr="09FEC9F9">
        <w:rPr>
          <w:rFonts w:eastAsia="Arial" w:cs="Arial"/>
        </w:rPr>
        <w:t xml:space="preserve"> activities from the </w:t>
      </w:r>
      <w:hyperlink r:id="rId13">
        <w:r w:rsidRPr="09FEC9F9">
          <w:rPr>
            <w:rStyle w:val="Hyperlink"/>
          </w:rPr>
          <w:t>digital learning selector</w:t>
        </w:r>
      </w:hyperlink>
      <w:r w:rsidRPr="09FEC9F9">
        <w:rPr>
          <w:rFonts w:eastAsia="Arial" w:cs="Arial"/>
        </w:rPr>
        <w:t xml:space="preserve"> to record the occupations that students have identified from the health concept. Combine the information from each group and discuss</w:t>
      </w:r>
      <w:r w:rsidR="3E21AE54" w:rsidRPr="09FEC9F9">
        <w:rPr>
          <w:rFonts w:eastAsia="Arial" w:cs="Arial"/>
        </w:rPr>
        <w:t xml:space="preserve"> the broad range of occupations that has been compiled</w:t>
      </w:r>
      <w:r w:rsidR="008A2DC4">
        <w:rPr>
          <w:rFonts w:eastAsia="Arial" w:cs="Arial"/>
        </w:rPr>
        <w:t>.</w:t>
      </w:r>
    </w:p>
    <w:p w14:paraId="1352E76E" w14:textId="77777777" w:rsidR="00717155" w:rsidRDefault="008A2DC4" w:rsidP="09FEC9F9">
      <w:pPr>
        <w:rPr>
          <w:rFonts w:eastAsia="Arial" w:cs="Arial"/>
        </w:rPr>
      </w:pPr>
      <w:r>
        <w:rPr>
          <w:rFonts w:eastAsia="Arial" w:cs="Arial"/>
        </w:rPr>
        <w:t>Discuss and resp</w:t>
      </w:r>
      <w:r w:rsidR="00717155">
        <w:rPr>
          <w:rFonts w:eastAsia="Arial" w:cs="Arial"/>
        </w:rPr>
        <w:t>ond to the following questions:</w:t>
      </w:r>
      <w:r>
        <w:rPr>
          <w:rFonts w:eastAsia="Arial" w:cs="Arial"/>
        </w:rPr>
        <w:t xml:space="preserve"> </w:t>
      </w:r>
    </w:p>
    <w:p w14:paraId="177C7D48" w14:textId="43724F24" w:rsidR="008A2DC4" w:rsidRDefault="008A2DC4" w:rsidP="00717155">
      <w:pPr>
        <w:pStyle w:val="ListNumber"/>
      </w:pPr>
      <w:r>
        <w:t>Provide an example of an occupation identified by the class that supports the health and wellbeing of;</w:t>
      </w:r>
    </w:p>
    <w:p w14:paraId="72F38271" w14:textId="45AED78F" w:rsidR="008A2DC4" w:rsidRDefault="008A2DC4" w:rsidP="00717155">
      <w:pPr>
        <w:pStyle w:val="ListBullet2"/>
      </w:pPr>
      <w:r>
        <w:t>children</w:t>
      </w:r>
    </w:p>
    <w:p w14:paraId="5F905DC4" w14:textId="5F7613F7" w:rsidR="008A2DC4" w:rsidRDefault="008A2DC4" w:rsidP="00717155">
      <w:pPr>
        <w:pStyle w:val="ListBullet2"/>
      </w:pPr>
      <w:r>
        <w:t>young people (14-24)</w:t>
      </w:r>
    </w:p>
    <w:p w14:paraId="0C94FFC5" w14:textId="77777777" w:rsidR="00717155" w:rsidRDefault="008A2DC4" w:rsidP="00717155">
      <w:pPr>
        <w:pStyle w:val="ListBullet2"/>
      </w:pPr>
      <w:r>
        <w:t>an ageing population</w:t>
      </w:r>
    </w:p>
    <w:p w14:paraId="15D6F45B" w14:textId="7C09724F" w:rsidR="00717155" w:rsidRDefault="00717155" w:rsidP="00717155">
      <w:pPr>
        <w:pStyle w:val="ListNumber"/>
      </w:pPr>
      <w:r>
        <w:t xml:space="preserve">Discuss attitudes and cultural differences that may exist towards caring for the aged. </w:t>
      </w:r>
    </w:p>
    <w:p w14:paraId="0A3CCA6B" w14:textId="250B7342" w:rsidR="008A2DC4" w:rsidRDefault="008A2DC4" w:rsidP="008E7CE4">
      <w:pPr>
        <w:pStyle w:val="ListNumber"/>
      </w:pPr>
      <w:r>
        <w:t>Explain why supporting an individual’s health is a community responsibility.</w:t>
      </w:r>
    </w:p>
    <w:p w14:paraId="5F876FC4" w14:textId="36C51051" w:rsidR="7A8C503F" w:rsidRDefault="7A8C503F" w:rsidP="09FEC9F9">
      <w:pPr>
        <w:pStyle w:val="FeatureBox2"/>
      </w:pPr>
      <w:r w:rsidRPr="09FEC9F9">
        <w:rPr>
          <w:b/>
          <w:bCs/>
        </w:rPr>
        <w:t xml:space="preserve">Teacher </w:t>
      </w:r>
      <w:r w:rsidR="5B501E19" w:rsidRPr="09FEC9F9">
        <w:rPr>
          <w:b/>
          <w:bCs/>
        </w:rPr>
        <w:t>n</w:t>
      </w:r>
      <w:r w:rsidRPr="09FEC9F9">
        <w:rPr>
          <w:b/>
          <w:bCs/>
        </w:rPr>
        <w:t>otes</w:t>
      </w:r>
      <w:r w:rsidRPr="09FEC9F9">
        <w:t>: Encourage students to think broadly on the occupations that contribute to overall health and wellbeing. Extend the learning and categorise</w:t>
      </w:r>
      <w:r w:rsidR="414CCD8C" w:rsidRPr="09FEC9F9">
        <w:t xml:space="preserve"> careers that align to</w:t>
      </w:r>
      <w:r w:rsidR="19E7B1FC" w:rsidRPr="09FEC9F9">
        <w:t xml:space="preserve"> the</w:t>
      </w:r>
      <w:r w:rsidR="414CCD8C" w:rsidRPr="09FEC9F9">
        <w:t xml:space="preserve"> different stages of life</w:t>
      </w:r>
      <w:r w:rsidR="55C3A66E" w:rsidRPr="09FEC9F9">
        <w:t xml:space="preserve">, </w:t>
      </w:r>
      <w:r w:rsidR="54E12048" w:rsidRPr="09FEC9F9">
        <w:t>such as an</w:t>
      </w:r>
      <w:r w:rsidRPr="09FEC9F9">
        <w:t xml:space="preserve"> ageing population </w:t>
      </w:r>
      <w:r w:rsidR="6F365065" w:rsidRPr="09FEC9F9">
        <w:t>or young people</w:t>
      </w:r>
      <w:r w:rsidR="189C7A8B" w:rsidRPr="09FEC9F9">
        <w:t>.</w:t>
      </w:r>
      <w:r w:rsidR="0083596A">
        <w:t xml:space="preserve"> Australia has an ageing population. The average life expectancy of Australians is 83 years. There are a range of occupations</w:t>
      </w:r>
      <w:r w:rsidR="00B539A0">
        <w:t xml:space="preserve"> required to support the health and wellbeing of an ageing population. As a class discuss the role of the activities officer/diversional therapist in supporting the health and wellbeing of those residing in an aged care facility.</w:t>
      </w:r>
    </w:p>
    <w:p w14:paraId="79B47A37" w14:textId="0F7F14EA" w:rsidR="3E21AE54" w:rsidRDefault="3E21AE54" w:rsidP="09FEC9F9">
      <w:pPr>
        <w:pStyle w:val="Heading4"/>
      </w:pPr>
      <w:r w:rsidRPr="09FEC9F9">
        <w:t xml:space="preserve">Activity </w:t>
      </w:r>
      <w:r w:rsidR="33BD99D9" w:rsidRPr="09FEC9F9">
        <w:t>2 – Health Sector Growth</w:t>
      </w:r>
    </w:p>
    <w:p w14:paraId="1E179FC9" w14:textId="5FF7E4E1" w:rsidR="48A65EBC" w:rsidRDefault="48A65EBC" w:rsidP="09FEC9F9">
      <w:pPr>
        <w:rPr>
          <w:rFonts w:eastAsia="Calibri"/>
        </w:rPr>
      </w:pPr>
      <w:r w:rsidRPr="09FEC9F9">
        <w:rPr>
          <w:rFonts w:eastAsia="Calibri"/>
        </w:rPr>
        <w:t xml:space="preserve">Students analyse the growth in the health sector using the information available from the </w:t>
      </w:r>
      <w:hyperlink r:id="rId14">
        <w:r w:rsidRPr="09FEC9F9">
          <w:rPr>
            <w:rStyle w:val="Hyperlink"/>
          </w:rPr>
          <w:t>joboutlook</w:t>
        </w:r>
      </w:hyperlink>
      <w:r w:rsidRPr="09FEC9F9">
        <w:rPr>
          <w:rFonts w:eastAsia="Calibri"/>
        </w:rPr>
        <w:t>. Discuss and respond to the following questions:</w:t>
      </w:r>
    </w:p>
    <w:p w14:paraId="4329A43B" w14:textId="29551E35" w:rsidR="48A65EBC" w:rsidRPr="008E7CE4" w:rsidRDefault="008E7CE4" w:rsidP="008E7CE4">
      <w:pPr>
        <w:pStyle w:val="ListNumber"/>
        <w:numPr>
          <w:ilvl w:val="0"/>
          <w:numId w:val="0"/>
        </w:numPr>
        <w:ind w:left="284"/>
      </w:pPr>
      <w:r>
        <w:t xml:space="preserve">1. </w:t>
      </w:r>
      <w:r w:rsidR="48A65EBC" w:rsidRPr="008E7CE4">
        <w:t>What is Australia’s largest and fastest growing industry?</w:t>
      </w:r>
    </w:p>
    <w:p w14:paraId="37F2D088" w14:textId="1F785C3F" w:rsidR="48A65EBC" w:rsidRPr="008E7CE4" w:rsidRDefault="008E7CE4" w:rsidP="008E7CE4">
      <w:pPr>
        <w:pStyle w:val="ListNumber"/>
        <w:numPr>
          <w:ilvl w:val="0"/>
          <w:numId w:val="0"/>
        </w:numPr>
        <w:ind w:left="284"/>
      </w:pPr>
      <w:r>
        <w:lastRenderedPageBreak/>
        <w:t xml:space="preserve">2. </w:t>
      </w:r>
      <w:r w:rsidR="48A65EBC" w:rsidRPr="008E7CE4">
        <w:t>Suggest reasons why this is the fastest growing industry?</w:t>
      </w:r>
    </w:p>
    <w:p w14:paraId="10212031" w14:textId="7E3A9D5E" w:rsidR="48A65EBC" w:rsidRPr="008E7CE4" w:rsidRDefault="008E7CE4" w:rsidP="008E7CE4">
      <w:pPr>
        <w:pStyle w:val="ListNumber"/>
        <w:numPr>
          <w:ilvl w:val="0"/>
          <w:numId w:val="0"/>
        </w:numPr>
        <w:ind w:left="284"/>
      </w:pPr>
      <w:r>
        <w:t xml:space="preserve">3. </w:t>
      </w:r>
      <w:r w:rsidR="48A65EBC" w:rsidRPr="008E7CE4">
        <w:t>Give examples of five occupations that are</w:t>
      </w:r>
      <w:r w:rsidR="008A2DC4" w:rsidRPr="008E7CE4">
        <w:t xml:space="preserve"> expecting strong future growth within this industry sector.</w:t>
      </w:r>
    </w:p>
    <w:p w14:paraId="3C6CB86E" w14:textId="31C1F4A7" w:rsidR="48A65EBC" w:rsidRPr="008E7CE4" w:rsidRDefault="008E7CE4" w:rsidP="008E7CE4">
      <w:pPr>
        <w:pStyle w:val="ListNumber"/>
        <w:numPr>
          <w:ilvl w:val="0"/>
          <w:numId w:val="0"/>
        </w:numPr>
        <w:ind w:left="284"/>
      </w:pPr>
      <w:r>
        <w:t xml:space="preserve">4. </w:t>
      </w:r>
      <w:r w:rsidR="48A65EBC" w:rsidRPr="008E7CE4">
        <w:t>Explain the difference between entry level skill level and very high skill level and give an example of an occupation for each level.</w:t>
      </w:r>
    </w:p>
    <w:p w14:paraId="1348EFF0" w14:textId="1F48FE21" w:rsidR="48A65EBC" w:rsidRPr="008E7CE4" w:rsidRDefault="008E7CE4" w:rsidP="008E7CE4">
      <w:pPr>
        <w:pStyle w:val="ListNumber"/>
        <w:numPr>
          <w:ilvl w:val="0"/>
          <w:numId w:val="0"/>
        </w:numPr>
        <w:ind w:left="284"/>
      </w:pPr>
      <w:r>
        <w:t xml:space="preserve">5. </w:t>
      </w:r>
      <w:r w:rsidR="48A65EBC">
        <w:t>Discuss what future jobs might be created to support the health of Australians.</w:t>
      </w:r>
    </w:p>
    <w:p w14:paraId="241CD472" w14:textId="51275599" w:rsidR="26ACECBB" w:rsidRDefault="26ACECBB" w:rsidP="09FEC9F9">
      <w:pPr>
        <w:pStyle w:val="FeatureBox2"/>
        <w:rPr>
          <w:rFonts w:eastAsia="Calibri"/>
        </w:rPr>
      </w:pPr>
      <w:r w:rsidRPr="09FEC9F9">
        <w:rPr>
          <w:b/>
          <w:bCs/>
        </w:rPr>
        <w:t xml:space="preserve">Teacher </w:t>
      </w:r>
      <w:r w:rsidR="0DB94AB8" w:rsidRPr="09FEC9F9">
        <w:rPr>
          <w:b/>
          <w:bCs/>
        </w:rPr>
        <w:t>n</w:t>
      </w:r>
      <w:r w:rsidRPr="09FEC9F9">
        <w:rPr>
          <w:b/>
          <w:bCs/>
        </w:rPr>
        <w:t>otes</w:t>
      </w:r>
      <w:r w:rsidRPr="09FEC9F9">
        <w:t xml:space="preserve">:  Health care and social assistance is Australia’s largest and fastest growing industry. It employs across a broad range of industries, for example, hospitality, digital technologies, and record management. The future of healthcare is evolving, with advances in digital healthcare technologies creating new roles in the industry. </w:t>
      </w:r>
      <w:r w:rsidR="72FB88F0" w:rsidRPr="09FEC9F9">
        <w:t xml:space="preserve">Extend the learning by summarising the </w:t>
      </w:r>
      <w:r w:rsidRPr="09FEC9F9">
        <w:t>information on the future transformation of healthcare in Australi</w:t>
      </w:r>
      <w:r w:rsidR="318B04AA" w:rsidRPr="09FEC9F9">
        <w:t xml:space="preserve">a, </w:t>
      </w:r>
      <w:r w:rsidRPr="09FEC9F9">
        <w:t xml:space="preserve">found in PwC’s Health Matters article: </w:t>
      </w:r>
      <w:hyperlink r:id="rId15">
        <w:r w:rsidRPr="09FEC9F9">
          <w:rPr>
            <w:rStyle w:val="Hyperlink"/>
          </w:rPr>
          <w:t>Balancing technology, culture and supply</w:t>
        </w:r>
      </w:hyperlink>
    </w:p>
    <w:p w14:paraId="659AEDBD" w14:textId="19183629" w:rsidR="26ACECBB" w:rsidRDefault="26ACECBB" w:rsidP="09FEC9F9">
      <w:pPr>
        <w:pStyle w:val="Heading4"/>
      </w:pPr>
      <w:r w:rsidRPr="09FEC9F9">
        <w:t>Activity 3</w:t>
      </w:r>
      <w:r w:rsidR="3456A3BF" w:rsidRPr="09FEC9F9">
        <w:t xml:space="preserve"> - Stepping into health care</w:t>
      </w:r>
    </w:p>
    <w:p w14:paraId="13BD20A9" w14:textId="3A0F4EF2" w:rsidR="082B1BBE" w:rsidRDefault="082B1BBE" w:rsidP="09FEC9F9">
      <w:pPr>
        <w:rPr>
          <w:rFonts w:eastAsia="Calibri"/>
        </w:rPr>
      </w:pPr>
      <w:r w:rsidRPr="43F5F01F">
        <w:rPr>
          <w:rFonts w:eastAsia="Calibri"/>
        </w:rPr>
        <w:t xml:space="preserve">Students select an occupation </w:t>
      </w:r>
      <w:r w:rsidR="14A4145E" w:rsidRPr="43F5F01F">
        <w:rPr>
          <w:rFonts w:eastAsia="Calibri"/>
        </w:rPr>
        <w:t>for further exploration</w:t>
      </w:r>
      <w:r w:rsidRPr="43F5F01F">
        <w:rPr>
          <w:rFonts w:eastAsia="Calibri"/>
        </w:rPr>
        <w:t xml:space="preserve"> from within the Healthcare and Social Assistance sector. Navigate to this career using </w:t>
      </w:r>
      <w:hyperlink r:id="rId16">
        <w:r w:rsidRPr="43F5F01F">
          <w:rPr>
            <w:rStyle w:val="Hyperlink"/>
          </w:rPr>
          <w:t>joboutlook</w:t>
        </w:r>
      </w:hyperlink>
      <w:r w:rsidRPr="43F5F01F">
        <w:rPr>
          <w:rFonts w:eastAsia="Calibri"/>
        </w:rPr>
        <w:t xml:space="preserve"> or </w:t>
      </w:r>
      <w:hyperlink r:id="rId17">
        <w:r w:rsidRPr="43F5F01F">
          <w:rPr>
            <w:rStyle w:val="Hyperlink"/>
          </w:rPr>
          <w:t>myfuture</w:t>
        </w:r>
      </w:hyperlink>
      <w:r w:rsidRPr="43F5F01F">
        <w:rPr>
          <w:rFonts w:eastAsia="Calibri"/>
        </w:rPr>
        <w:t xml:space="preserve"> and provide an overview of this occupation. This could be completed using the </w:t>
      </w:r>
      <w:hyperlink r:id="rId18" w:anchor="Remember">
        <w:r w:rsidRPr="43F5F01F">
          <w:rPr>
            <w:rStyle w:val="Hyperlink"/>
          </w:rPr>
          <w:t>keyword strategy</w:t>
        </w:r>
      </w:hyperlink>
      <w:r w:rsidRPr="43F5F01F">
        <w:rPr>
          <w:rFonts w:eastAsia="Calibri"/>
        </w:rPr>
        <w:t xml:space="preserve"> or another resource from the </w:t>
      </w:r>
      <w:hyperlink r:id="rId19">
        <w:r w:rsidRPr="43F5F01F">
          <w:rPr>
            <w:rStyle w:val="Hyperlink"/>
          </w:rPr>
          <w:t>digital learning selector</w:t>
        </w:r>
      </w:hyperlink>
      <w:r w:rsidRPr="43F5F01F">
        <w:rPr>
          <w:rFonts w:eastAsia="Calibri"/>
        </w:rPr>
        <w:t xml:space="preserve">. </w:t>
      </w:r>
    </w:p>
    <w:p w14:paraId="2ED883D1" w14:textId="1E12A4B2" w:rsidR="00972477" w:rsidRPr="008E7CE4" w:rsidRDefault="6132825B" w:rsidP="008E7CE4">
      <w:pPr>
        <w:pStyle w:val="FeatureBox2"/>
        <w:rPr>
          <w:rFonts w:eastAsia="Calibri"/>
        </w:rPr>
      </w:pPr>
      <w:r w:rsidRPr="43F5F01F">
        <w:rPr>
          <w:b/>
          <w:bCs/>
        </w:rPr>
        <w:t>Teacher notes</w:t>
      </w:r>
      <w:r>
        <w:t xml:space="preserve">: Use the ‘Discover my future’ resource for PDHPE teachers, to build your capacity to navigate the </w:t>
      </w:r>
      <w:hyperlink r:id="rId20">
        <w:r w:rsidRPr="43F5F01F">
          <w:rPr>
            <w:rStyle w:val="Hyperlink"/>
          </w:rPr>
          <w:t>myfuture</w:t>
        </w:r>
      </w:hyperlink>
      <w:r>
        <w:t xml:space="preserve"> website. Students will be able to log into the site using their education user name and password. The ‘</w:t>
      </w:r>
      <w:r w:rsidR="29C38BC8" w:rsidRPr="00D50F98">
        <w:t xml:space="preserve">Using the </w:t>
      </w:r>
      <w:r w:rsidRPr="00D50F98">
        <w:t>Career Bullseye Poster’</w:t>
      </w:r>
      <w:r>
        <w:t xml:space="preserve"> resource is available for students to </w:t>
      </w:r>
      <w:r w:rsidR="1E193E40">
        <w:t>complet</w:t>
      </w:r>
      <w:r>
        <w:t xml:space="preserve">e as they explore an </w:t>
      </w:r>
      <w:r w:rsidR="35AD8F9F">
        <w:t>occupation.</w:t>
      </w:r>
    </w:p>
    <w:sectPr w:rsidR="00972477" w:rsidRPr="008E7CE4" w:rsidSect="001A7A7B">
      <w:headerReference w:type="even" r:id="rId21"/>
      <w:headerReference w:type="default" r:id="rId22"/>
      <w:footerReference w:type="even" r:id="rId23"/>
      <w:footerReference w:type="default" r:id="rId24"/>
      <w:headerReference w:type="first" r:id="rId25"/>
      <w:footerReference w:type="first" r:id="rId2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356D" w14:textId="77777777" w:rsidR="00FA432E" w:rsidRDefault="00FA432E">
      <w:r>
        <w:separator/>
      </w:r>
    </w:p>
    <w:p w14:paraId="05548892" w14:textId="77777777" w:rsidR="00FA432E" w:rsidRDefault="00FA432E"/>
  </w:endnote>
  <w:endnote w:type="continuationSeparator" w:id="0">
    <w:p w14:paraId="27B72DE7" w14:textId="77777777" w:rsidR="00FA432E" w:rsidRDefault="00FA432E">
      <w:r>
        <w:continuationSeparator/>
      </w:r>
    </w:p>
    <w:p w14:paraId="3968CB83" w14:textId="77777777" w:rsidR="00FA432E" w:rsidRDefault="00FA4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2C1859A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E7CE4">
      <w:rPr>
        <w:noProof/>
      </w:rPr>
      <w:t>2</w:t>
    </w:r>
    <w:r w:rsidRPr="002810D3">
      <w:fldChar w:fldCharType="end"/>
    </w:r>
    <w:r w:rsidRPr="002810D3">
      <w:tab/>
    </w:r>
    <w:r w:rsidR="007A71D5">
      <w:t xml:space="preserve">Stage 4 </w:t>
    </w:r>
    <w:r w:rsidR="00CA3B93">
      <w:t>PDHPE</w:t>
    </w:r>
    <w:r w:rsidR="00D50F98">
      <w:t xml:space="preserve"> -</w:t>
    </w:r>
    <w:r w:rsidR="00CA3B93">
      <w:t xml:space="preserve"> </w:t>
    </w:r>
    <w:r w:rsidR="00D50F98">
      <w:t>C</w:t>
    </w:r>
    <w:r w:rsidR="00CA3B93">
      <w:t>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527C5C3B" w:rsidR="007A3356" w:rsidRPr="004D333E" w:rsidRDefault="004D333E" w:rsidP="004D333E">
    <w:pPr>
      <w:pStyle w:val="Footer"/>
    </w:pPr>
    <w:r w:rsidRPr="002810D3">
      <w:t xml:space="preserve">© NSW Department of Education, </w:t>
    </w:r>
    <w:r w:rsidR="002C5B93">
      <w:t>July 202</w:t>
    </w:r>
    <w:r w:rsidR="00D9300D">
      <w:t>2</w:t>
    </w:r>
    <w:r w:rsidRPr="002810D3">
      <w:tab/>
    </w:r>
    <w:r w:rsidRPr="002810D3">
      <w:fldChar w:fldCharType="begin"/>
    </w:r>
    <w:r w:rsidRPr="002810D3">
      <w:instrText xml:space="preserve"> PAGE </w:instrText>
    </w:r>
    <w:r w:rsidRPr="002810D3">
      <w:fldChar w:fldCharType="separate"/>
    </w:r>
    <w:r w:rsidR="008E7CE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2E7B2970" w:rsidP="00493120">
    <w:pPr>
      <w:pStyle w:val="Logo"/>
    </w:pPr>
    <w:r w:rsidRPr="2E7B2970">
      <w:rPr>
        <w:sz w:val="24"/>
        <w:szCs w:val="24"/>
      </w:rPr>
      <w:t>education.nsw.gov.au</w:t>
    </w:r>
    <w:r w:rsidR="3DBBD82F">
      <w:tab/>
    </w:r>
    <w:r>
      <w:rPr>
        <w:noProof/>
        <w:lang w:eastAsia="en-AU"/>
      </w:rPr>
      <w:drawing>
        <wp:inline distT="0" distB="0" distL="0" distR="0" wp14:anchorId="7DC6305D" wp14:editId="008DD6B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9F5B" w14:textId="77777777" w:rsidR="00FA432E" w:rsidRDefault="00FA432E">
      <w:r>
        <w:separator/>
      </w:r>
    </w:p>
    <w:p w14:paraId="331F5A20" w14:textId="77777777" w:rsidR="00FA432E" w:rsidRDefault="00FA432E"/>
  </w:footnote>
  <w:footnote w:type="continuationSeparator" w:id="0">
    <w:p w14:paraId="7A6C2C0F" w14:textId="77777777" w:rsidR="00FA432E" w:rsidRDefault="00FA432E">
      <w:r>
        <w:continuationSeparator/>
      </w:r>
    </w:p>
    <w:p w14:paraId="22E33BF4" w14:textId="77777777" w:rsidR="00FA432E" w:rsidRDefault="00FA4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0B71" w14:textId="77777777" w:rsidR="002C5B93" w:rsidRDefault="002C5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A097" w14:textId="77777777" w:rsidR="002C5B93" w:rsidRDefault="002C5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D9A7584"/>
    <w:multiLevelType w:val="multilevel"/>
    <w:tmpl w:val="370C4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AC4B02"/>
    <w:multiLevelType w:val="multilevel"/>
    <w:tmpl w:val="828EF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5449F6"/>
    <w:multiLevelType w:val="multilevel"/>
    <w:tmpl w:val="56823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AEE6A32"/>
    <w:multiLevelType w:val="multilevel"/>
    <w:tmpl w:val="7BAE67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63546494">
    <w:abstractNumId w:val="12"/>
  </w:num>
  <w:num w:numId="2" w16cid:durableId="803699021">
    <w:abstractNumId w:val="11"/>
  </w:num>
  <w:num w:numId="3" w16cid:durableId="1663853182">
    <w:abstractNumId w:val="9"/>
  </w:num>
  <w:num w:numId="4" w16cid:durableId="2034721066">
    <w:abstractNumId w:val="23"/>
  </w:num>
  <w:num w:numId="5" w16cid:durableId="809636705">
    <w:abstractNumId w:val="17"/>
  </w:num>
  <w:num w:numId="6" w16cid:durableId="1553424512">
    <w:abstractNumId w:val="15"/>
  </w:num>
  <w:num w:numId="7" w16cid:durableId="1698965768">
    <w:abstractNumId w:val="19"/>
  </w:num>
  <w:num w:numId="8" w16cid:durableId="1092701619">
    <w:abstractNumId w:val="21"/>
  </w:num>
  <w:num w:numId="9" w16cid:durableId="1691949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6278948">
    <w:abstractNumId w:val="14"/>
  </w:num>
  <w:num w:numId="11" w16cid:durableId="1083256324">
    <w:abstractNumId w:val="22"/>
  </w:num>
  <w:num w:numId="12" w16cid:durableId="1756127323">
    <w:abstractNumId w:val="13"/>
  </w:num>
  <w:num w:numId="13" w16cid:durableId="168065372">
    <w:abstractNumId w:val="18"/>
  </w:num>
  <w:num w:numId="14" w16cid:durableId="174417130">
    <w:abstractNumId w:val="10"/>
  </w:num>
  <w:num w:numId="15" w16cid:durableId="1291129555">
    <w:abstractNumId w:val="16"/>
  </w:num>
  <w:num w:numId="16" w16cid:durableId="498426882">
    <w:abstractNumId w:val="6"/>
  </w:num>
  <w:num w:numId="17" w16cid:durableId="758600707">
    <w:abstractNumId w:val="8"/>
  </w:num>
  <w:num w:numId="18" w16cid:durableId="617224368">
    <w:abstractNumId w:val="0"/>
  </w:num>
  <w:num w:numId="19" w16cid:durableId="1045904851">
    <w:abstractNumId w:val="1"/>
  </w:num>
  <w:num w:numId="20" w16cid:durableId="899754406">
    <w:abstractNumId w:val="2"/>
  </w:num>
  <w:num w:numId="21" w16cid:durableId="1216770863">
    <w:abstractNumId w:val="3"/>
  </w:num>
  <w:num w:numId="22" w16cid:durableId="1999261177">
    <w:abstractNumId w:val="4"/>
  </w:num>
  <w:num w:numId="23" w16cid:durableId="744651324">
    <w:abstractNumId w:val="5"/>
  </w:num>
  <w:num w:numId="24" w16cid:durableId="936132661">
    <w:abstractNumId w:val="7"/>
  </w:num>
  <w:num w:numId="25" w16cid:durableId="430206204">
    <w:abstractNumId w:val="24"/>
  </w:num>
  <w:num w:numId="26" w16cid:durableId="628710919">
    <w:abstractNumId w:val="20"/>
  </w:num>
  <w:num w:numId="27" w16cid:durableId="7945817">
    <w:abstractNumId w:val="15"/>
  </w:num>
  <w:num w:numId="28" w16cid:durableId="1059011180">
    <w:abstractNumId w:val="15"/>
  </w:num>
  <w:num w:numId="29" w16cid:durableId="1356081477">
    <w:abstractNumId w:val="15"/>
  </w:num>
  <w:num w:numId="30" w16cid:durableId="767046061">
    <w:abstractNumId w:val="15"/>
  </w:num>
  <w:num w:numId="31" w16cid:durableId="282156055">
    <w:abstractNumId w:val="15"/>
  </w:num>
  <w:num w:numId="32" w16cid:durableId="2132699313">
    <w:abstractNumId w:val="15"/>
  </w:num>
  <w:num w:numId="33" w16cid:durableId="1471554665">
    <w:abstractNumId w:val="15"/>
  </w:num>
  <w:num w:numId="34" w16cid:durableId="1872258892">
    <w:abstractNumId w:val="15"/>
  </w:num>
  <w:num w:numId="35" w16cid:durableId="534346437">
    <w:abstractNumId w:val="17"/>
  </w:num>
  <w:num w:numId="36" w16cid:durableId="1964194227">
    <w:abstractNumId w:val="24"/>
  </w:num>
  <w:num w:numId="37" w16cid:durableId="49814201">
    <w:abstractNumId w:val="19"/>
  </w:num>
  <w:num w:numId="38" w16cid:durableId="1991329009">
    <w:abstractNumId w:val="21"/>
  </w:num>
  <w:num w:numId="39" w16cid:durableId="4909467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25823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8914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317826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7B0"/>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63B"/>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B93"/>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5C3"/>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2EC9"/>
    <w:rsid w:val="00343B23"/>
    <w:rsid w:val="003444A9"/>
    <w:rsid w:val="003445F2"/>
    <w:rsid w:val="00345EB0"/>
    <w:rsid w:val="0034764B"/>
    <w:rsid w:val="0034780A"/>
    <w:rsid w:val="00347CBE"/>
    <w:rsid w:val="003503AC"/>
    <w:rsid w:val="00352686"/>
    <w:rsid w:val="003534AD"/>
    <w:rsid w:val="00355BD5"/>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E8D"/>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339"/>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EBD"/>
    <w:rsid w:val="00546F02"/>
    <w:rsid w:val="0054770B"/>
    <w:rsid w:val="00551073"/>
    <w:rsid w:val="00551DA4"/>
    <w:rsid w:val="0055213A"/>
    <w:rsid w:val="00554956"/>
    <w:rsid w:val="00557BE6"/>
    <w:rsid w:val="005600BC"/>
    <w:rsid w:val="00563104"/>
    <w:rsid w:val="005638A2"/>
    <w:rsid w:val="005646C1"/>
    <w:rsid w:val="005646CC"/>
    <w:rsid w:val="005652E4"/>
    <w:rsid w:val="00565730"/>
    <w:rsid w:val="00566671"/>
    <w:rsid w:val="00566A88"/>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DD3"/>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2ADD"/>
    <w:rsid w:val="0060359B"/>
    <w:rsid w:val="00603F69"/>
    <w:rsid w:val="006040DA"/>
    <w:rsid w:val="006047BD"/>
    <w:rsid w:val="00607675"/>
    <w:rsid w:val="00610F53"/>
    <w:rsid w:val="00612E3F"/>
    <w:rsid w:val="00613208"/>
    <w:rsid w:val="00616767"/>
    <w:rsid w:val="0061698B"/>
    <w:rsid w:val="00616F61"/>
    <w:rsid w:val="00617D58"/>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97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48AD"/>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155"/>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71D5"/>
    <w:rsid w:val="007B24C4"/>
    <w:rsid w:val="007B50E4"/>
    <w:rsid w:val="007B5236"/>
    <w:rsid w:val="007B6B2F"/>
    <w:rsid w:val="007C057B"/>
    <w:rsid w:val="007C1661"/>
    <w:rsid w:val="007C1A9E"/>
    <w:rsid w:val="007C6E38"/>
    <w:rsid w:val="007D212E"/>
    <w:rsid w:val="007D458F"/>
    <w:rsid w:val="007D5655"/>
    <w:rsid w:val="007D5A52"/>
    <w:rsid w:val="007D6AAE"/>
    <w:rsid w:val="007D7CF5"/>
    <w:rsid w:val="007D7E58"/>
    <w:rsid w:val="007E41AD"/>
    <w:rsid w:val="007E5E9E"/>
    <w:rsid w:val="007E74DA"/>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96A"/>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D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DC7"/>
    <w:rsid w:val="008E7CE4"/>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2E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336"/>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72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CB0"/>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39A0"/>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0B75"/>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D0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4F81"/>
    <w:rsid w:val="00C8667D"/>
    <w:rsid w:val="00C86967"/>
    <w:rsid w:val="00C928A8"/>
    <w:rsid w:val="00C93044"/>
    <w:rsid w:val="00C95246"/>
    <w:rsid w:val="00C96CB3"/>
    <w:rsid w:val="00CA103E"/>
    <w:rsid w:val="00CA3B93"/>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0F98"/>
    <w:rsid w:val="00D51254"/>
    <w:rsid w:val="00D51627"/>
    <w:rsid w:val="00D51E1A"/>
    <w:rsid w:val="00D52344"/>
    <w:rsid w:val="00D54AAC"/>
    <w:rsid w:val="00D54B32"/>
    <w:rsid w:val="00D55DF0"/>
    <w:rsid w:val="00D563E1"/>
    <w:rsid w:val="00D56BB6"/>
    <w:rsid w:val="00D57294"/>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00D"/>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A50"/>
    <w:rsid w:val="00E137F4"/>
    <w:rsid w:val="00E14F67"/>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334"/>
    <w:rsid w:val="00F62236"/>
    <w:rsid w:val="00F63B51"/>
    <w:rsid w:val="00F642AF"/>
    <w:rsid w:val="00F650B4"/>
    <w:rsid w:val="00F65901"/>
    <w:rsid w:val="00F66B95"/>
    <w:rsid w:val="00F706AA"/>
    <w:rsid w:val="00F71181"/>
    <w:rsid w:val="00F715D0"/>
    <w:rsid w:val="00F717E7"/>
    <w:rsid w:val="00F724A1"/>
    <w:rsid w:val="00F7288E"/>
    <w:rsid w:val="00F740FA"/>
    <w:rsid w:val="00F747EF"/>
    <w:rsid w:val="00F75266"/>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32E"/>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F52372"/>
    <w:rsid w:val="029C1B71"/>
    <w:rsid w:val="02AF042A"/>
    <w:rsid w:val="02B8B71D"/>
    <w:rsid w:val="04F2BABB"/>
    <w:rsid w:val="0578740A"/>
    <w:rsid w:val="064FE888"/>
    <w:rsid w:val="06D5AC1F"/>
    <w:rsid w:val="0798613E"/>
    <w:rsid w:val="07A69A58"/>
    <w:rsid w:val="0822FB1C"/>
    <w:rsid w:val="082B1BBE"/>
    <w:rsid w:val="08717C80"/>
    <w:rsid w:val="09FEC9F9"/>
    <w:rsid w:val="0A0D4CE1"/>
    <w:rsid w:val="0A62091B"/>
    <w:rsid w:val="0A8A390E"/>
    <w:rsid w:val="0AEAD237"/>
    <w:rsid w:val="0B034D1B"/>
    <w:rsid w:val="0B3C4938"/>
    <w:rsid w:val="0BA91D42"/>
    <w:rsid w:val="0BAB53E4"/>
    <w:rsid w:val="0BDDAE3B"/>
    <w:rsid w:val="0D0C56EB"/>
    <w:rsid w:val="0D231C60"/>
    <w:rsid w:val="0DB94AB8"/>
    <w:rsid w:val="0FF85010"/>
    <w:rsid w:val="1090C92C"/>
    <w:rsid w:val="121109B3"/>
    <w:rsid w:val="126E446B"/>
    <w:rsid w:val="1353E5C7"/>
    <w:rsid w:val="13595CF3"/>
    <w:rsid w:val="14A4145E"/>
    <w:rsid w:val="15143EE6"/>
    <w:rsid w:val="1540FA58"/>
    <w:rsid w:val="15A2A579"/>
    <w:rsid w:val="15FB0CE6"/>
    <w:rsid w:val="1698F822"/>
    <w:rsid w:val="17BA1455"/>
    <w:rsid w:val="182B10D5"/>
    <w:rsid w:val="18427703"/>
    <w:rsid w:val="189C7A8B"/>
    <w:rsid w:val="19E7B1FC"/>
    <w:rsid w:val="19F1D847"/>
    <w:rsid w:val="1A3F98F8"/>
    <w:rsid w:val="1B85EDF3"/>
    <w:rsid w:val="1BB03144"/>
    <w:rsid w:val="1BDB6959"/>
    <w:rsid w:val="1C5C94D0"/>
    <w:rsid w:val="1D1E39DA"/>
    <w:rsid w:val="1D5057C3"/>
    <w:rsid w:val="1D753718"/>
    <w:rsid w:val="1DF17F5D"/>
    <w:rsid w:val="1E193E40"/>
    <w:rsid w:val="1F97F67A"/>
    <w:rsid w:val="1FD3B306"/>
    <w:rsid w:val="2090554A"/>
    <w:rsid w:val="20D8264B"/>
    <w:rsid w:val="2141BB9C"/>
    <w:rsid w:val="2152F673"/>
    <w:rsid w:val="21C5EC45"/>
    <w:rsid w:val="22DD8BFD"/>
    <w:rsid w:val="22E32F78"/>
    <w:rsid w:val="23447873"/>
    <w:rsid w:val="2463793D"/>
    <w:rsid w:val="247E4129"/>
    <w:rsid w:val="24AF10B4"/>
    <w:rsid w:val="2511E22F"/>
    <w:rsid w:val="255F33C8"/>
    <w:rsid w:val="2629CC2D"/>
    <w:rsid w:val="263CEE84"/>
    <w:rsid w:val="2691C848"/>
    <w:rsid w:val="26AC0D6A"/>
    <w:rsid w:val="26ACECBB"/>
    <w:rsid w:val="26B725A9"/>
    <w:rsid w:val="26C1CDB4"/>
    <w:rsid w:val="27584FF4"/>
    <w:rsid w:val="27B40CA8"/>
    <w:rsid w:val="283A5F00"/>
    <w:rsid w:val="28A0C404"/>
    <w:rsid w:val="28DF2F2E"/>
    <w:rsid w:val="290FD868"/>
    <w:rsid w:val="29616CEF"/>
    <w:rsid w:val="29C38BC8"/>
    <w:rsid w:val="29C8103E"/>
    <w:rsid w:val="2A25405E"/>
    <w:rsid w:val="2A61F421"/>
    <w:rsid w:val="2A9830EE"/>
    <w:rsid w:val="2AF9697A"/>
    <w:rsid w:val="2B1115CB"/>
    <w:rsid w:val="2BD09455"/>
    <w:rsid w:val="2C0171CC"/>
    <w:rsid w:val="2D5CE120"/>
    <w:rsid w:val="2DCFD1B0"/>
    <w:rsid w:val="2E7B2970"/>
    <w:rsid w:val="2EECEDB1"/>
    <w:rsid w:val="2EF0784D"/>
    <w:rsid w:val="2F10A798"/>
    <w:rsid w:val="2F4AD5BB"/>
    <w:rsid w:val="2F7F39FF"/>
    <w:rsid w:val="2F829D79"/>
    <w:rsid w:val="2FAB610E"/>
    <w:rsid w:val="3094421E"/>
    <w:rsid w:val="30C10CCF"/>
    <w:rsid w:val="318B04AA"/>
    <w:rsid w:val="32917F5C"/>
    <w:rsid w:val="32A71161"/>
    <w:rsid w:val="332DAFA3"/>
    <w:rsid w:val="3360BE7C"/>
    <w:rsid w:val="33BD99D9"/>
    <w:rsid w:val="3456A3BF"/>
    <w:rsid w:val="34A8A885"/>
    <w:rsid w:val="34B5E74D"/>
    <w:rsid w:val="358D0301"/>
    <w:rsid w:val="35AD8F9F"/>
    <w:rsid w:val="35EC1C11"/>
    <w:rsid w:val="36BBBF94"/>
    <w:rsid w:val="375C3135"/>
    <w:rsid w:val="379510EF"/>
    <w:rsid w:val="37D10CB2"/>
    <w:rsid w:val="382BC068"/>
    <w:rsid w:val="3886C15F"/>
    <w:rsid w:val="38D3CDD6"/>
    <w:rsid w:val="38DC2A9B"/>
    <w:rsid w:val="3AB8DC8C"/>
    <w:rsid w:val="3AD539D9"/>
    <w:rsid w:val="3B1F992B"/>
    <w:rsid w:val="3B369050"/>
    <w:rsid w:val="3C6DC75C"/>
    <w:rsid w:val="3CA62FF6"/>
    <w:rsid w:val="3CA7D0D5"/>
    <w:rsid w:val="3D430D93"/>
    <w:rsid w:val="3DBBD82F"/>
    <w:rsid w:val="3E21AE54"/>
    <w:rsid w:val="3E4C7119"/>
    <w:rsid w:val="3EEE0C84"/>
    <w:rsid w:val="3F9D6EAE"/>
    <w:rsid w:val="4089DCE5"/>
    <w:rsid w:val="409EAF24"/>
    <w:rsid w:val="40E6CD41"/>
    <w:rsid w:val="40F97471"/>
    <w:rsid w:val="41045494"/>
    <w:rsid w:val="414CCD8C"/>
    <w:rsid w:val="41BCEA7B"/>
    <w:rsid w:val="41F9ABE3"/>
    <w:rsid w:val="420B9274"/>
    <w:rsid w:val="4281520C"/>
    <w:rsid w:val="43750416"/>
    <w:rsid w:val="43BD2789"/>
    <w:rsid w:val="43F5F01F"/>
    <w:rsid w:val="44469675"/>
    <w:rsid w:val="44BCE104"/>
    <w:rsid w:val="4512A035"/>
    <w:rsid w:val="456F9091"/>
    <w:rsid w:val="45FBA24B"/>
    <w:rsid w:val="464CED95"/>
    <w:rsid w:val="46991272"/>
    <w:rsid w:val="470BD126"/>
    <w:rsid w:val="476A1450"/>
    <w:rsid w:val="47F481C6"/>
    <w:rsid w:val="48677256"/>
    <w:rsid w:val="48A65EBC"/>
    <w:rsid w:val="492F1E3F"/>
    <w:rsid w:val="49AB5F70"/>
    <w:rsid w:val="49B78AD7"/>
    <w:rsid w:val="4A0342B7"/>
    <w:rsid w:val="4A2C690D"/>
    <w:rsid w:val="4B4E5B3F"/>
    <w:rsid w:val="4C15E731"/>
    <w:rsid w:val="4D30F41B"/>
    <w:rsid w:val="4F3F17E3"/>
    <w:rsid w:val="4FF82DDA"/>
    <w:rsid w:val="50614964"/>
    <w:rsid w:val="50A445A1"/>
    <w:rsid w:val="50EC2573"/>
    <w:rsid w:val="51BF7A4A"/>
    <w:rsid w:val="52864115"/>
    <w:rsid w:val="5332CAE1"/>
    <w:rsid w:val="533F0CC3"/>
    <w:rsid w:val="537A520C"/>
    <w:rsid w:val="53BB2D8F"/>
    <w:rsid w:val="53CDC740"/>
    <w:rsid w:val="54975C2B"/>
    <w:rsid w:val="54E12048"/>
    <w:rsid w:val="55043126"/>
    <w:rsid w:val="55B739D1"/>
    <w:rsid w:val="55C3A66E"/>
    <w:rsid w:val="5607A25C"/>
    <w:rsid w:val="58061E8F"/>
    <w:rsid w:val="58110F51"/>
    <w:rsid w:val="598B282B"/>
    <w:rsid w:val="59C5B77E"/>
    <w:rsid w:val="5A2BE028"/>
    <w:rsid w:val="5A4A7A5D"/>
    <w:rsid w:val="5A866069"/>
    <w:rsid w:val="5B0E8955"/>
    <w:rsid w:val="5B501E19"/>
    <w:rsid w:val="5B669767"/>
    <w:rsid w:val="5B9DA628"/>
    <w:rsid w:val="5BBA7866"/>
    <w:rsid w:val="5BBE9F79"/>
    <w:rsid w:val="5C548B21"/>
    <w:rsid w:val="5C886CC4"/>
    <w:rsid w:val="5D6647E7"/>
    <w:rsid w:val="5E15A1A5"/>
    <w:rsid w:val="5E97EDC7"/>
    <w:rsid w:val="5EA486B6"/>
    <w:rsid w:val="5FC074DB"/>
    <w:rsid w:val="5FDFE44C"/>
    <w:rsid w:val="60DC7990"/>
    <w:rsid w:val="6132825B"/>
    <w:rsid w:val="61A9E76C"/>
    <w:rsid w:val="6219A977"/>
    <w:rsid w:val="628D3228"/>
    <w:rsid w:val="64ED4230"/>
    <w:rsid w:val="65A33873"/>
    <w:rsid w:val="65D54B21"/>
    <w:rsid w:val="667691A3"/>
    <w:rsid w:val="685B67F0"/>
    <w:rsid w:val="68F076BD"/>
    <w:rsid w:val="692C5052"/>
    <w:rsid w:val="6AA23B17"/>
    <w:rsid w:val="6AFB5405"/>
    <w:rsid w:val="6B2DC724"/>
    <w:rsid w:val="6D06C4A4"/>
    <w:rsid w:val="6E9E1194"/>
    <w:rsid w:val="6F365065"/>
    <w:rsid w:val="6FC58980"/>
    <w:rsid w:val="70079FD7"/>
    <w:rsid w:val="7012FFFE"/>
    <w:rsid w:val="7039E1F5"/>
    <w:rsid w:val="729AA5CC"/>
    <w:rsid w:val="72FB88F0"/>
    <w:rsid w:val="74235DE3"/>
    <w:rsid w:val="7448B8B6"/>
    <w:rsid w:val="74AEF663"/>
    <w:rsid w:val="751E010F"/>
    <w:rsid w:val="75F92885"/>
    <w:rsid w:val="761CE20A"/>
    <w:rsid w:val="7625A64C"/>
    <w:rsid w:val="763793AF"/>
    <w:rsid w:val="765C297F"/>
    <w:rsid w:val="766C14DF"/>
    <w:rsid w:val="771DB29C"/>
    <w:rsid w:val="7727721E"/>
    <w:rsid w:val="782BCB7D"/>
    <w:rsid w:val="7855A1D1"/>
    <w:rsid w:val="78A31CC3"/>
    <w:rsid w:val="7937F71C"/>
    <w:rsid w:val="798C65D0"/>
    <w:rsid w:val="79BC9C75"/>
    <w:rsid w:val="79DBFDE3"/>
    <w:rsid w:val="79EDFC3C"/>
    <w:rsid w:val="7A3EED24"/>
    <w:rsid w:val="7A49E141"/>
    <w:rsid w:val="7A8C503F"/>
    <w:rsid w:val="7B7112A3"/>
    <w:rsid w:val="7BADDDA2"/>
    <w:rsid w:val="7BC1A316"/>
    <w:rsid w:val="7C784EB2"/>
    <w:rsid w:val="7C8DACD6"/>
    <w:rsid w:val="7E563D64"/>
    <w:rsid w:val="7EF7FD5D"/>
    <w:rsid w:val="7EF89700"/>
    <w:rsid w:val="7F57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7E74D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DA"/>
    <w:rPr>
      <w:rFonts w:ascii="Segoe UI" w:hAnsi="Segoe UI" w:cs="Segoe UI"/>
      <w:sz w:val="18"/>
      <w:szCs w:val="18"/>
      <w:lang w:val="en-AU"/>
    </w:rPr>
  </w:style>
  <w:style w:type="character" w:styleId="FollowedHyperlink">
    <w:name w:val="FollowedHyperlink"/>
    <w:basedOn w:val="DefaultParagraphFont"/>
    <w:uiPriority w:val="99"/>
    <w:semiHidden/>
    <w:unhideWhenUsed/>
    <w:rsid w:val="008E7CE4"/>
    <w:rPr>
      <w:color w:val="954F72" w:themeColor="followedHyperlink"/>
      <w:u w:val="single"/>
    </w:rPr>
  </w:style>
  <w:style w:type="character" w:customStyle="1" w:styleId="normaltextrun">
    <w:name w:val="normaltextrun"/>
    <w:basedOn w:val="DefaultParagraphFont"/>
    <w:rsid w:val="00546EBD"/>
  </w:style>
  <w:style w:type="character" w:styleId="UnresolvedMention">
    <w:name w:val="Unresolved Mention"/>
    <w:basedOn w:val="DefaultParagraphFont"/>
    <w:uiPriority w:val="99"/>
    <w:semiHidden/>
    <w:unhideWhenUsed/>
    <w:rsid w:val="00F7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583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cache_id=0f431" TargetMode="External"/><Relationship Id="rId18" Type="http://schemas.openxmlformats.org/officeDocument/2006/relationships/hyperlink" Target="https://app.education.nsw.gov.au/digital-learning-selector/LearningActivity/Browser?clearCache=ac2f69c0-26f5-4f10-877a-dc3684e72cd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pp.education.nsw.gov.au/digital-learning-selector/LearningActivity/Browser?clearCache=ac2f69c0-26f5-4f10-877a-dc3684e72cd0" TargetMode="External"/><Relationship Id="rId17" Type="http://schemas.openxmlformats.org/officeDocument/2006/relationships/hyperlink" Target="https://myfuture.edu.au/bullsey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joboutlook.gov.au/industries/industry-profiles?industryCode=Q" TargetMode="External"/><Relationship Id="rId20" Type="http://schemas.openxmlformats.org/officeDocument/2006/relationships/hyperlink" Target="https://myfuture.edu.au/help-and-support/user-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wc.com.au/health/health-matters/workforce-healthcar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education.nsw.gov.au/digital-learning-selector/?cache_id=f4e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outlook.gov.au/industries/industry-profiles?industryCode=Q"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1A00-39A8-4D0A-9646-74D1F1497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984E99DD-F08B-4BF0-B1FD-A3E35DA7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4</Pages>
  <Words>1242</Words>
  <Characters>7080</Characters>
  <Application>Microsoft Office Word</Application>
  <DocSecurity>0</DocSecurity>
  <Lines>59</Lines>
  <Paragraphs>16</Paragraphs>
  <ScaleCrop>false</ScaleCrop>
  <Manager/>
  <Company>NSW Department of Education</Company>
  <LinksUpToDate>false</LinksUpToDate>
  <CharactersWithSpaces>8306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36</cp:revision>
  <cp:lastPrinted>2019-09-30T07:42:00Z</cp:lastPrinted>
  <dcterms:created xsi:type="dcterms:W3CDTF">2021-03-01T22:59:00Z</dcterms:created>
  <dcterms:modified xsi:type="dcterms:W3CDTF">2022-07-04T01:55:00Z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