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D70A" w14:textId="263DD33B" w:rsidR="51BF7A4A" w:rsidRDefault="51BF7A4A" w:rsidP="007B0540">
      <w:pPr>
        <w:pStyle w:val="Title"/>
        <w:rPr>
          <w:bCs/>
          <w:szCs w:val="48"/>
        </w:rPr>
      </w:pPr>
      <w:r w:rsidRPr="09FEC9F9">
        <w:rPr>
          <w:rFonts w:eastAsia="Arial"/>
        </w:rPr>
        <w:t>PDHPE</w:t>
      </w:r>
      <w:r w:rsidR="005638A2" w:rsidRPr="09FEC9F9">
        <w:rPr>
          <w:rFonts w:eastAsia="Arial"/>
        </w:rPr>
        <w:t xml:space="preserve"> Stage 4</w:t>
      </w:r>
      <w:r w:rsidR="55043126" w:rsidRPr="09FEC9F9">
        <w:rPr>
          <w:rFonts w:eastAsia="Arial"/>
        </w:rPr>
        <w:t xml:space="preserve"> </w:t>
      </w:r>
      <w:r w:rsidR="00770D6E">
        <w:rPr>
          <w:rFonts w:eastAsia="Arial"/>
        </w:rPr>
        <w:t>–</w:t>
      </w:r>
      <w:r w:rsidR="55043126" w:rsidRPr="09FEC9F9">
        <w:rPr>
          <w:rFonts w:eastAsia="Arial"/>
        </w:rPr>
        <w:t xml:space="preserve"> </w:t>
      </w:r>
      <w:r w:rsidR="00770D6E">
        <w:t>Challenging and resisting stereotypes</w:t>
      </w:r>
    </w:p>
    <w:p w14:paraId="3EA75237" w14:textId="668BE87A" w:rsidR="22E32F78" w:rsidRPr="006A2976" w:rsidRDefault="007B0540" w:rsidP="54975C2B">
      <w:r w:rsidRPr="007B0540">
        <w:rPr>
          <w:rStyle w:val="Strong"/>
        </w:rPr>
        <w:t>Suggested duration:</w:t>
      </w:r>
      <w:r>
        <w:rPr>
          <w:lang w:eastAsia="zh-CN"/>
        </w:rPr>
        <w:t xml:space="preserve"> </w:t>
      </w:r>
      <w:r w:rsidR="009C5550">
        <w:rPr>
          <w:lang w:eastAsia="zh-CN"/>
        </w:rPr>
        <w:t xml:space="preserve">2 </w:t>
      </w:r>
      <w:r w:rsidR="79EDFC3C" w:rsidRPr="09FEC9F9">
        <w:rPr>
          <w:lang w:eastAsia="zh-CN"/>
        </w:rPr>
        <w:t>lessons</w:t>
      </w:r>
    </w:p>
    <w:p w14:paraId="60476943" w14:textId="5C19AACA" w:rsidR="492F1E3F" w:rsidRDefault="492F1E3F" w:rsidP="2E8A4DCE">
      <w:r>
        <w:t>Learning for life beyond school is supported when subjects are delivered to students in a way that they can understand how the content is relevant to career pathways and work settings</w:t>
      </w:r>
      <w:r w:rsidR="26B725A9">
        <w:t>.</w:t>
      </w:r>
      <w:r w:rsidR="00612762">
        <w:t xml:space="preserve"> </w:t>
      </w:r>
      <w:r w:rsidR="39B74308" w:rsidRPr="2E8A4DCE">
        <w:rPr>
          <w:rStyle w:val="normaltextrun"/>
          <w:rFonts w:eastAsia="Arial" w:cs="Arial"/>
          <w:color w:val="000000" w:themeColor="text1"/>
        </w:rPr>
        <w:t>NESA syllabuses identify work and enterprise as important learning across the curriculum content for all students.</w:t>
      </w:r>
    </w:p>
    <w:p w14:paraId="411204F8" w14:textId="26576BD8" w:rsidR="006A2976" w:rsidRDefault="006A2976" w:rsidP="008D2F02">
      <w:pPr>
        <w:pStyle w:val="Heading1"/>
      </w:pPr>
      <w:r>
        <w:t>Career learning benefits</w:t>
      </w:r>
      <w:r w:rsidR="008D2F02">
        <w:t xml:space="preserve"> and c</w:t>
      </w:r>
      <w:r>
        <w:t>areer management skills</w:t>
      </w:r>
    </w:p>
    <w:p w14:paraId="6B557FA6" w14:textId="0D566840" w:rsidR="006A2976" w:rsidRDefault="006A2976" w:rsidP="006A2976">
      <w:r>
        <w:rPr>
          <w:rFonts w:eastAsia="Arial" w:cs="Arial"/>
          <w:color w:val="212121"/>
        </w:rPr>
        <w:t>Career learning r</w:t>
      </w:r>
      <w:r w:rsidRPr="54975C2B">
        <w:rPr>
          <w:rFonts w:eastAsia="Arial" w:cs="Arial"/>
          <w:color w:val="212121"/>
        </w:rPr>
        <w:t xml:space="preserve">esources have been developed to enrich existing teaching and learning programs to facilitate effective career education for students, supporting students to </w:t>
      </w:r>
      <w:r w:rsidR="00BB0B75">
        <w:rPr>
          <w:rFonts w:eastAsia="Arial" w:cs="Arial"/>
          <w:color w:val="212121"/>
        </w:rPr>
        <w:t xml:space="preserve">link classroom learning to </w:t>
      </w:r>
      <w:r w:rsidRPr="54975C2B">
        <w:rPr>
          <w:rFonts w:eastAsia="Arial" w:cs="Arial"/>
          <w:color w:val="212121"/>
        </w:rPr>
        <w:t>workplace applications, including developing career management</w:t>
      </w:r>
      <w:r>
        <w:t xml:space="preserve"> skills. </w:t>
      </w:r>
    </w:p>
    <w:p w14:paraId="00911DF6" w14:textId="4F7B750C" w:rsidR="007B0540" w:rsidRDefault="007B0540" w:rsidP="007B0540">
      <w:r>
        <w:t>Career lea</w:t>
      </w:r>
      <w:r w:rsidR="38C32641">
        <w:t>r</w:t>
      </w:r>
      <w:r>
        <w:t xml:space="preserve">ning activities embedded within existing curriculum have been aligned to the themes from the </w:t>
      </w:r>
      <w:hyperlink r:id="rId11" w:history="1">
        <w:r w:rsidRPr="009C46F9">
          <w:rPr>
            <w:rStyle w:val="Hyperlink"/>
          </w:rPr>
          <w:t>K-12 Career Learning Framework</w:t>
        </w:r>
      </w:hyperlink>
      <w:r>
        <w:t xml:space="preserve">. Activities may relate to one or more of the themes: </w:t>
      </w:r>
    </w:p>
    <w:p w14:paraId="5EF207DC" w14:textId="13261DF4" w:rsidR="00174882" w:rsidRDefault="00174882" w:rsidP="00174882">
      <w:pPr>
        <w:pStyle w:val="ListBullet"/>
      </w:pPr>
      <w:r>
        <w:t xml:space="preserve">Identity – building and maintaining a positive </w:t>
      </w:r>
      <w:r w:rsidR="0B55EE0A">
        <w:t>self-concept</w:t>
      </w:r>
      <w:r>
        <w:t xml:space="preserve">, responding to </w:t>
      </w:r>
      <w:proofErr w:type="gramStart"/>
      <w:r>
        <w:t>change</w:t>
      </w:r>
      <w:proofErr w:type="gramEnd"/>
      <w:r>
        <w:t xml:space="preserve"> and developing capabilities</w:t>
      </w:r>
    </w:p>
    <w:p w14:paraId="06246B13" w14:textId="51CE9236" w:rsidR="00174882" w:rsidRDefault="00174882" w:rsidP="00174882">
      <w:pPr>
        <w:pStyle w:val="ListBullet"/>
      </w:pPr>
      <w:r>
        <w:t xml:space="preserve">Experience – discover, </w:t>
      </w:r>
      <w:r w:rsidR="00FE442E">
        <w:t xml:space="preserve">explore, </w:t>
      </w:r>
      <w:proofErr w:type="gramStart"/>
      <w:r>
        <w:t>investigate</w:t>
      </w:r>
      <w:proofErr w:type="gramEnd"/>
      <w:r>
        <w:t xml:space="preserve"> and consider opportunities </w:t>
      </w:r>
      <w:r w:rsidR="0A1F84FC">
        <w:t>for</w:t>
      </w:r>
      <w:r>
        <w:t xml:space="preserve"> lifelong learning to support career goals</w:t>
      </w:r>
    </w:p>
    <w:p w14:paraId="3E2C7DD0" w14:textId="77777777" w:rsidR="00174882" w:rsidRDefault="00174882" w:rsidP="00174882">
      <w:pPr>
        <w:pStyle w:val="ListBullet"/>
      </w:pPr>
      <w:r>
        <w:t xml:space="preserve">Empower – learning to </w:t>
      </w:r>
      <w:proofErr w:type="spellStart"/>
      <w:r>
        <w:t>self manage</w:t>
      </w:r>
      <w:proofErr w:type="spellEnd"/>
      <w:r>
        <w:t>, engage in career decision making and developing skills and capabilities to make informed decisions</w:t>
      </w:r>
    </w:p>
    <w:tbl>
      <w:tblPr>
        <w:tblStyle w:val="Tableheader"/>
        <w:tblW w:w="9602" w:type="dxa"/>
        <w:tblInd w:w="-60" w:type="dxa"/>
        <w:tblLook w:val="04A0" w:firstRow="1" w:lastRow="0" w:firstColumn="1" w:lastColumn="0" w:noHBand="0" w:noVBand="1"/>
      </w:tblPr>
      <w:tblGrid>
        <w:gridCol w:w="2229"/>
        <w:gridCol w:w="3471"/>
        <w:gridCol w:w="3902"/>
      </w:tblGrid>
      <w:tr w:rsidR="006A2976" w14:paraId="5772BCD5" w14:textId="77777777" w:rsidTr="1F57D1A3">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2229" w:type="dxa"/>
          </w:tcPr>
          <w:p w14:paraId="3A20C557" w14:textId="77777777" w:rsidR="006A2976" w:rsidRDefault="006A2976" w:rsidP="00047119">
            <w:pPr>
              <w:spacing w:before="192" w:after="192" w:line="276" w:lineRule="auto"/>
              <w:rPr>
                <w:lang w:eastAsia="zh-CN"/>
              </w:rPr>
            </w:pPr>
            <w:r>
              <w:rPr>
                <w:lang w:eastAsia="zh-CN"/>
              </w:rPr>
              <w:t>Theme</w:t>
            </w:r>
          </w:p>
        </w:tc>
        <w:tc>
          <w:tcPr>
            <w:tcW w:w="3471" w:type="dxa"/>
          </w:tcPr>
          <w:p w14:paraId="163F7007" w14:textId="489BA2F5" w:rsidR="006A2976" w:rsidRPr="09FEC9F9" w:rsidRDefault="001E17F4" w:rsidP="00047119">
            <w:pPr>
              <w:cnfStyle w:val="100000000000" w:firstRow="1" w:lastRow="0" w:firstColumn="0" w:lastColumn="0" w:oddVBand="0" w:evenVBand="0" w:oddHBand="0" w:evenHBand="0" w:firstRowFirstColumn="0" w:firstRowLastColumn="0" w:lastRowFirstColumn="0" w:lastRowLastColumn="0"/>
              <w:rPr>
                <w:lang w:eastAsia="zh-CN"/>
              </w:rPr>
            </w:pPr>
            <w:r w:rsidRPr="256AAA0D">
              <w:rPr>
                <w:lang w:eastAsia="zh-CN"/>
              </w:rPr>
              <w:t xml:space="preserve">Career </w:t>
            </w:r>
            <w:r w:rsidR="1D7E68CC" w:rsidRPr="256AAA0D">
              <w:rPr>
                <w:lang w:eastAsia="zh-CN"/>
              </w:rPr>
              <w:t>Management Skills</w:t>
            </w:r>
          </w:p>
        </w:tc>
        <w:tc>
          <w:tcPr>
            <w:tcW w:w="3902" w:type="dxa"/>
          </w:tcPr>
          <w:p w14:paraId="1AB972B8" w14:textId="4A68AC7D" w:rsidR="006A2976" w:rsidRDefault="0E1CBCAD" w:rsidP="1F57D1A3">
            <w:pPr>
              <w:spacing w:before="240" w:line="276" w:lineRule="auto"/>
              <w:cnfStyle w:val="100000000000" w:firstRow="1" w:lastRow="0" w:firstColumn="0" w:lastColumn="0" w:oddVBand="0" w:evenVBand="0" w:oddHBand="0" w:evenHBand="0" w:firstRowFirstColumn="0" w:firstRowLastColumn="0" w:lastRowFirstColumn="0" w:lastRowLastColumn="0"/>
            </w:pPr>
            <w:r w:rsidRPr="1F57D1A3">
              <w:rPr>
                <w:rFonts w:eastAsia="Arial" w:cs="Arial"/>
                <w:sz w:val="24"/>
              </w:rPr>
              <w:t>Australian Blueprint for Career Development competency</w:t>
            </w:r>
          </w:p>
        </w:tc>
      </w:tr>
      <w:tr w:rsidR="006A2976" w14:paraId="6013BE44" w14:textId="77777777" w:rsidTr="1F57D1A3">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2229" w:type="dxa"/>
          </w:tcPr>
          <w:p w14:paraId="67C315DD" w14:textId="6856B367" w:rsidR="006A2976" w:rsidRDefault="00F218B3" w:rsidP="00047119">
            <w:pPr>
              <w:rPr>
                <w:lang w:eastAsia="zh-CN"/>
              </w:rPr>
            </w:pPr>
            <w:r>
              <w:rPr>
                <w:lang w:eastAsia="zh-CN"/>
              </w:rPr>
              <w:t>Empower</w:t>
            </w:r>
          </w:p>
        </w:tc>
        <w:tc>
          <w:tcPr>
            <w:tcW w:w="3471" w:type="dxa"/>
          </w:tcPr>
          <w:p w14:paraId="422A9AFF" w14:textId="36316E30" w:rsidR="006A2976" w:rsidRPr="09FEC9F9" w:rsidRDefault="5DF75E7B" w:rsidP="256AAA0D">
            <w:pPr>
              <w:spacing w:before="240" w:line="276" w:lineRule="auto"/>
              <w:cnfStyle w:val="000000100000" w:firstRow="0" w:lastRow="0" w:firstColumn="0" w:lastColumn="0" w:oddVBand="0" w:evenVBand="0" w:oddHBand="1" w:evenHBand="0" w:firstRowFirstColumn="0" w:firstRowLastColumn="0" w:lastRowFirstColumn="0" w:lastRowLastColumn="0"/>
              <w:rPr>
                <w:rFonts w:eastAsia="Calibri"/>
                <w:lang w:eastAsia="zh-CN"/>
              </w:rPr>
            </w:pPr>
            <w:r w:rsidRPr="256AAA0D">
              <w:rPr>
                <w:lang w:eastAsia="zh-CN"/>
              </w:rPr>
              <w:t>Broaden understanding of stereotypes in careers</w:t>
            </w:r>
          </w:p>
        </w:tc>
        <w:tc>
          <w:tcPr>
            <w:tcW w:w="3902" w:type="dxa"/>
          </w:tcPr>
          <w:p w14:paraId="77890F10" w14:textId="2E7E4887" w:rsidR="006A2976" w:rsidRDefault="00EA3621" w:rsidP="00EA3621">
            <w:pPr>
              <w:cnfStyle w:val="000000100000" w:firstRow="0" w:lastRow="0" w:firstColumn="0" w:lastColumn="0" w:oddVBand="0" w:evenVBand="0" w:oddHBand="1" w:evenHBand="0" w:firstRowFirstColumn="0" w:firstRowLastColumn="0" w:lastRowFirstColumn="0" w:lastRowLastColumn="0"/>
              <w:rPr>
                <w:lang w:eastAsia="zh-CN"/>
              </w:rPr>
            </w:pPr>
            <w:r w:rsidRPr="200B9509">
              <w:rPr>
                <w:lang w:eastAsia="zh-CN"/>
              </w:rPr>
              <w:t xml:space="preserve">10.2 Explore </w:t>
            </w:r>
            <w:r w:rsidR="5E1270E9" w:rsidRPr="200B9509">
              <w:rPr>
                <w:lang w:eastAsia="zh-CN"/>
              </w:rPr>
              <w:t>non-traditional</w:t>
            </w:r>
            <w:r w:rsidRPr="200B9509">
              <w:rPr>
                <w:lang w:eastAsia="zh-CN"/>
              </w:rPr>
              <w:t xml:space="preserve"> life and work options</w:t>
            </w:r>
            <w:r w:rsidR="00812172" w:rsidRPr="200B9509">
              <w:rPr>
                <w:lang w:eastAsia="zh-CN"/>
              </w:rPr>
              <w:t>.</w:t>
            </w:r>
          </w:p>
        </w:tc>
      </w:tr>
      <w:tr w:rsidR="006A2976" w14:paraId="57AB2061" w14:textId="77777777" w:rsidTr="1F57D1A3">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2229" w:type="dxa"/>
          </w:tcPr>
          <w:p w14:paraId="70770E71" w14:textId="77777777" w:rsidR="006A2976" w:rsidRDefault="006A2976" w:rsidP="00047119">
            <w:pPr>
              <w:rPr>
                <w:lang w:eastAsia="zh-CN"/>
              </w:rPr>
            </w:pPr>
            <w:r>
              <w:rPr>
                <w:lang w:eastAsia="zh-CN"/>
              </w:rPr>
              <w:t>Experience</w:t>
            </w:r>
          </w:p>
        </w:tc>
        <w:tc>
          <w:tcPr>
            <w:tcW w:w="3471" w:type="dxa"/>
          </w:tcPr>
          <w:p w14:paraId="2271F9CB" w14:textId="0EA4CFBC" w:rsidR="006A2976" w:rsidRPr="09FEC9F9" w:rsidRDefault="006A2976" w:rsidP="00047119">
            <w:pPr>
              <w:cnfStyle w:val="000000010000" w:firstRow="0" w:lastRow="0" w:firstColumn="0" w:lastColumn="0" w:oddVBand="0" w:evenVBand="0" w:oddHBand="0" w:evenHBand="1" w:firstRowFirstColumn="0" w:firstRowLastColumn="0" w:lastRowFirstColumn="0" w:lastRowLastColumn="0"/>
              <w:rPr>
                <w:lang w:eastAsia="zh-CN"/>
              </w:rPr>
            </w:pPr>
            <w:r w:rsidRPr="256AAA0D">
              <w:rPr>
                <w:lang w:eastAsia="zh-CN"/>
              </w:rPr>
              <w:t>Locate and use career information</w:t>
            </w:r>
            <w:r w:rsidR="00812172" w:rsidRPr="256AAA0D">
              <w:rPr>
                <w:lang w:eastAsia="zh-CN"/>
              </w:rPr>
              <w:t>.</w:t>
            </w:r>
          </w:p>
        </w:tc>
        <w:tc>
          <w:tcPr>
            <w:tcW w:w="3902" w:type="dxa"/>
          </w:tcPr>
          <w:p w14:paraId="0988943A" w14:textId="02FBA3F6" w:rsidR="006A2976" w:rsidRDefault="006A2976" w:rsidP="00EA3621">
            <w:pPr>
              <w:cnfStyle w:val="000000010000" w:firstRow="0" w:lastRow="0" w:firstColumn="0" w:lastColumn="0" w:oddVBand="0" w:evenVBand="0" w:oddHBand="0" w:evenHBand="1" w:firstRowFirstColumn="0" w:firstRowLastColumn="0" w:lastRowFirstColumn="0" w:lastRowLastColumn="0"/>
              <w:rPr>
                <w:lang w:eastAsia="zh-CN"/>
              </w:rPr>
            </w:pPr>
            <w:r w:rsidRPr="09FEC9F9">
              <w:rPr>
                <w:lang w:eastAsia="zh-CN"/>
              </w:rPr>
              <w:t>5.</w:t>
            </w:r>
            <w:r w:rsidR="00EA3621">
              <w:rPr>
                <w:lang w:eastAsia="zh-CN"/>
              </w:rPr>
              <w:t>4 Use career information effectively in the management of your career</w:t>
            </w:r>
            <w:r w:rsidR="00812172">
              <w:rPr>
                <w:lang w:eastAsia="zh-CN"/>
              </w:rPr>
              <w:t>.</w:t>
            </w:r>
          </w:p>
        </w:tc>
      </w:tr>
    </w:tbl>
    <w:p w14:paraId="0D7ACF15" w14:textId="5A0C2896" w:rsidR="4FF82DDA" w:rsidRPr="000347B0" w:rsidRDefault="4FF82DDA" w:rsidP="00E751E7">
      <w:pPr>
        <w:pStyle w:val="Heading2"/>
        <w:numPr>
          <w:ilvl w:val="0"/>
          <w:numId w:val="0"/>
        </w:numPr>
      </w:pPr>
      <w:r w:rsidRPr="000347B0">
        <w:lastRenderedPageBreak/>
        <w:t>What do we want students to know, understand or be able to do?</w:t>
      </w:r>
    </w:p>
    <w:p w14:paraId="63490DA3" w14:textId="33E4B88F" w:rsidR="4FF82DDA" w:rsidRDefault="4FF82DDA" w:rsidP="09FEC9F9">
      <w:pPr>
        <w:rPr>
          <w:rFonts w:eastAsia="Calibri"/>
          <w:lang w:eastAsia="zh-CN"/>
        </w:rPr>
      </w:pPr>
      <w:r w:rsidRPr="1D1E39DA">
        <w:rPr>
          <w:rFonts w:eastAsia="Calibri"/>
          <w:lang w:eastAsia="zh-CN"/>
        </w:rPr>
        <w:t xml:space="preserve">Students </w:t>
      </w:r>
      <w:r w:rsidR="009A0B3E">
        <w:rPr>
          <w:rFonts w:eastAsia="Calibri"/>
          <w:lang w:eastAsia="zh-CN"/>
        </w:rPr>
        <w:t xml:space="preserve">identify that gender stereotypes and bias is developed at a young age and is applied to occupations. </w:t>
      </w:r>
      <w:r w:rsidR="000547F2">
        <w:rPr>
          <w:rFonts w:eastAsia="Calibri"/>
          <w:lang w:eastAsia="zh-CN"/>
        </w:rPr>
        <w:t>Students</w:t>
      </w:r>
      <w:r w:rsidR="009A0B3E">
        <w:rPr>
          <w:rFonts w:eastAsia="Calibri"/>
          <w:lang w:eastAsia="zh-CN"/>
        </w:rPr>
        <w:t xml:space="preserve"> will explore the historic inequalities for women in the workforce. </w:t>
      </w:r>
      <w:r w:rsidR="000547F2">
        <w:rPr>
          <w:rFonts w:eastAsia="Calibri"/>
          <w:lang w:eastAsia="zh-CN"/>
        </w:rPr>
        <w:t>They</w:t>
      </w:r>
      <w:r w:rsidR="009A0B3E">
        <w:rPr>
          <w:rFonts w:eastAsia="Calibri"/>
          <w:lang w:eastAsia="zh-CN"/>
        </w:rPr>
        <w:t xml:space="preserve"> will explore career stereotypes and the range of occupations available across typically stereotyped industries.</w:t>
      </w:r>
    </w:p>
    <w:p w14:paraId="2AA206A8" w14:textId="18416F49" w:rsidR="005638A2" w:rsidRPr="008D2F02" w:rsidRDefault="464CED95" w:rsidP="008D2F02">
      <w:pPr>
        <w:pStyle w:val="Heading3"/>
      </w:pPr>
      <w:r w:rsidRPr="008D2F02">
        <w:t>Syllabus</w:t>
      </w:r>
      <w:r w:rsidR="005638A2" w:rsidRPr="008D2F02">
        <w:t xml:space="preserve"> outcomes</w:t>
      </w:r>
    </w:p>
    <w:p w14:paraId="414568B0" w14:textId="77777777" w:rsidR="003D7F78" w:rsidRPr="007D471F" w:rsidRDefault="003D7F78" w:rsidP="003D7F78">
      <w:pPr>
        <w:pStyle w:val="ListBullet"/>
        <w:numPr>
          <w:ilvl w:val="0"/>
          <w:numId w:val="5"/>
        </w:numPr>
      </w:pPr>
      <w:r w:rsidRPr="2E8A4DCE">
        <w:rPr>
          <w:rStyle w:val="Strong"/>
        </w:rPr>
        <w:t>PD 4-3</w:t>
      </w:r>
      <w:r>
        <w:t xml:space="preserve"> investigates effective strategies to promote inclusivity, </w:t>
      </w:r>
      <w:proofErr w:type="gramStart"/>
      <w:r>
        <w:t>equality</w:t>
      </w:r>
      <w:proofErr w:type="gramEnd"/>
      <w:r>
        <w:t xml:space="preserve"> and respectful relationships</w:t>
      </w:r>
    </w:p>
    <w:p w14:paraId="5F694980" w14:textId="77777777" w:rsidR="003D7F78" w:rsidRPr="00804FFE" w:rsidRDefault="003D7F78" w:rsidP="200B9509">
      <w:pPr>
        <w:pStyle w:val="ListBullet"/>
        <w:numPr>
          <w:ilvl w:val="0"/>
          <w:numId w:val="5"/>
        </w:numPr>
        <w:spacing w:after="240"/>
      </w:pPr>
      <w:r w:rsidRPr="2E8A4DCE">
        <w:rPr>
          <w:rStyle w:val="Strong"/>
        </w:rPr>
        <w:t>PD4-10</w:t>
      </w:r>
      <w:r>
        <w:t xml:space="preserve"> </w:t>
      </w:r>
      <w:r w:rsidRPr="2E8A4DCE">
        <w:rPr>
          <w:rFonts w:cs="Arial"/>
        </w:rPr>
        <w:t>applies and refines interpersonal skills to assist themselves and others to interact respectfully and promote inclusion in a variety of groups or contexts</w:t>
      </w:r>
    </w:p>
    <w:tbl>
      <w:tblPr>
        <w:tblStyle w:val="Tableheader"/>
        <w:tblW w:w="0" w:type="auto"/>
        <w:tblLook w:val="04A0" w:firstRow="1" w:lastRow="0" w:firstColumn="1" w:lastColumn="0" w:noHBand="0" w:noVBand="1"/>
      </w:tblPr>
      <w:tblGrid>
        <w:gridCol w:w="3154"/>
        <w:gridCol w:w="6418"/>
      </w:tblGrid>
      <w:tr w:rsidR="09FEC9F9" w14:paraId="3609A270" w14:textId="77777777" w:rsidTr="2E8A4D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4" w:type="dxa"/>
          </w:tcPr>
          <w:p w14:paraId="72ED2E63" w14:textId="120744C4" w:rsidR="53BB2D8F" w:rsidRDefault="53BB2D8F" w:rsidP="09FEC9F9">
            <w:pPr>
              <w:spacing w:before="192" w:after="192"/>
              <w:rPr>
                <w:lang w:eastAsia="zh-CN"/>
              </w:rPr>
            </w:pPr>
            <w:r w:rsidRPr="09FEC9F9">
              <w:rPr>
                <w:lang w:eastAsia="zh-CN"/>
              </w:rPr>
              <w:t>Key inquiry questions</w:t>
            </w:r>
          </w:p>
        </w:tc>
        <w:tc>
          <w:tcPr>
            <w:tcW w:w="6418" w:type="dxa"/>
          </w:tcPr>
          <w:p w14:paraId="43917622" w14:textId="06A0317F" w:rsidR="53BB2D8F" w:rsidRDefault="53BB2D8F" w:rsidP="09FEC9F9">
            <w:pPr>
              <w:cnfStyle w:val="100000000000" w:firstRow="1" w:lastRow="0" w:firstColumn="0" w:lastColumn="0" w:oddVBand="0" w:evenVBand="0" w:oddHBand="0" w:evenHBand="0" w:firstRowFirstColumn="0" w:firstRowLastColumn="0" w:lastRowFirstColumn="0" w:lastRowLastColumn="0"/>
              <w:rPr>
                <w:lang w:eastAsia="zh-CN"/>
              </w:rPr>
            </w:pPr>
            <w:r w:rsidRPr="09FEC9F9">
              <w:rPr>
                <w:lang w:eastAsia="zh-CN"/>
              </w:rPr>
              <w:t>Syllabus content</w:t>
            </w:r>
          </w:p>
        </w:tc>
      </w:tr>
      <w:tr w:rsidR="09FEC9F9" w14:paraId="0A834CF7" w14:textId="77777777" w:rsidTr="2E8A4D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4" w:type="dxa"/>
          </w:tcPr>
          <w:p w14:paraId="22DF9573" w14:textId="32BB635A" w:rsidR="5332CAE1" w:rsidRDefault="5332CAE1" w:rsidP="09FEC9F9">
            <w:pPr>
              <w:rPr>
                <w:lang w:eastAsia="zh-CN"/>
              </w:rPr>
            </w:pPr>
            <w:r w:rsidRPr="09FEC9F9">
              <w:rPr>
                <w:lang w:eastAsia="zh-CN"/>
              </w:rPr>
              <w:t xml:space="preserve">What positive actions contribute to the health, safety, </w:t>
            </w:r>
            <w:proofErr w:type="gramStart"/>
            <w:r w:rsidRPr="09FEC9F9">
              <w:rPr>
                <w:lang w:eastAsia="zh-CN"/>
              </w:rPr>
              <w:t>wellbeing</w:t>
            </w:r>
            <w:proofErr w:type="gramEnd"/>
            <w:r w:rsidRPr="09FEC9F9">
              <w:rPr>
                <w:lang w:eastAsia="zh-CN"/>
              </w:rPr>
              <w:t xml:space="preserve"> and participation in physical activity levels of the wider community?</w:t>
            </w:r>
          </w:p>
        </w:tc>
        <w:tc>
          <w:tcPr>
            <w:tcW w:w="6418" w:type="dxa"/>
          </w:tcPr>
          <w:p w14:paraId="498FE313" w14:textId="77777777" w:rsidR="003D7F78" w:rsidRPr="0044292A" w:rsidRDefault="003D7F78" w:rsidP="003D7F78">
            <w:pPr>
              <w:pStyle w:val="ListBullet"/>
              <w:numPr>
                <w:ilvl w:val="0"/>
                <w:numId w:val="5"/>
              </w:numPr>
              <w:cnfStyle w:val="000000100000" w:firstRow="0" w:lastRow="0" w:firstColumn="0" w:lastColumn="0" w:oddVBand="0" w:evenVBand="0" w:oddHBand="1" w:evenHBand="0" w:firstRowFirstColumn="0" w:firstRowLastColumn="0" w:lastRowFirstColumn="0" w:lastRowLastColumn="0"/>
            </w:pPr>
            <w:r>
              <w:t>Investigate the benefits to individuals and communities of valuing diversity and promoting inclusivity</w:t>
            </w:r>
          </w:p>
          <w:p w14:paraId="3007361B" w14:textId="77777777" w:rsidR="003D7F78" w:rsidRPr="005B30F2" w:rsidRDefault="003D7F78" w:rsidP="003D7F78">
            <w:pPr>
              <w:pStyle w:val="ListBullet2"/>
              <w:numPr>
                <w:ilvl w:val="1"/>
                <w:numId w:val="7"/>
              </w:numPr>
              <w:cnfStyle w:val="000000100000" w:firstRow="0" w:lastRow="0" w:firstColumn="0" w:lastColumn="0" w:oddVBand="0" w:evenVBand="0" w:oddHBand="1" w:evenHBand="0" w:firstRowFirstColumn="0" w:firstRowLastColumn="0" w:lastRowFirstColumn="0" w:lastRowLastColumn="0"/>
            </w:pPr>
            <w:r>
              <w:t xml:space="preserve">explore their own and others’ values and beliefs towards issues of discrimination, for example disability, age, religion, race, sexuality, gender </w:t>
            </w:r>
          </w:p>
          <w:p w14:paraId="1FB37A5C" w14:textId="77777777" w:rsidR="003D7F78" w:rsidRPr="005B30F2" w:rsidRDefault="003D7F78" w:rsidP="003D7F78">
            <w:pPr>
              <w:pStyle w:val="ListBullet2"/>
              <w:numPr>
                <w:ilvl w:val="1"/>
                <w:numId w:val="7"/>
              </w:numPr>
              <w:cnfStyle w:val="000000100000" w:firstRow="0" w:lastRow="0" w:firstColumn="0" w:lastColumn="0" w:oddVBand="0" w:evenVBand="0" w:oddHBand="1" w:evenHBand="0" w:firstRowFirstColumn="0" w:firstRowLastColumn="0" w:lastRowFirstColumn="0" w:lastRowLastColumn="0"/>
            </w:pPr>
            <w:r>
              <w:t xml:space="preserve">research how stereotypes and prejudice are challenged in local, </w:t>
            </w:r>
            <w:proofErr w:type="gramStart"/>
            <w:r>
              <w:t>national</w:t>
            </w:r>
            <w:proofErr w:type="gramEnd"/>
            <w:r>
              <w:t xml:space="preserve"> and global contexts</w:t>
            </w:r>
          </w:p>
          <w:p w14:paraId="208828AD" w14:textId="4369D903" w:rsidR="17BA1455" w:rsidRDefault="003D7F78" w:rsidP="003D7F78">
            <w:pPr>
              <w:pStyle w:val="ListBullet"/>
              <w:cnfStyle w:val="000000100000" w:firstRow="0" w:lastRow="0" w:firstColumn="0" w:lastColumn="0" w:oddVBand="0" w:evenVBand="0" w:oddHBand="1" w:evenHBand="0" w:firstRowFirstColumn="0" w:firstRowLastColumn="0" w:lastRowFirstColumn="0" w:lastRowLastColumn="0"/>
              <w:rPr>
                <w:lang w:eastAsia="zh-CN"/>
              </w:rPr>
            </w:pPr>
            <w:r>
              <w:t>discuss how challenging and resisting stereotypes can help young people to be themselves</w:t>
            </w:r>
          </w:p>
        </w:tc>
      </w:tr>
    </w:tbl>
    <w:p w14:paraId="2E17C951" w14:textId="0DAFF09B" w:rsidR="005638A2" w:rsidRDefault="761CE20A" w:rsidP="003D7F78">
      <w:pPr>
        <w:pStyle w:val="Heading3"/>
        <w:numPr>
          <w:ilvl w:val="0"/>
          <w:numId w:val="0"/>
        </w:numPr>
      </w:pPr>
      <w:r>
        <w:t>Assumed knowledge and understanding</w:t>
      </w:r>
    </w:p>
    <w:p w14:paraId="645259E7" w14:textId="3D4E3765" w:rsidR="765C297F" w:rsidRDefault="765C297F" w:rsidP="09FEC9F9">
      <w:r>
        <w:t>To participate in this activity, it is assumed that students have a basic understanding of the following Stage 4 PDHPE content:</w:t>
      </w:r>
    </w:p>
    <w:p w14:paraId="3EDF285C" w14:textId="6EFDCD21" w:rsidR="43750416" w:rsidRDefault="000547F2" w:rsidP="09FEC9F9">
      <w:pPr>
        <w:pStyle w:val="ListBullet"/>
      </w:pPr>
      <w:r>
        <w:t>definitions of stereotypes and prejudice</w:t>
      </w:r>
    </w:p>
    <w:p w14:paraId="19B35DDC" w14:textId="1CE93DCA" w:rsidR="000547F2" w:rsidRDefault="000547F2" w:rsidP="09FEC9F9">
      <w:pPr>
        <w:pStyle w:val="ListBullet"/>
      </w:pPr>
      <w:r>
        <w:t>sources that create stereotypes</w:t>
      </w:r>
    </w:p>
    <w:p w14:paraId="3AF42F1F" w14:textId="371B0D97" w:rsidR="000547F2" w:rsidRDefault="000547F2" w:rsidP="09FEC9F9">
      <w:pPr>
        <w:pStyle w:val="ListBullet"/>
      </w:pPr>
      <w:r>
        <w:t>how stereotypes impact on personal identity</w:t>
      </w:r>
    </w:p>
    <w:p w14:paraId="7F429981" w14:textId="72E8870F" w:rsidR="006A2976" w:rsidRPr="006A2976" w:rsidRDefault="765C297F" w:rsidP="006A2976">
      <w:pPr>
        <w:pStyle w:val="Heading3"/>
      </w:pPr>
      <w:r>
        <w:lastRenderedPageBreak/>
        <w:t xml:space="preserve">Learning </w:t>
      </w:r>
      <w:r w:rsidR="2F7F39FF">
        <w:t>e</w:t>
      </w:r>
      <w:r>
        <w:t>xperiences</w:t>
      </w:r>
      <w:r w:rsidR="5FDFE44C">
        <w:t xml:space="preserve">, </w:t>
      </w:r>
      <w:r>
        <w:t xml:space="preserve">adaptations, </w:t>
      </w:r>
      <w:proofErr w:type="gramStart"/>
      <w:r>
        <w:t>changes</w:t>
      </w:r>
      <w:proofErr w:type="gramEnd"/>
      <w:r>
        <w:t xml:space="preserve"> or extensions</w:t>
      </w:r>
    </w:p>
    <w:p w14:paraId="198A2791" w14:textId="6CA71E59" w:rsidR="247E4129" w:rsidRDefault="247E4129" w:rsidP="09FEC9F9">
      <w:pPr>
        <w:pStyle w:val="Heading4"/>
      </w:pPr>
      <w:r>
        <w:t xml:space="preserve">Activity 1 – </w:t>
      </w:r>
      <w:r w:rsidR="0028610D">
        <w:t>Exploring unconscious bias</w:t>
      </w:r>
    </w:p>
    <w:p w14:paraId="3E9938A3" w14:textId="77777777" w:rsidR="0028610D" w:rsidRPr="008C27A0" w:rsidRDefault="0028610D" w:rsidP="0028610D">
      <w:pPr>
        <w:rPr>
          <w:rStyle w:val="DoEstrongemphasis2018"/>
          <w:rFonts w:cs="Arial"/>
          <w:b w:val="0"/>
          <w:szCs w:val="20"/>
        </w:rPr>
      </w:pPr>
      <w:r w:rsidRPr="008C27A0">
        <w:rPr>
          <w:rStyle w:val="DoEstrongemphasis2018"/>
          <w:rFonts w:cs="Arial"/>
          <w:b w:val="0"/>
          <w:szCs w:val="20"/>
        </w:rPr>
        <w:t>Use a scenario to explore unconscious bias. An example might be:</w:t>
      </w:r>
    </w:p>
    <w:p w14:paraId="171EAD38" w14:textId="77777777" w:rsidR="0028610D" w:rsidRDefault="0028610D" w:rsidP="0028610D">
      <w:pPr>
        <w:rPr>
          <w:rStyle w:val="DoEstrongemphasis2018"/>
          <w:rFonts w:cs="Arial"/>
          <w:szCs w:val="20"/>
        </w:rPr>
      </w:pPr>
      <w:r>
        <w:rPr>
          <w:rFonts w:cs="Arial"/>
          <w:color w:val="222222"/>
          <w:shd w:val="clear" w:color="auto" w:fill="FFFFFF"/>
        </w:rPr>
        <w:t xml:space="preserve">A father and son are in a car crash and are rushed to the hospital. The father dies. The boy is taken to the operating room and the surgeon says, “I can't operate on this boy, because </w:t>
      </w:r>
      <w:proofErr w:type="gramStart"/>
      <w:r>
        <w:rPr>
          <w:rFonts w:cs="Arial"/>
          <w:color w:val="222222"/>
          <w:shd w:val="clear" w:color="auto" w:fill="FFFFFF"/>
        </w:rPr>
        <w:t>he's</w:t>
      </w:r>
      <w:proofErr w:type="gramEnd"/>
      <w:r>
        <w:rPr>
          <w:rFonts w:cs="Arial"/>
          <w:color w:val="222222"/>
          <w:shd w:val="clear" w:color="auto" w:fill="FFFFFF"/>
        </w:rPr>
        <w:t xml:space="preserve"> my son.”</w:t>
      </w:r>
    </w:p>
    <w:p w14:paraId="0EE7F552" w14:textId="77777777" w:rsidR="0028610D" w:rsidRDefault="0028610D" w:rsidP="0028610D">
      <w:pPr>
        <w:rPr>
          <w:rStyle w:val="DoEstrongemphasis2018"/>
          <w:rFonts w:cs="Arial"/>
          <w:b w:val="0"/>
          <w:szCs w:val="20"/>
        </w:rPr>
      </w:pPr>
      <w:r>
        <w:rPr>
          <w:rStyle w:val="DoEstrongemphasis2018"/>
          <w:rFonts w:cs="Arial"/>
          <w:b w:val="0"/>
          <w:szCs w:val="20"/>
        </w:rPr>
        <w:t>As a class, discuss the scenario</w:t>
      </w:r>
    </w:p>
    <w:p w14:paraId="73BAF233" w14:textId="77777777" w:rsidR="0028610D" w:rsidRDefault="0028610D" w:rsidP="0028610D">
      <w:pPr>
        <w:pStyle w:val="ListBullet"/>
        <w:numPr>
          <w:ilvl w:val="0"/>
          <w:numId w:val="5"/>
        </w:numPr>
        <w:rPr>
          <w:rStyle w:val="DoEstrongemphasis2018"/>
          <w:rFonts w:cs="Arial"/>
          <w:b w:val="0"/>
          <w:szCs w:val="20"/>
        </w:rPr>
      </w:pPr>
      <w:r w:rsidRPr="2E8A4DCE">
        <w:rPr>
          <w:rStyle w:val="DoEstrongemphasis2018"/>
          <w:rFonts w:cs="Arial"/>
          <w:b w:val="0"/>
        </w:rPr>
        <w:t>What assumptions are made about people in the scenario?</w:t>
      </w:r>
    </w:p>
    <w:p w14:paraId="65EA7D32" w14:textId="77777777" w:rsidR="0028610D" w:rsidRDefault="0028610D" w:rsidP="0028610D">
      <w:pPr>
        <w:pStyle w:val="ListBullet"/>
        <w:numPr>
          <w:ilvl w:val="0"/>
          <w:numId w:val="5"/>
        </w:numPr>
        <w:rPr>
          <w:rStyle w:val="DoEstrongemphasis2018"/>
          <w:rFonts w:cs="Arial"/>
          <w:b w:val="0"/>
          <w:szCs w:val="20"/>
        </w:rPr>
      </w:pPr>
      <w:r w:rsidRPr="2E8A4DCE">
        <w:rPr>
          <w:rStyle w:val="DoEstrongemphasis2018"/>
          <w:rFonts w:cs="Arial"/>
          <w:b w:val="0"/>
        </w:rPr>
        <w:t>Where do our assumptions come from?</w:t>
      </w:r>
    </w:p>
    <w:p w14:paraId="6FD1CBF1" w14:textId="77777777" w:rsidR="0028610D" w:rsidRPr="006A4938" w:rsidRDefault="0028610D" w:rsidP="0028610D">
      <w:pPr>
        <w:pStyle w:val="ListBullet"/>
        <w:numPr>
          <w:ilvl w:val="0"/>
          <w:numId w:val="5"/>
        </w:numPr>
        <w:rPr>
          <w:rStyle w:val="DoEstrongemphasis2018"/>
          <w:rFonts w:cs="Arial"/>
          <w:b w:val="0"/>
          <w:szCs w:val="20"/>
        </w:rPr>
      </w:pPr>
      <w:r w:rsidRPr="2E8A4DCE">
        <w:rPr>
          <w:rStyle w:val="DoEstrongemphasis2018"/>
          <w:rFonts w:cs="Arial"/>
          <w:b w:val="0"/>
        </w:rPr>
        <w:t>Record other assumptions which made in relation to occupations. Save for later discussion.</w:t>
      </w:r>
    </w:p>
    <w:p w14:paraId="5F876FC4" w14:textId="716F5CEF" w:rsidR="7A8C503F" w:rsidRPr="0028610D" w:rsidRDefault="7A8C503F" w:rsidP="09FEC9F9">
      <w:pPr>
        <w:pStyle w:val="FeatureBox2"/>
        <w:rPr>
          <w:b/>
        </w:rPr>
      </w:pPr>
      <w:r w:rsidRPr="09FEC9F9">
        <w:rPr>
          <w:b/>
          <w:bCs/>
        </w:rPr>
        <w:t xml:space="preserve">Teacher </w:t>
      </w:r>
      <w:r w:rsidR="5B501E19" w:rsidRPr="09FEC9F9">
        <w:rPr>
          <w:b/>
          <w:bCs/>
        </w:rPr>
        <w:t>n</w:t>
      </w:r>
      <w:r w:rsidRPr="09FEC9F9">
        <w:rPr>
          <w:b/>
          <w:bCs/>
        </w:rPr>
        <w:t>otes</w:t>
      </w:r>
      <w:r w:rsidRPr="09FEC9F9">
        <w:t xml:space="preserve">: </w:t>
      </w:r>
      <w:r w:rsidR="0028610D" w:rsidRPr="4B2A0971">
        <w:rPr>
          <w:rStyle w:val="DoEstrongemphasis2018"/>
          <w:b w:val="0"/>
        </w:rPr>
        <w:t>Most people cannot solve this riddle because they are unable to imagine the surgeon is a woman. The surgeon is the boy’s mother. This is an example of the unconscious bias that can exist in the minds of people when it comes to women in medicine. This can be discussed further in relation to women in trades or men working in childcare or arts sectors.</w:t>
      </w:r>
    </w:p>
    <w:p w14:paraId="79B47A37" w14:textId="19BDB3CB" w:rsidR="3E21AE54" w:rsidRDefault="3E21AE54" w:rsidP="09FEC9F9">
      <w:pPr>
        <w:pStyle w:val="Heading4"/>
      </w:pPr>
      <w:r w:rsidRPr="09FEC9F9">
        <w:t xml:space="preserve">Activity </w:t>
      </w:r>
      <w:r w:rsidR="33BD99D9" w:rsidRPr="09FEC9F9">
        <w:t xml:space="preserve">2 – </w:t>
      </w:r>
      <w:r w:rsidR="0028610D">
        <w:t>Gender stereotypes in the workforce</w:t>
      </w:r>
    </w:p>
    <w:p w14:paraId="38FC04AC" w14:textId="4993F7B0" w:rsidR="0028610D" w:rsidRDefault="0028610D" w:rsidP="200B9509">
      <w:pPr>
        <w:rPr>
          <w:rStyle w:val="DoEstrongemphasis2018"/>
          <w:rFonts w:cs="Arial"/>
          <w:b w:val="0"/>
        </w:rPr>
      </w:pPr>
      <w:r w:rsidRPr="200B9509">
        <w:rPr>
          <w:rStyle w:val="DoEstrongemphasis2018"/>
          <w:rFonts w:cs="Arial"/>
          <w:b w:val="0"/>
        </w:rPr>
        <w:t xml:space="preserve">Watch </w:t>
      </w:r>
      <w:hyperlink r:id="rId12">
        <w:r w:rsidRPr="200B9509">
          <w:rPr>
            <w:rStyle w:val="Hyperlink"/>
            <w:rFonts w:cs="Arial"/>
            <w:sz w:val="22"/>
            <w:szCs w:val="22"/>
          </w:rPr>
          <w:t>‘Redraw the balance’</w:t>
        </w:r>
      </w:hyperlink>
      <w:r w:rsidRPr="200B9509">
        <w:rPr>
          <w:rStyle w:val="DoEstrongemphasis2018"/>
          <w:rFonts w:cs="Arial"/>
          <w:b w:val="0"/>
        </w:rPr>
        <w:t xml:space="preserve"> (2 minutes)</w:t>
      </w:r>
      <w:r w:rsidR="00083518">
        <w:rPr>
          <w:rStyle w:val="DoEstrongemphasis2018"/>
          <w:rFonts w:cs="Arial"/>
          <w:b w:val="0"/>
        </w:rPr>
        <w:t xml:space="preserve"> </w:t>
      </w:r>
    </w:p>
    <w:p w14:paraId="7A6FDFF2" w14:textId="46CC6825" w:rsidR="0028610D" w:rsidRPr="00343CBB" w:rsidRDefault="0028610D" w:rsidP="0028610D">
      <w:pPr>
        <w:rPr>
          <w:rStyle w:val="DoEstrongemphasis2018"/>
          <w:rFonts w:cs="Arial"/>
          <w:b w:val="0"/>
          <w:szCs w:val="20"/>
        </w:rPr>
      </w:pPr>
      <w:r>
        <w:rPr>
          <w:rStyle w:val="DoEstrongemphasis2018"/>
          <w:rFonts w:cs="Arial"/>
          <w:b w:val="0"/>
          <w:szCs w:val="20"/>
        </w:rPr>
        <w:t>After the clip, ask students:</w:t>
      </w:r>
    </w:p>
    <w:p w14:paraId="30EF3B21" w14:textId="77777777" w:rsidR="0028610D" w:rsidRDefault="0028610D" w:rsidP="004A249E">
      <w:pPr>
        <w:pStyle w:val="ListBullet"/>
      </w:pPr>
      <w:r>
        <w:t>Why were the young students surprised when the workers revealed who they were?</w:t>
      </w:r>
    </w:p>
    <w:p w14:paraId="64BC3056" w14:textId="77777777" w:rsidR="0028610D" w:rsidRDefault="0028610D" w:rsidP="004A249E">
      <w:pPr>
        <w:pStyle w:val="ListBullet"/>
      </w:pPr>
      <w:r>
        <w:t>At what age do you think children fix their idea on careers?</w:t>
      </w:r>
    </w:p>
    <w:p w14:paraId="22973ACC" w14:textId="77777777" w:rsidR="0028610D" w:rsidRDefault="0028610D" w:rsidP="004A249E">
      <w:pPr>
        <w:pStyle w:val="ListBullet"/>
      </w:pPr>
      <w:r>
        <w:t>Are there jobs that are traditionally filled by men or women? Share the list you created in the previous activity.</w:t>
      </w:r>
    </w:p>
    <w:p w14:paraId="1EB758A3" w14:textId="77777777" w:rsidR="0028610D" w:rsidRDefault="0028610D" w:rsidP="004A249E">
      <w:pPr>
        <w:pStyle w:val="ListBullet"/>
      </w:pPr>
      <w:r>
        <w:t>To what extent do you think this perception of traditional jobs for genders is changing? What is causing this change? What is hindering this change?</w:t>
      </w:r>
    </w:p>
    <w:p w14:paraId="7AD0255A" w14:textId="2A358D77" w:rsidR="0028610D" w:rsidRDefault="0028610D" w:rsidP="004A249E">
      <w:pPr>
        <w:pStyle w:val="ListBullet"/>
      </w:pPr>
      <w:r>
        <w:t xml:space="preserve">What </w:t>
      </w:r>
      <w:r w:rsidR="008768CC">
        <w:t>can you do</w:t>
      </w:r>
      <w:r>
        <w:t xml:space="preserve"> as an individual</w:t>
      </w:r>
      <w:r w:rsidR="008768CC">
        <w:t>,</w:t>
      </w:r>
      <w:r>
        <w:t xml:space="preserve"> to change and challenge traditional </w:t>
      </w:r>
      <w:r w:rsidR="008768CC">
        <w:t>stereotypes of gender roles</w:t>
      </w:r>
      <w:r>
        <w:t xml:space="preserve"> in the workplace?</w:t>
      </w:r>
    </w:p>
    <w:p w14:paraId="526D0252" w14:textId="77777777" w:rsidR="0028610D" w:rsidRDefault="26ACECBB" w:rsidP="0028610D">
      <w:pPr>
        <w:pStyle w:val="FeatureBox2"/>
      </w:pPr>
      <w:r w:rsidRPr="09FEC9F9">
        <w:rPr>
          <w:b/>
          <w:bCs/>
        </w:rPr>
        <w:lastRenderedPageBreak/>
        <w:t xml:space="preserve">Teacher </w:t>
      </w:r>
      <w:r w:rsidR="0DB94AB8" w:rsidRPr="09FEC9F9">
        <w:rPr>
          <w:b/>
          <w:bCs/>
        </w:rPr>
        <w:t>n</w:t>
      </w:r>
      <w:r w:rsidRPr="09FEC9F9">
        <w:rPr>
          <w:b/>
          <w:bCs/>
        </w:rPr>
        <w:t>otes</w:t>
      </w:r>
      <w:r w:rsidRPr="09FEC9F9">
        <w:t xml:space="preserve">:  </w:t>
      </w:r>
      <w:r w:rsidR="0028610D">
        <w:t>Gender stereotypes are defined between 5 and 7 years of age. Discuss with students why this might occur. For example, think about the language we use for job roles, ‘fireman’.</w:t>
      </w:r>
    </w:p>
    <w:p w14:paraId="241CD472" w14:textId="2E65123B" w:rsidR="26ACECBB" w:rsidRPr="0028610D" w:rsidRDefault="0028610D" w:rsidP="09FEC9F9">
      <w:pPr>
        <w:pStyle w:val="FeatureBox2"/>
      </w:pPr>
      <w:r>
        <w:t xml:space="preserve">Workplace gender equality is achieved when people can access and enjoy the same rewards, resources, and opportunities regardless of gender. (Source </w:t>
      </w:r>
      <w:hyperlink r:id="rId13">
        <w:r w:rsidRPr="4B2A0971">
          <w:rPr>
            <w:rStyle w:val="Hyperlink"/>
            <w:sz w:val="22"/>
            <w:szCs w:val="22"/>
          </w:rPr>
          <w:t>Australian Government, Workplace Gender Equality Agency</w:t>
        </w:r>
      </w:hyperlink>
      <w:r>
        <w:t>)</w:t>
      </w:r>
    </w:p>
    <w:p w14:paraId="659AEDBD" w14:textId="41D96CDA" w:rsidR="26ACECBB" w:rsidRDefault="26ACECBB" w:rsidP="09FEC9F9">
      <w:pPr>
        <w:pStyle w:val="Heading4"/>
      </w:pPr>
      <w:r w:rsidRPr="09FEC9F9">
        <w:t>Activity 3</w:t>
      </w:r>
      <w:r w:rsidR="3456A3BF" w:rsidRPr="09FEC9F9">
        <w:t xml:space="preserve"> </w:t>
      </w:r>
      <w:r w:rsidR="0005127B">
        <w:t>–</w:t>
      </w:r>
      <w:r w:rsidR="3456A3BF" w:rsidRPr="09FEC9F9">
        <w:t xml:space="preserve"> </w:t>
      </w:r>
      <w:r w:rsidR="0005127B">
        <w:t>Exploring career choices</w:t>
      </w:r>
    </w:p>
    <w:p w14:paraId="0F053CCB" w14:textId="72A264BB" w:rsidR="0005127B" w:rsidRDefault="082B1BBE" w:rsidP="09FEC9F9">
      <w:pPr>
        <w:rPr>
          <w:rFonts w:eastAsia="Calibri"/>
        </w:rPr>
      </w:pPr>
      <w:r w:rsidRPr="200B9509">
        <w:rPr>
          <w:rFonts w:eastAsia="Calibri"/>
        </w:rPr>
        <w:t>Students</w:t>
      </w:r>
      <w:r w:rsidR="001E17F4" w:rsidRPr="200B9509">
        <w:rPr>
          <w:rFonts w:eastAsia="Calibri"/>
        </w:rPr>
        <w:t xml:space="preserve"> respond to one of the question</w:t>
      </w:r>
      <w:r w:rsidR="00FE442E" w:rsidRPr="200B9509">
        <w:rPr>
          <w:rFonts w:eastAsia="Calibri"/>
        </w:rPr>
        <w:t>s</w:t>
      </w:r>
      <w:r w:rsidR="00083518">
        <w:rPr>
          <w:rFonts w:eastAsia="Calibri"/>
        </w:rPr>
        <w:t xml:space="preserve"> below</w:t>
      </w:r>
      <w:r w:rsidR="001E17F4" w:rsidRPr="200B9509">
        <w:rPr>
          <w:rFonts w:eastAsia="Calibri"/>
        </w:rPr>
        <w:t>. S</w:t>
      </w:r>
      <w:r w:rsidRPr="200B9509">
        <w:rPr>
          <w:rFonts w:eastAsia="Calibri"/>
        </w:rPr>
        <w:t xml:space="preserve">elect an occupation </w:t>
      </w:r>
      <w:r w:rsidR="14A4145E" w:rsidRPr="200B9509">
        <w:rPr>
          <w:rFonts w:eastAsia="Calibri"/>
        </w:rPr>
        <w:t>for further exploration</w:t>
      </w:r>
      <w:r w:rsidR="001E17F4" w:rsidRPr="200B9509">
        <w:rPr>
          <w:rFonts w:eastAsia="Calibri"/>
        </w:rPr>
        <w:t xml:space="preserve"> to support the response</w:t>
      </w:r>
      <w:r w:rsidR="00FE442E" w:rsidRPr="200B9509">
        <w:rPr>
          <w:rFonts w:eastAsia="Calibri"/>
        </w:rPr>
        <w:t xml:space="preserve">. </w:t>
      </w:r>
      <w:r w:rsidRPr="200B9509">
        <w:rPr>
          <w:rFonts w:eastAsia="Calibri"/>
        </w:rPr>
        <w:t xml:space="preserve"> </w:t>
      </w:r>
      <w:r w:rsidR="00FE442E" w:rsidRPr="200B9509">
        <w:rPr>
          <w:rFonts w:eastAsia="Calibri"/>
        </w:rPr>
        <w:t>A</w:t>
      </w:r>
      <w:r w:rsidR="0005127B" w:rsidRPr="200B9509">
        <w:rPr>
          <w:rFonts w:eastAsia="Calibri"/>
        </w:rPr>
        <w:t xml:space="preserve"> collaborative learning approach</w:t>
      </w:r>
      <w:r w:rsidR="00FE442E" w:rsidRPr="200B9509">
        <w:rPr>
          <w:rFonts w:eastAsia="Calibri"/>
        </w:rPr>
        <w:t xml:space="preserve"> may be used to complete this task.</w:t>
      </w:r>
      <w:r w:rsidR="0005127B" w:rsidRPr="200B9509">
        <w:rPr>
          <w:rFonts w:eastAsia="Calibri"/>
        </w:rPr>
        <w:t xml:space="preserve"> </w:t>
      </w:r>
      <w:proofErr w:type="gramStart"/>
      <w:r w:rsidR="00BC7B18" w:rsidRPr="200B9509">
        <w:rPr>
          <w:rFonts w:eastAsia="Calibri"/>
        </w:rPr>
        <w:t>E</w:t>
      </w:r>
      <w:r w:rsidR="00BC7B18">
        <w:rPr>
          <w:rFonts w:eastAsia="Calibri"/>
        </w:rPr>
        <w:t>.</w:t>
      </w:r>
      <w:r w:rsidR="0005127B" w:rsidRPr="200B9509">
        <w:rPr>
          <w:rFonts w:eastAsia="Calibri"/>
        </w:rPr>
        <w:t>g</w:t>
      </w:r>
      <w:r w:rsidR="00BC7B18">
        <w:rPr>
          <w:rFonts w:eastAsia="Calibri"/>
        </w:rPr>
        <w:t>.</w:t>
      </w:r>
      <w:proofErr w:type="gramEnd"/>
      <w:r w:rsidR="0005127B" w:rsidRPr="200B9509">
        <w:rPr>
          <w:rFonts w:eastAsia="Calibri"/>
        </w:rPr>
        <w:t xml:space="preserve"> S</w:t>
      </w:r>
      <w:r w:rsidR="00D33617">
        <w:rPr>
          <w:rFonts w:eastAsia="Calibri"/>
        </w:rPr>
        <w:t>elf-organised learning environment, S</w:t>
      </w:r>
      <w:r w:rsidR="0005127B" w:rsidRPr="200B9509">
        <w:rPr>
          <w:rFonts w:eastAsia="Calibri"/>
        </w:rPr>
        <w:t>OLE</w:t>
      </w:r>
    </w:p>
    <w:p w14:paraId="13BD20A9" w14:textId="48A3B0B8" w:rsidR="082B1BBE" w:rsidRDefault="0005127B" w:rsidP="09FEC9F9">
      <w:pPr>
        <w:rPr>
          <w:rFonts w:eastAsia="Calibri"/>
        </w:rPr>
      </w:pPr>
      <w:r>
        <w:rPr>
          <w:rFonts w:eastAsia="Calibri"/>
        </w:rPr>
        <w:t xml:space="preserve">Select </w:t>
      </w:r>
      <w:r w:rsidR="001E17F4">
        <w:rPr>
          <w:rFonts w:eastAsia="Calibri"/>
        </w:rPr>
        <w:t xml:space="preserve">from </w:t>
      </w:r>
      <w:r>
        <w:rPr>
          <w:rFonts w:eastAsia="Calibri"/>
        </w:rPr>
        <w:t>one of the question options:</w:t>
      </w:r>
    </w:p>
    <w:p w14:paraId="0D66E6C4" w14:textId="7E3B7068" w:rsidR="0005127B" w:rsidRPr="001E17F4" w:rsidRDefault="0005127B" w:rsidP="001E17F4">
      <w:pPr>
        <w:pStyle w:val="ListParagraph"/>
        <w:numPr>
          <w:ilvl w:val="0"/>
          <w:numId w:val="44"/>
        </w:numPr>
        <w:rPr>
          <w:rFonts w:eastAsia="Calibri"/>
        </w:rPr>
      </w:pPr>
      <w:r w:rsidRPr="2E8A4DCE">
        <w:rPr>
          <w:rFonts w:eastAsia="Calibri"/>
        </w:rPr>
        <w:t>How can I choose the career I want when society tells me otherwise?</w:t>
      </w:r>
    </w:p>
    <w:p w14:paraId="49544323" w14:textId="2996DE68" w:rsidR="0005127B" w:rsidRDefault="0005127B" w:rsidP="001E17F4">
      <w:pPr>
        <w:pStyle w:val="ListParagraph"/>
        <w:numPr>
          <w:ilvl w:val="0"/>
          <w:numId w:val="44"/>
        </w:numPr>
        <w:rPr>
          <w:rFonts w:eastAsia="Calibri"/>
        </w:rPr>
      </w:pPr>
      <w:r w:rsidRPr="2E8A4DCE">
        <w:rPr>
          <w:rFonts w:eastAsia="Calibri"/>
        </w:rPr>
        <w:t>Respond to the statement: There are no limits to the career I choose.</w:t>
      </w:r>
    </w:p>
    <w:p w14:paraId="1BDEF721" w14:textId="5A3AF26F" w:rsidR="001E17F4" w:rsidRPr="001E17F4" w:rsidRDefault="001E17F4" w:rsidP="001E17F4">
      <w:pPr>
        <w:rPr>
          <w:rFonts w:eastAsia="Calibri"/>
        </w:rPr>
      </w:pPr>
    </w:p>
    <w:p w14:paraId="213AEA4B" w14:textId="05ECF188" w:rsidR="0005127B" w:rsidRPr="00532DC2" w:rsidRDefault="6132825B" w:rsidP="0005127B">
      <w:pPr>
        <w:pStyle w:val="FeatureBox2"/>
      </w:pPr>
      <w:r w:rsidRPr="09FEC9F9">
        <w:rPr>
          <w:b/>
          <w:bCs/>
        </w:rPr>
        <w:t>Teacher notes</w:t>
      </w:r>
      <w:r w:rsidRPr="09FEC9F9">
        <w:t>:</w:t>
      </w:r>
      <w:r w:rsidR="0005127B">
        <w:t xml:space="preserve"> The last census shows that of the top 30 jobs in Australia, all but a handful were skewed more than 75 percent towards one gender or the other. (</w:t>
      </w:r>
      <w:hyperlink r:id="rId14" w:history="1">
        <w:r w:rsidR="0005127B" w:rsidRPr="00451D53">
          <w:rPr>
            <w:rStyle w:val="Hyperlink"/>
            <w:sz w:val="22"/>
          </w:rPr>
          <w:t xml:space="preserve">The </w:t>
        </w:r>
        <w:proofErr w:type="gramStart"/>
        <w:r w:rsidR="0005127B" w:rsidRPr="00451D53">
          <w:rPr>
            <w:rStyle w:val="Hyperlink"/>
            <w:sz w:val="22"/>
          </w:rPr>
          <w:t>most manly</w:t>
        </w:r>
        <w:proofErr w:type="gramEnd"/>
        <w:r w:rsidR="0005127B" w:rsidRPr="00451D53">
          <w:rPr>
            <w:rStyle w:val="Hyperlink"/>
            <w:sz w:val="22"/>
          </w:rPr>
          <w:t xml:space="preserve"> (and womanly) jobs in Australia</w:t>
        </w:r>
      </w:hyperlink>
      <w:r w:rsidR="0005127B">
        <w:rPr>
          <w:rStyle w:val="Hyperlink"/>
          <w:sz w:val="22"/>
        </w:rPr>
        <w:t>)</w:t>
      </w:r>
    </w:p>
    <w:p w14:paraId="6C3B090C" w14:textId="77777777" w:rsidR="0005127B" w:rsidRDefault="0005127B" w:rsidP="0005127B">
      <w:pPr>
        <w:pStyle w:val="FeatureBox2"/>
      </w:pPr>
      <w:r>
        <w:t xml:space="preserve">Students explore gender and occupation choice such as women in STEM, men in nursing, jobs of the future. Resources to access include but are not limited to: </w:t>
      </w:r>
    </w:p>
    <w:p w14:paraId="2FD70E57" w14:textId="340D396C" w:rsidR="0005127B" w:rsidRPr="00A30C7E" w:rsidRDefault="00A30C7E" w:rsidP="0005127B">
      <w:pPr>
        <w:pStyle w:val="FeatureBox2"/>
        <w:rPr>
          <w:rStyle w:val="Hyperlink"/>
        </w:rPr>
      </w:pPr>
      <w:r>
        <w:rPr>
          <w:sz w:val="22"/>
        </w:rPr>
        <w:fldChar w:fldCharType="begin"/>
      </w:r>
      <w:r>
        <w:rPr>
          <w:sz w:val="22"/>
        </w:rPr>
        <w:instrText xml:space="preserve"> HYPERLINK "https://www.nationalskillscommission.gov.au/publications/australian-jobs-2021" </w:instrText>
      </w:r>
      <w:r>
        <w:rPr>
          <w:sz w:val="22"/>
        </w:rPr>
        <w:fldChar w:fldCharType="separate"/>
      </w:r>
      <w:r w:rsidR="0005127B" w:rsidRPr="00A30C7E">
        <w:rPr>
          <w:rStyle w:val="Hyperlink"/>
          <w:sz w:val="22"/>
        </w:rPr>
        <w:t>Australian jobs overview</w:t>
      </w:r>
      <w:r w:rsidR="0005127B" w:rsidRPr="00A30C7E">
        <w:rPr>
          <w:rStyle w:val="Hyperlink"/>
        </w:rPr>
        <w:t xml:space="preserve"> </w:t>
      </w:r>
    </w:p>
    <w:p w14:paraId="684DF88B" w14:textId="7B5E8D1D" w:rsidR="0005127B" w:rsidRDefault="00A30C7E" w:rsidP="0005127B">
      <w:pPr>
        <w:pStyle w:val="FeatureBox2"/>
      </w:pPr>
      <w:r>
        <w:rPr>
          <w:sz w:val="22"/>
        </w:rPr>
        <w:fldChar w:fldCharType="end"/>
      </w:r>
      <w:hyperlink r:id="rId15" w:history="1">
        <w:proofErr w:type="spellStart"/>
        <w:r w:rsidR="0005127B" w:rsidRPr="00F83229">
          <w:rPr>
            <w:rStyle w:val="Hyperlink"/>
            <w:sz w:val="22"/>
          </w:rPr>
          <w:t>Skillsone</w:t>
        </w:r>
        <w:proofErr w:type="spellEnd"/>
      </w:hyperlink>
    </w:p>
    <w:p w14:paraId="1244DDA4" w14:textId="77777777" w:rsidR="0005127B" w:rsidRDefault="004902A4" w:rsidP="0005127B">
      <w:pPr>
        <w:pStyle w:val="FeatureBox2"/>
      </w:pPr>
      <w:hyperlink r:id="rId16" w:history="1">
        <w:proofErr w:type="spellStart"/>
        <w:r w:rsidR="0005127B" w:rsidRPr="00F83229">
          <w:rPr>
            <w:rStyle w:val="Hyperlink"/>
            <w:sz w:val="22"/>
          </w:rPr>
          <w:t>myfuture</w:t>
        </w:r>
        <w:proofErr w:type="spellEnd"/>
      </w:hyperlink>
    </w:p>
    <w:p w14:paraId="76F79AB1" w14:textId="77777777" w:rsidR="0005127B" w:rsidRDefault="004902A4" w:rsidP="0005127B">
      <w:pPr>
        <w:pStyle w:val="FeatureBox2"/>
      </w:pPr>
      <w:hyperlink r:id="rId17" w:history="1">
        <w:proofErr w:type="spellStart"/>
        <w:r w:rsidR="0005127B" w:rsidRPr="00C3247A">
          <w:rPr>
            <w:rStyle w:val="Hyperlink"/>
            <w:sz w:val="22"/>
          </w:rPr>
          <w:t>JobOutlook</w:t>
        </w:r>
        <w:proofErr w:type="spellEnd"/>
      </w:hyperlink>
      <w:r w:rsidR="0005127B">
        <w:t xml:space="preserve"> </w:t>
      </w:r>
    </w:p>
    <w:p w14:paraId="13F66866" w14:textId="77777777" w:rsidR="0005127B" w:rsidRDefault="004902A4" w:rsidP="0005127B">
      <w:pPr>
        <w:pStyle w:val="FeatureBox2"/>
      </w:pPr>
      <w:hyperlink r:id="rId18" w:history="1">
        <w:r w:rsidR="0005127B" w:rsidRPr="00C3247A">
          <w:rPr>
            <w:rStyle w:val="Hyperlink"/>
            <w:sz w:val="22"/>
          </w:rPr>
          <w:t>Careers with STEM</w:t>
        </w:r>
      </w:hyperlink>
    </w:p>
    <w:p w14:paraId="6F0FBA56" w14:textId="77777777" w:rsidR="0005127B" w:rsidRDefault="004902A4" w:rsidP="0005127B">
      <w:pPr>
        <w:pStyle w:val="FeatureBox2"/>
      </w:pPr>
      <w:hyperlink r:id="rId19" w:history="1">
        <w:r w:rsidR="0005127B" w:rsidRPr="004951E8">
          <w:rPr>
            <w:rStyle w:val="Hyperlink"/>
            <w:sz w:val="22"/>
          </w:rPr>
          <w:t>Women in Policing</w:t>
        </w:r>
      </w:hyperlink>
    </w:p>
    <w:p w14:paraId="496C78AB" w14:textId="77777777" w:rsidR="0005127B" w:rsidRDefault="004902A4" w:rsidP="0005127B">
      <w:pPr>
        <w:pStyle w:val="FeatureBox2"/>
      </w:pPr>
      <w:hyperlink r:id="rId20" w:history="1">
        <w:r w:rsidR="0005127B" w:rsidRPr="004951E8">
          <w:rPr>
            <w:rStyle w:val="Hyperlink"/>
            <w:sz w:val="22"/>
          </w:rPr>
          <w:t>Women in Defence</w:t>
        </w:r>
      </w:hyperlink>
    </w:p>
    <w:p w14:paraId="67268A8A" w14:textId="5DD5498C" w:rsidR="6132825B" w:rsidRPr="0005127B" w:rsidRDefault="004902A4" w:rsidP="09FEC9F9">
      <w:pPr>
        <w:pStyle w:val="FeatureBox2"/>
      </w:pPr>
      <w:hyperlink r:id="rId21" w:history="1">
        <w:r w:rsidR="0005127B" w:rsidRPr="00451D53">
          <w:rPr>
            <w:rStyle w:val="Hyperlink"/>
            <w:sz w:val="22"/>
          </w:rPr>
          <w:t>Occupation by gender</w:t>
        </w:r>
      </w:hyperlink>
      <w:r w:rsidR="00CB36AC">
        <w:rPr>
          <w:rStyle w:val="Hyperlink"/>
          <w:sz w:val="22"/>
          <w:u w:val="none"/>
        </w:rPr>
        <w:t xml:space="preserve"> </w:t>
      </w:r>
      <w:r w:rsidR="0005127B">
        <w:t>(UK) report</w:t>
      </w:r>
    </w:p>
    <w:p w14:paraId="2ED883D1" w14:textId="6D5B1D94" w:rsidR="0005127B" w:rsidRDefault="0005127B">
      <w:pPr>
        <w:rPr>
          <w:rFonts w:eastAsia="SimSun" w:cs="Arial"/>
          <w:color w:val="1C438B"/>
          <w:sz w:val="40"/>
          <w:szCs w:val="40"/>
          <w:lang w:eastAsia="zh-CN"/>
        </w:rPr>
      </w:pPr>
      <w:r>
        <w:br w:type="page"/>
      </w:r>
    </w:p>
    <w:p w14:paraId="27FCE263" w14:textId="77777777" w:rsidR="0005127B" w:rsidRDefault="0005127B" w:rsidP="0005127B">
      <w:pPr>
        <w:pStyle w:val="Heading4"/>
      </w:pPr>
      <w:r>
        <w:lastRenderedPageBreak/>
        <w:t>Setting up your self-organised learning environment (SOLE)</w:t>
      </w:r>
    </w:p>
    <w:p w14:paraId="2B85BA85" w14:textId="77777777" w:rsidR="0005127B" w:rsidRPr="00007476" w:rsidRDefault="0005127B" w:rsidP="0005127B">
      <w:pPr>
        <w:pStyle w:val="IOSList1bullet2017"/>
        <w:numPr>
          <w:ilvl w:val="0"/>
          <w:numId w:val="5"/>
        </w:numPr>
        <w:tabs>
          <w:tab w:val="clear" w:pos="652"/>
        </w:tabs>
        <w:ind w:left="720" w:hanging="360"/>
        <w:rPr>
          <w:lang w:val="en-US" w:eastAsia="en-US"/>
        </w:rPr>
      </w:pPr>
      <w:r w:rsidRPr="2E8A4DCE">
        <w:rPr>
          <w:lang w:val="en-US" w:eastAsia="en-US"/>
        </w:rPr>
        <w:t>Provide students with an overview of the SOLE process.</w:t>
      </w:r>
    </w:p>
    <w:p w14:paraId="44514FE4" w14:textId="77777777" w:rsidR="0005127B" w:rsidRPr="00007476" w:rsidRDefault="0005127B" w:rsidP="0005127B">
      <w:pPr>
        <w:pStyle w:val="ListBullet2"/>
        <w:numPr>
          <w:ilvl w:val="1"/>
          <w:numId w:val="7"/>
        </w:numPr>
        <w:rPr>
          <w:lang w:val="en-US"/>
        </w:rPr>
      </w:pPr>
      <w:r w:rsidRPr="2E8A4DCE">
        <w:rPr>
          <w:lang w:val="en-US"/>
        </w:rPr>
        <w:t>Students will form groups of 4. Within these groups, allocate a helper.</w:t>
      </w:r>
    </w:p>
    <w:p w14:paraId="7E72B3EB" w14:textId="77777777" w:rsidR="0005127B" w:rsidRPr="00007476" w:rsidRDefault="0005127B" w:rsidP="0005127B">
      <w:pPr>
        <w:pStyle w:val="ListBullet2"/>
        <w:numPr>
          <w:ilvl w:val="1"/>
          <w:numId w:val="7"/>
        </w:numPr>
        <w:rPr>
          <w:lang w:val="en-US"/>
        </w:rPr>
      </w:pPr>
      <w:r w:rsidRPr="2E8A4DCE">
        <w:rPr>
          <w:lang w:val="en-US"/>
        </w:rPr>
        <w:t>Each group will have 1 computer per group (only), a whiteboard/butchers’ paper, markers.</w:t>
      </w:r>
    </w:p>
    <w:p w14:paraId="116D3343" w14:textId="77777777" w:rsidR="0005127B" w:rsidRPr="00007476" w:rsidRDefault="0005127B" w:rsidP="0005127B">
      <w:pPr>
        <w:pStyle w:val="ListBullet2"/>
        <w:numPr>
          <w:ilvl w:val="1"/>
          <w:numId w:val="7"/>
        </w:numPr>
        <w:rPr>
          <w:lang w:val="en-US"/>
        </w:rPr>
      </w:pPr>
      <w:r w:rsidRPr="2E8A4DCE">
        <w:rPr>
          <w:lang w:val="en-US"/>
        </w:rPr>
        <w:t>Students can go to other groups to ask questions or change groups at any times.</w:t>
      </w:r>
    </w:p>
    <w:p w14:paraId="2554529B" w14:textId="77777777" w:rsidR="0005127B" w:rsidRPr="00007476" w:rsidRDefault="0005127B" w:rsidP="0005127B">
      <w:pPr>
        <w:pStyle w:val="ListBullet2"/>
        <w:numPr>
          <w:ilvl w:val="1"/>
          <w:numId w:val="7"/>
        </w:numPr>
        <w:rPr>
          <w:lang w:val="en-US"/>
        </w:rPr>
      </w:pPr>
      <w:r w:rsidRPr="2E8A4DCE">
        <w:rPr>
          <w:lang w:val="en-US"/>
        </w:rPr>
        <w:t>Students can move about the classroom freely.</w:t>
      </w:r>
    </w:p>
    <w:p w14:paraId="2EF1BFCE" w14:textId="77777777" w:rsidR="0005127B" w:rsidRPr="00007476" w:rsidRDefault="0005127B" w:rsidP="0005127B">
      <w:pPr>
        <w:pStyle w:val="ListBullet2"/>
        <w:numPr>
          <w:ilvl w:val="1"/>
          <w:numId w:val="7"/>
        </w:numPr>
        <w:rPr>
          <w:lang w:val="en-US"/>
        </w:rPr>
      </w:pPr>
      <w:r w:rsidRPr="2E8A4DCE">
        <w:rPr>
          <w:lang w:val="en-US"/>
        </w:rPr>
        <w:t>At the end of the SOLE, students will have the opportunity to share what they discovered.</w:t>
      </w:r>
    </w:p>
    <w:p w14:paraId="0B57FDDB" w14:textId="77777777" w:rsidR="0005127B" w:rsidRPr="00007476" w:rsidRDefault="0005127B" w:rsidP="0005127B">
      <w:pPr>
        <w:pStyle w:val="IOSList1bullet2017"/>
        <w:numPr>
          <w:ilvl w:val="0"/>
          <w:numId w:val="5"/>
        </w:numPr>
        <w:tabs>
          <w:tab w:val="clear" w:pos="652"/>
        </w:tabs>
        <w:ind w:left="720" w:hanging="360"/>
        <w:rPr>
          <w:lang w:val="en-US" w:eastAsia="en-US"/>
        </w:rPr>
      </w:pPr>
      <w:r w:rsidRPr="2E8A4DCE">
        <w:rPr>
          <w:lang w:val="en-US" w:eastAsia="en-US"/>
        </w:rPr>
        <w:t xml:space="preserve">Decide how your students will present what they find. This could be butchers’ paper, </w:t>
      </w:r>
      <w:proofErr w:type="gramStart"/>
      <w:r w:rsidRPr="2E8A4DCE">
        <w:rPr>
          <w:lang w:val="en-US" w:eastAsia="en-US"/>
        </w:rPr>
        <w:t>whiteboards</w:t>
      </w:r>
      <w:proofErr w:type="gramEnd"/>
      <w:r w:rsidRPr="2E8A4DCE">
        <w:rPr>
          <w:lang w:val="en-US" w:eastAsia="en-US"/>
        </w:rPr>
        <w:t xml:space="preserve"> or electronic tools, for example PowerPoint or infographic.</w:t>
      </w:r>
    </w:p>
    <w:p w14:paraId="49B280FE" w14:textId="77777777" w:rsidR="0005127B" w:rsidRDefault="0005127B" w:rsidP="0005127B">
      <w:pPr>
        <w:pStyle w:val="IOSList1bullet2017"/>
        <w:numPr>
          <w:ilvl w:val="0"/>
          <w:numId w:val="5"/>
        </w:numPr>
        <w:tabs>
          <w:tab w:val="clear" w:pos="652"/>
        </w:tabs>
        <w:ind w:left="720" w:hanging="360"/>
        <w:rPr>
          <w:lang w:val="en-US" w:eastAsia="en-US"/>
        </w:rPr>
      </w:pPr>
      <w:r w:rsidRPr="2E8A4DCE">
        <w:rPr>
          <w:lang w:val="en-US" w:eastAsia="en-US"/>
        </w:rPr>
        <w:t>Explain to students:</w:t>
      </w:r>
    </w:p>
    <w:p w14:paraId="600B6038" w14:textId="77777777" w:rsidR="0005127B" w:rsidRDefault="0005127B" w:rsidP="0005127B">
      <w:pPr>
        <w:pStyle w:val="ListBullet2"/>
        <w:numPr>
          <w:ilvl w:val="1"/>
          <w:numId w:val="7"/>
        </w:numPr>
        <w:rPr>
          <w:lang w:val="en-US"/>
        </w:rPr>
      </w:pPr>
      <w:r w:rsidRPr="2E8A4DCE">
        <w:rPr>
          <w:lang w:val="en-US"/>
        </w:rPr>
        <w:t>they will have 40 minutes to investigate the question</w:t>
      </w:r>
    </w:p>
    <w:p w14:paraId="2F773D48" w14:textId="77777777" w:rsidR="0005127B" w:rsidRDefault="0005127B" w:rsidP="0005127B">
      <w:pPr>
        <w:pStyle w:val="ListBullet2"/>
        <w:numPr>
          <w:ilvl w:val="1"/>
          <w:numId w:val="7"/>
        </w:numPr>
        <w:rPr>
          <w:lang w:val="en-US"/>
        </w:rPr>
      </w:pPr>
      <w:r w:rsidRPr="2E8A4DCE">
        <w:rPr>
          <w:lang w:val="en-US"/>
        </w:rPr>
        <w:t>the helper is there to help problem solve and manage group dynamics</w:t>
      </w:r>
    </w:p>
    <w:p w14:paraId="0C76AD14" w14:textId="77777777" w:rsidR="0005127B" w:rsidRDefault="0005127B" w:rsidP="0005127B">
      <w:pPr>
        <w:pStyle w:val="ListBullet2"/>
        <w:numPr>
          <w:ilvl w:val="1"/>
          <w:numId w:val="7"/>
        </w:numPr>
        <w:rPr>
          <w:lang w:val="en-US"/>
        </w:rPr>
      </w:pPr>
      <w:r w:rsidRPr="2E8A4DCE">
        <w:rPr>
          <w:lang w:val="en-US"/>
        </w:rPr>
        <w:t>use other groups as resources as well</w:t>
      </w:r>
    </w:p>
    <w:p w14:paraId="3FDA9B67" w14:textId="77777777" w:rsidR="0005127B" w:rsidRDefault="0005127B" w:rsidP="0005127B">
      <w:pPr>
        <w:pStyle w:val="ListBullet2"/>
        <w:numPr>
          <w:ilvl w:val="1"/>
          <w:numId w:val="7"/>
        </w:numPr>
        <w:rPr>
          <w:lang w:val="en-US"/>
        </w:rPr>
      </w:pPr>
      <w:r w:rsidRPr="2E8A4DCE">
        <w:rPr>
          <w:lang w:val="en-US"/>
        </w:rPr>
        <w:t xml:space="preserve">at the end of the 40 </w:t>
      </w:r>
      <w:proofErr w:type="gramStart"/>
      <w:r w:rsidRPr="2E8A4DCE">
        <w:rPr>
          <w:lang w:val="en-US"/>
        </w:rPr>
        <w:t>minutes</w:t>
      </w:r>
      <w:proofErr w:type="gramEnd"/>
      <w:r w:rsidRPr="2E8A4DCE">
        <w:rPr>
          <w:lang w:val="en-US"/>
        </w:rPr>
        <w:t xml:space="preserve"> they will need to present their findings</w:t>
      </w:r>
    </w:p>
    <w:p w14:paraId="40888EAB" w14:textId="77777777" w:rsidR="0005127B" w:rsidRPr="00007476" w:rsidRDefault="0005127B" w:rsidP="0005127B">
      <w:pPr>
        <w:pStyle w:val="ListBullet2"/>
        <w:numPr>
          <w:ilvl w:val="1"/>
          <w:numId w:val="7"/>
        </w:numPr>
        <w:rPr>
          <w:lang w:val="en-US"/>
        </w:rPr>
      </w:pPr>
      <w:r w:rsidRPr="2E8A4DCE">
        <w:rPr>
          <w:lang w:val="en-US"/>
        </w:rPr>
        <w:t xml:space="preserve">they do not necessarily need to answer the question, but what they have discovered so far and conclusion they have drawn. </w:t>
      </w:r>
    </w:p>
    <w:p w14:paraId="51D5FE34" w14:textId="27D59118" w:rsidR="0005127B" w:rsidRPr="00007476" w:rsidRDefault="009105F6" w:rsidP="0005127B">
      <w:pPr>
        <w:pStyle w:val="IOSList1bullet2017"/>
        <w:numPr>
          <w:ilvl w:val="0"/>
          <w:numId w:val="5"/>
        </w:numPr>
        <w:tabs>
          <w:tab w:val="clear" w:pos="652"/>
        </w:tabs>
        <w:ind w:left="720" w:hanging="360"/>
        <w:rPr>
          <w:lang w:val="en-US" w:eastAsia="en-US"/>
        </w:rPr>
      </w:pPr>
      <w:r w:rsidRPr="2E8A4DCE">
        <w:rPr>
          <w:lang w:val="en-US" w:eastAsia="en-US"/>
        </w:rPr>
        <w:t>After</w:t>
      </w:r>
      <w:r w:rsidR="0005127B" w:rsidRPr="2E8A4DCE">
        <w:rPr>
          <w:lang w:val="en-US" w:eastAsia="en-US"/>
        </w:rPr>
        <w:t xml:space="preserve"> 40 minutes have the groups partner up and discuss their process and what they found. </w:t>
      </w:r>
    </w:p>
    <w:p w14:paraId="1985E0B1" w14:textId="77777777" w:rsidR="0005127B" w:rsidRPr="00007476" w:rsidRDefault="0005127B" w:rsidP="0005127B">
      <w:pPr>
        <w:pStyle w:val="IOSList1bullet2017"/>
        <w:numPr>
          <w:ilvl w:val="0"/>
          <w:numId w:val="5"/>
        </w:numPr>
        <w:tabs>
          <w:tab w:val="clear" w:pos="652"/>
        </w:tabs>
        <w:ind w:left="720" w:hanging="360"/>
        <w:rPr>
          <w:lang w:val="en-US" w:eastAsia="en-US"/>
        </w:rPr>
      </w:pPr>
      <w:r w:rsidRPr="2E8A4DCE">
        <w:rPr>
          <w:lang w:val="en-US" w:eastAsia="en-US"/>
        </w:rPr>
        <w:t>Discuss as a class what they found and what processes they would do differently in the future.</w:t>
      </w:r>
    </w:p>
    <w:p w14:paraId="4009AAEF" w14:textId="77777777" w:rsidR="0005127B" w:rsidRPr="00007476" w:rsidRDefault="0005127B" w:rsidP="0005127B">
      <w:pPr>
        <w:pStyle w:val="IOSbodytext2017"/>
        <w:rPr>
          <w:lang w:val="en-US" w:eastAsia="en-US"/>
        </w:rPr>
      </w:pPr>
      <w:r w:rsidRPr="4B2A0971">
        <w:rPr>
          <w:lang w:val="en-US" w:eastAsia="en-US"/>
        </w:rPr>
        <w:t xml:space="preserve">Teacher </w:t>
      </w:r>
      <w:proofErr w:type="gramStart"/>
      <w:r w:rsidRPr="4B2A0971">
        <w:rPr>
          <w:lang w:val="en-US" w:eastAsia="en-US"/>
        </w:rPr>
        <w:t>note</w:t>
      </w:r>
      <w:proofErr w:type="gramEnd"/>
      <w:r w:rsidRPr="4B2A0971">
        <w:rPr>
          <w:lang w:val="en-US" w:eastAsia="en-US"/>
        </w:rPr>
        <w:t xml:space="preserve">: If time allows, this activity could be done across two lessons, with the investigation going for the majority of the first lesson and the second lesson being the students presenting their discoveries and having more in-depth conversation about their findings. </w:t>
      </w:r>
    </w:p>
    <w:p w14:paraId="4DEF7B59" w14:textId="77777777" w:rsidR="0005127B" w:rsidRPr="00007476" w:rsidRDefault="0005127B" w:rsidP="0005127B">
      <w:pPr>
        <w:pStyle w:val="IOSbodytext2017"/>
        <w:rPr>
          <w:lang w:val="en-US" w:eastAsia="en-US"/>
        </w:rPr>
      </w:pPr>
      <w:r w:rsidRPr="00007476">
        <w:rPr>
          <w:lang w:val="en-US" w:eastAsia="en-US"/>
        </w:rPr>
        <w:t xml:space="preserve">Additional resources for SOLE: </w:t>
      </w:r>
    </w:p>
    <w:p w14:paraId="775BEE14" w14:textId="77777777" w:rsidR="0005127B" w:rsidRPr="00007476" w:rsidRDefault="004902A4" w:rsidP="0005127B">
      <w:pPr>
        <w:pStyle w:val="IOSList1bullet2017"/>
        <w:numPr>
          <w:ilvl w:val="0"/>
          <w:numId w:val="5"/>
        </w:numPr>
        <w:tabs>
          <w:tab w:val="clear" w:pos="652"/>
        </w:tabs>
        <w:ind w:left="720" w:hanging="360"/>
        <w:rPr>
          <w:lang w:val="en-US" w:eastAsia="en-US"/>
        </w:rPr>
      </w:pPr>
      <w:hyperlink r:id="rId22">
        <w:r w:rsidR="0005127B" w:rsidRPr="2E8A4DCE">
          <w:rPr>
            <w:rStyle w:val="Hyperlink"/>
            <w:lang w:val="en-US" w:eastAsia="en-US"/>
          </w:rPr>
          <w:t>soleaustralia.com/</w:t>
        </w:r>
      </w:hyperlink>
      <w:r w:rsidR="0005127B" w:rsidRPr="2E8A4DCE">
        <w:rPr>
          <w:lang w:val="en-US" w:eastAsia="en-US"/>
        </w:rPr>
        <w:t xml:space="preserve"> </w:t>
      </w:r>
    </w:p>
    <w:p w14:paraId="1CC972EC" w14:textId="77777777" w:rsidR="0005127B" w:rsidRDefault="004902A4" w:rsidP="0005127B">
      <w:pPr>
        <w:pStyle w:val="IOSList1bullet2017"/>
        <w:numPr>
          <w:ilvl w:val="0"/>
          <w:numId w:val="5"/>
        </w:numPr>
        <w:tabs>
          <w:tab w:val="clear" w:pos="652"/>
        </w:tabs>
        <w:ind w:left="720" w:hanging="360"/>
        <w:rPr>
          <w:lang w:val="en-US" w:eastAsia="en-US"/>
        </w:rPr>
      </w:pPr>
      <w:hyperlink r:id="rId23">
        <w:r w:rsidR="0005127B" w:rsidRPr="2E8A4DCE">
          <w:rPr>
            <w:rStyle w:val="Hyperlink"/>
            <w:sz w:val="22"/>
            <w:szCs w:val="22"/>
            <w:lang w:val="en-US" w:eastAsia="en-US"/>
          </w:rPr>
          <w:t>Run a SOLE session</w:t>
        </w:r>
      </w:hyperlink>
    </w:p>
    <w:p w14:paraId="5B8AA61C" w14:textId="77777777" w:rsidR="00972477" w:rsidRDefault="00972477" w:rsidP="006A2976">
      <w:pPr>
        <w:pStyle w:val="Heading3"/>
        <w:numPr>
          <w:ilvl w:val="2"/>
          <w:numId w:val="0"/>
        </w:numPr>
      </w:pPr>
    </w:p>
    <w:sectPr w:rsidR="00972477" w:rsidSect="008D2F02">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0890" w14:textId="77777777" w:rsidR="00A115D8" w:rsidRDefault="00A115D8">
      <w:r>
        <w:separator/>
      </w:r>
    </w:p>
    <w:p w14:paraId="30E0327D" w14:textId="77777777" w:rsidR="00A115D8" w:rsidRDefault="00A115D8"/>
  </w:endnote>
  <w:endnote w:type="continuationSeparator" w:id="0">
    <w:p w14:paraId="54BF188A" w14:textId="77777777" w:rsidR="00A115D8" w:rsidRDefault="00A115D8">
      <w:r>
        <w:continuationSeparator/>
      </w:r>
    </w:p>
    <w:p w14:paraId="421D41D8" w14:textId="77777777" w:rsidR="00A115D8" w:rsidRDefault="00A1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4AC8" w14:textId="0A43737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9549E">
      <w:rPr>
        <w:noProof/>
      </w:rPr>
      <w:t>2</w:t>
    </w:r>
    <w:r w:rsidRPr="002810D3">
      <w:fldChar w:fldCharType="end"/>
    </w:r>
    <w:r w:rsidRPr="002810D3">
      <w:tab/>
    </w:r>
    <w:r w:rsidR="007A71D5">
      <w:t xml:space="preserve">Stage 4 </w:t>
    </w:r>
    <w:r w:rsidR="008D2F02">
      <w:t>PDHPE career learning in 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3464" w14:textId="0655ADBB" w:rsidR="007A3356" w:rsidRPr="004D333E" w:rsidRDefault="004D333E" w:rsidP="004D333E">
    <w:pPr>
      <w:pStyle w:val="Footer"/>
    </w:pPr>
    <w:r w:rsidRPr="002810D3">
      <w:t xml:space="preserve">© NSW Department of Education, </w:t>
    </w:r>
    <w:r w:rsidR="004902A4">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493120" w:rsidRDefault="3DBBD82F" w:rsidP="00493120">
    <w:pPr>
      <w:pStyle w:val="Logo"/>
    </w:pPr>
    <w:r w:rsidRPr="3DBBD82F">
      <w:rPr>
        <w:sz w:val="24"/>
        <w:szCs w:val="24"/>
      </w:rPr>
      <w:t>education.nsw.gov.au</w:t>
    </w:r>
    <w:r w:rsidR="74235DE3">
      <w:tab/>
    </w:r>
    <w:r>
      <w:rPr>
        <w:noProof/>
        <w:lang w:eastAsia="en-AU"/>
      </w:rPr>
      <w:drawing>
        <wp:inline distT="0" distB="0" distL="0" distR="0" wp14:anchorId="7DC6305D" wp14:editId="3D15AAE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CE72" w14:textId="77777777" w:rsidR="00A115D8" w:rsidRDefault="00A115D8">
      <w:r>
        <w:separator/>
      </w:r>
    </w:p>
    <w:p w14:paraId="53F2BC09" w14:textId="77777777" w:rsidR="00A115D8" w:rsidRDefault="00A115D8"/>
  </w:footnote>
  <w:footnote w:type="continuationSeparator" w:id="0">
    <w:p w14:paraId="6FBC895B" w14:textId="77777777" w:rsidR="00A115D8" w:rsidRDefault="00A115D8">
      <w:r>
        <w:continuationSeparator/>
      </w:r>
    </w:p>
    <w:p w14:paraId="2EEE54EE" w14:textId="77777777" w:rsidR="00A115D8" w:rsidRDefault="00A11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EE9C" w14:textId="77777777" w:rsidR="00F908AD" w:rsidRDefault="00F9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0872" w14:textId="449BFCB8" w:rsidR="009F5D53" w:rsidRDefault="009F5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4A32FC01"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D9A7584"/>
    <w:multiLevelType w:val="multilevel"/>
    <w:tmpl w:val="370C4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8626BE"/>
    <w:multiLevelType w:val="hybridMultilevel"/>
    <w:tmpl w:val="FF8C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AC4B02"/>
    <w:multiLevelType w:val="multilevel"/>
    <w:tmpl w:val="828EF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5449F6"/>
    <w:multiLevelType w:val="multilevel"/>
    <w:tmpl w:val="56823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B16078D"/>
    <w:multiLevelType w:val="hybridMultilevel"/>
    <w:tmpl w:val="0CE2A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nothing"/>
      <w:lvlText w:val=""/>
      <w:lvlJc w:val="left"/>
      <w:pPr>
        <w:ind w:left="284" w:firstLine="0"/>
      </w:pPr>
    </w:lvl>
    <w:lvl w:ilvl="2">
      <w:start w:val="1"/>
      <w:numFmt w:val="decimal"/>
      <w:pStyle w:val="Heading3"/>
      <w:suff w:val="nothing"/>
      <w:lvlText w:val=""/>
      <w:lvlJc w:val="left"/>
      <w:pPr>
        <w:ind w:left="284" w:firstLine="0"/>
      </w:pPr>
    </w:lvl>
    <w:lvl w:ilvl="3">
      <w:start w:val="1"/>
      <w:numFmt w:val="decimal"/>
      <w:pStyle w:val="Heading4"/>
      <w:suff w:val="nothing"/>
      <w:lvlText w:val=""/>
      <w:lvlJc w:val="left"/>
      <w:pPr>
        <w:ind w:left="284" w:firstLine="0"/>
      </w:pPr>
    </w:lvl>
    <w:lvl w:ilvl="4">
      <w:start w:val="1"/>
      <w:numFmt w:val="decimal"/>
      <w:pStyle w:val="Heading5"/>
      <w:suff w:val="nothing"/>
      <w:lvlText w:val=""/>
      <w:lvlJc w:val="left"/>
      <w:pPr>
        <w:ind w:left="284" w:firstLine="0"/>
      </w:pPr>
    </w:lvl>
    <w:lvl w:ilvl="5">
      <w:start w:val="1"/>
      <w:numFmt w:val="decimal"/>
      <w:pStyle w:val="Heading6"/>
      <w:suff w:val="nothing"/>
      <w:lvlText w:val=""/>
      <w:lvlJc w:val="left"/>
      <w:pPr>
        <w:ind w:left="284" w:firstLine="0"/>
      </w:pPr>
    </w:lvl>
    <w:lvl w:ilvl="6">
      <w:start w:val="1"/>
      <w:numFmt w:val="decimal"/>
      <w:pStyle w:val="Heading7"/>
      <w:suff w:val="nothing"/>
      <w:lvlText w:val=""/>
      <w:lvlJc w:val="left"/>
      <w:pPr>
        <w:ind w:left="284" w:firstLine="0"/>
      </w:pPr>
    </w:lvl>
    <w:lvl w:ilvl="7">
      <w:start w:val="1"/>
      <w:numFmt w:val="decimal"/>
      <w:pStyle w:val="Heading8"/>
      <w:suff w:val="nothing"/>
      <w:lvlText w:val=""/>
      <w:lvlJc w:val="left"/>
      <w:pPr>
        <w:ind w:left="284" w:firstLine="0"/>
      </w:pPr>
    </w:lvl>
    <w:lvl w:ilvl="8">
      <w:start w:val="1"/>
      <w:numFmt w:val="decimal"/>
      <w:pStyle w:val="Heading9"/>
      <w:suff w:val="nothing"/>
      <w:lvlText w:val=""/>
      <w:lvlJc w:val="left"/>
      <w:pPr>
        <w:ind w:left="284" w:firstLine="0"/>
      </w:p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AEE6A32"/>
    <w:multiLevelType w:val="multilevel"/>
    <w:tmpl w:val="7BAE670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93941942">
    <w:abstractNumId w:val="13"/>
  </w:num>
  <w:num w:numId="2" w16cid:durableId="825366799">
    <w:abstractNumId w:val="12"/>
  </w:num>
  <w:num w:numId="3" w16cid:durableId="1325860691">
    <w:abstractNumId w:val="9"/>
  </w:num>
  <w:num w:numId="4" w16cid:durableId="747272326">
    <w:abstractNumId w:val="25"/>
  </w:num>
  <w:num w:numId="5" w16cid:durableId="1708485839">
    <w:abstractNumId w:val="19"/>
  </w:num>
  <w:num w:numId="6" w16cid:durableId="578246188">
    <w:abstractNumId w:val="17"/>
  </w:num>
  <w:num w:numId="7" w16cid:durableId="2014796281">
    <w:abstractNumId w:val="21"/>
  </w:num>
  <w:num w:numId="8" w16cid:durableId="912157610">
    <w:abstractNumId w:val="23"/>
  </w:num>
  <w:num w:numId="9" w16cid:durableId="1292205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107261">
    <w:abstractNumId w:val="15"/>
  </w:num>
  <w:num w:numId="11" w16cid:durableId="657608865">
    <w:abstractNumId w:val="24"/>
  </w:num>
  <w:num w:numId="12" w16cid:durableId="551116671">
    <w:abstractNumId w:val="14"/>
  </w:num>
  <w:num w:numId="13" w16cid:durableId="1687439315">
    <w:abstractNumId w:val="20"/>
  </w:num>
  <w:num w:numId="14" w16cid:durableId="374039229">
    <w:abstractNumId w:val="10"/>
  </w:num>
  <w:num w:numId="15" w16cid:durableId="1026903053">
    <w:abstractNumId w:val="18"/>
  </w:num>
  <w:num w:numId="16" w16cid:durableId="1570572427">
    <w:abstractNumId w:val="6"/>
  </w:num>
  <w:num w:numId="17" w16cid:durableId="1890416238">
    <w:abstractNumId w:val="8"/>
  </w:num>
  <w:num w:numId="18" w16cid:durableId="777025336">
    <w:abstractNumId w:val="0"/>
  </w:num>
  <w:num w:numId="19" w16cid:durableId="752974809">
    <w:abstractNumId w:val="1"/>
  </w:num>
  <w:num w:numId="20" w16cid:durableId="609943732">
    <w:abstractNumId w:val="2"/>
  </w:num>
  <w:num w:numId="21" w16cid:durableId="996615326">
    <w:abstractNumId w:val="3"/>
  </w:num>
  <w:num w:numId="22" w16cid:durableId="1956448533">
    <w:abstractNumId w:val="4"/>
  </w:num>
  <w:num w:numId="23" w16cid:durableId="1809084247">
    <w:abstractNumId w:val="5"/>
  </w:num>
  <w:num w:numId="24" w16cid:durableId="561796615">
    <w:abstractNumId w:val="7"/>
  </w:num>
  <w:num w:numId="25" w16cid:durableId="1921869400">
    <w:abstractNumId w:val="26"/>
  </w:num>
  <w:num w:numId="26" w16cid:durableId="1216237958">
    <w:abstractNumId w:val="22"/>
  </w:num>
  <w:num w:numId="27" w16cid:durableId="855117571">
    <w:abstractNumId w:val="17"/>
  </w:num>
  <w:num w:numId="28" w16cid:durableId="1908146597">
    <w:abstractNumId w:val="17"/>
  </w:num>
  <w:num w:numId="29" w16cid:durableId="2094163876">
    <w:abstractNumId w:val="17"/>
  </w:num>
  <w:num w:numId="30" w16cid:durableId="544029923">
    <w:abstractNumId w:val="17"/>
  </w:num>
  <w:num w:numId="31" w16cid:durableId="510022967">
    <w:abstractNumId w:val="17"/>
  </w:num>
  <w:num w:numId="32" w16cid:durableId="474493446">
    <w:abstractNumId w:val="17"/>
  </w:num>
  <w:num w:numId="33" w16cid:durableId="1757097093">
    <w:abstractNumId w:val="17"/>
  </w:num>
  <w:num w:numId="34" w16cid:durableId="1677418833">
    <w:abstractNumId w:val="17"/>
  </w:num>
  <w:num w:numId="35" w16cid:durableId="685710789">
    <w:abstractNumId w:val="19"/>
  </w:num>
  <w:num w:numId="36" w16cid:durableId="1804225794">
    <w:abstractNumId w:val="26"/>
  </w:num>
  <w:num w:numId="37" w16cid:durableId="1885018372">
    <w:abstractNumId w:val="21"/>
  </w:num>
  <w:num w:numId="38" w16cid:durableId="1733701145">
    <w:abstractNumId w:val="23"/>
  </w:num>
  <w:num w:numId="39" w16cid:durableId="1433823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25265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8624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45499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7787783">
    <w:abstractNumId w:val="16"/>
  </w:num>
  <w:num w:numId="44" w16cid:durableId="14312446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7B0"/>
    <w:rsid w:val="00034F5E"/>
    <w:rsid w:val="0003541F"/>
    <w:rsid w:val="00040BF3"/>
    <w:rsid w:val="000423E3"/>
    <w:rsid w:val="0004292D"/>
    <w:rsid w:val="00042D30"/>
    <w:rsid w:val="00043FA0"/>
    <w:rsid w:val="00044C5D"/>
    <w:rsid w:val="00044D23"/>
    <w:rsid w:val="00046473"/>
    <w:rsid w:val="000507E6"/>
    <w:rsid w:val="0005127B"/>
    <w:rsid w:val="0005163D"/>
    <w:rsid w:val="000534F4"/>
    <w:rsid w:val="000535B7"/>
    <w:rsid w:val="00053726"/>
    <w:rsid w:val="000547F2"/>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1DE3"/>
    <w:rsid w:val="00082E53"/>
    <w:rsid w:val="00083518"/>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CD6"/>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0A3"/>
    <w:rsid w:val="0015712E"/>
    <w:rsid w:val="00162C3A"/>
    <w:rsid w:val="00165FF0"/>
    <w:rsid w:val="0017075C"/>
    <w:rsid w:val="00170CB5"/>
    <w:rsid w:val="00171601"/>
    <w:rsid w:val="00174183"/>
    <w:rsid w:val="00174882"/>
    <w:rsid w:val="00176C65"/>
    <w:rsid w:val="00180A15"/>
    <w:rsid w:val="001810F4"/>
    <w:rsid w:val="00181128"/>
    <w:rsid w:val="0018179E"/>
    <w:rsid w:val="00182B46"/>
    <w:rsid w:val="001839C3"/>
    <w:rsid w:val="00183B80"/>
    <w:rsid w:val="00183DB2"/>
    <w:rsid w:val="00183E9C"/>
    <w:rsid w:val="001841F1"/>
    <w:rsid w:val="00184D35"/>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6775"/>
    <w:rsid w:val="001C2997"/>
    <w:rsid w:val="001C4DB7"/>
    <w:rsid w:val="001C6C9B"/>
    <w:rsid w:val="001D10B2"/>
    <w:rsid w:val="001D3092"/>
    <w:rsid w:val="001D4CD1"/>
    <w:rsid w:val="001D66C2"/>
    <w:rsid w:val="001E0FFC"/>
    <w:rsid w:val="001E17F4"/>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10D"/>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2EC9"/>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3E8D"/>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49E"/>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D7F78"/>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2A4"/>
    <w:rsid w:val="00490D60"/>
    <w:rsid w:val="00492339"/>
    <w:rsid w:val="00493120"/>
    <w:rsid w:val="004949C7"/>
    <w:rsid w:val="00494FDC"/>
    <w:rsid w:val="004A0489"/>
    <w:rsid w:val="004A161B"/>
    <w:rsid w:val="004A249E"/>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663"/>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38A2"/>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50B"/>
    <w:rsid w:val="005B1762"/>
    <w:rsid w:val="005B4B88"/>
    <w:rsid w:val="005B5605"/>
    <w:rsid w:val="005B5D60"/>
    <w:rsid w:val="005B5E31"/>
    <w:rsid w:val="005B64AE"/>
    <w:rsid w:val="005B6E3D"/>
    <w:rsid w:val="005B7298"/>
    <w:rsid w:val="005C1BFC"/>
    <w:rsid w:val="005C3744"/>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762"/>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37EDD"/>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DD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97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0D6E"/>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71D5"/>
    <w:rsid w:val="007B0540"/>
    <w:rsid w:val="007B24C4"/>
    <w:rsid w:val="007B34E2"/>
    <w:rsid w:val="007B50E4"/>
    <w:rsid w:val="007B5236"/>
    <w:rsid w:val="007B6B2F"/>
    <w:rsid w:val="007C057B"/>
    <w:rsid w:val="007C1661"/>
    <w:rsid w:val="007C1A9E"/>
    <w:rsid w:val="007C6E38"/>
    <w:rsid w:val="007D212E"/>
    <w:rsid w:val="007D458F"/>
    <w:rsid w:val="007D5655"/>
    <w:rsid w:val="007D5A52"/>
    <w:rsid w:val="007D6AAE"/>
    <w:rsid w:val="007D7CF5"/>
    <w:rsid w:val="007D7E58"/>
    <w:rsid w:val="007E41AD"/>
    <w:rsid w:val="007E5E9E"/>
    <w:rsid w:val="007E74DA"/>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172"/>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8CC"/>
    <w:rsid w:val="00880A08"/>
    <w:rsid w:val="008813A0"/>
    <w:rsid w:val="00882E98"/>
    <w:rsid w:val="00883242"/>
    <w:rsid w:val="00883A53"/>
    <w:rsid w:val="00885C59"/>
    <w:rsid w:val="00885DD6"/>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F02"/>
    <w:rsid w:val="008D5308"/>
    <w:rsid w:val="008D55BF"/>
    <w:rsid w:val="008D61E0"/>
    <w:rsid w:val="008D6722"/>
    <w:rsid w:val="008D6E1D"/>
    <w:rsid w:val="008D7AB2"/>
    <w:rsid w:val="008E0259"/>
    <w:rsid w:val="008E43E0"/>
    <w:rsid w:val="008E4A0E"/>
    <w:rsid w:val="008E4E59"/>
    <w:rsid w:val="008E776F"/>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5F6"/>
    <w:rsid w:val="00912C5D"/>
    <w:rsid w:val="00912EC7"/>
    <w:rsid w:val="00913D40"/>
    <w:rsid w:val="009153A2"/>
    <w:rsid w:val="0091571A"/>
    <w:rsid w:val="00915AC4"/>
    <w:rsid w:val="0091769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2E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B3E"/>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46F9"/>
    <w:rsid w:val="009C5550"/>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D53"/>
    <w:rsid w:val="009F5F05"/>
    <w:rsid w:val="009F7315"/>
    <w:rsid w:val="009F73D1"/>
    <w:rsid w:val="00A00D40"/>
    <w:rsid w:val="00A04A93"/>
    <w:rsid w:val="00A07569"/>
    <w:rsid w:val="00A07749"/>
    <w:rsid w:val="00A078FB"/>
    <w:rsid w:val="00A10CE1"/>
    <w:rsid w:val="00A10CED"/>
    <w:rsid w:val="00A115D8"/>
    <w:rsid w:val="00A128C6"/>
    <w:rsid w:val="00A143CE"/>
    <w:rsid w:val="00A16D9B"/>
    <w:rsid w:val="00A17D14"/>
    <w:rsid w:val="00A21A49"/>
    <w:rsid w:val="00A231E9"/>
    <w:rsid w:val="00A307AE"/>
    <w:rsid w:val="00A30C7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72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CB0"/>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2A29"/>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B75"/>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7B1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D02"/>
    <w:rsid w:val="00BF2FC3"/>
    <w:rsid w:val="00BF3551"/>
    <w:rsid w:val="00BF37C3"/>
    <w:rsid w:val="00BF4F07"/>
    <w:rsid w:val="00BF695B"/>
    <w:rsid w:val="00BF6A14"/>
    <w:rsid w:val="00BF6A8E"/>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67E8A"/>
    <w:rsid w:val="00C70168"/>
    <w:rsid w:val="00C718DD"/>
    <w:rsid w:val="00C71AFB"/>
    <w:rsid w:val="00C74707"/>
    <w:rsid w:val="00C767C7"/>
    <w:rsid w:val="00C779FD"/>
    <w:rsid w:val="00C77D84"/>
    <w:rsid w:val="00C80B9E"/>
    <w:rsid w:val="00C841B7"/>
    <w:rsid w:val="00C84A6C"/>
    <w:rsid w:val="00C84F81"/>
    <w:rsid w:val="00C8667D"/>
    <w:rsid w:val="00C86967"/>
    <w:rsid w:val="00C928A8"/>
    <w:rsid w:val="00C93044"/>
    <w:rsid w:val="00C95246"/>
    <w:rsid w:val="00C96CB3"/>
    <w:rsid w:val="00CA103E"/>
    <w:rsid w:val="00CA6C45"/>
    <w:rsid w:val="00CA74F6"/>
    <w:rsid w:val="00CA7603"/>
    <w:rsid w:val="00CB364E"/>
    <w:rsid w:val="00CB36AC"/>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CB"/>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3617"/>
    <w:rsid w:val="00D34943"/>
    <w:rsid w:val="00D34A2B"/>
    <w:rsid w:val="00D35409"/>
    <w:rsid w:val="00D359D4"/>
    <w:rsid w:val="00D41B88"/>
    <w:rsid w:val="00D41E23"/>
    <w:rsid w:val="00D429EC"/>
    <w:rsid w:val="00D43D44"/>
    <w:rsid w:val="00D43EBB"/>
    <w:rsid w:val="00D44E4E"/>
    <w:rsid w:val="00D46D26"/>
    <w:rsid w:val="00D51254"/>
    <w:rsid w:val="00D51627"/>
    <w:rsid w:val="00D51C5E"/>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A50"/>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1E7"/>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62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423"/>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9B3"/>
    <w:rsid w:val="00F01D8F"/>
    <w:rsid w:val="00F01D93"/>
    <w:rsid w:val="00F0316E"/>
    <w:rsid w:val="00F05A4D"/>
    <w:rsid w:val="00F06BB9"/>
    <w:rsid w:val="00F121C4"/>
    <w:rsid w:val="00F13777"/>
    <w:rsid w:val="00F17235"/>
    <w:rsid w:val="00F20B40"/>
    <w:rsid w:val="00F218B3"/>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EF2"/>
    <w:rsid w:val="00F47A0A"/>
    <w:rsid w:val="00F47A79"/>
    <w:rsid w:val="00F47F5C"/>
    <w:rsid w:val="00F51928"/>
    <w:rsid w:val="00F543B3"/>
    <w:rsid w:val="00F5467A"/>
    <w:rsid w:val="00F5643A"/>
    <w:rsid w:val="00F56596"/>
    <w:rsid w:val="00F60334"/>
    <w:rsid w:val="00F62236"/>
    <w:rsid w:val="00F63B51"/>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8AD"/>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42E"/>
    <w:rsid w:val="00FE660C"/>
    <w:rsid w:val="00FF0F2A"/>
    <w:rsid w:val="00FF492B"/>
    <w:rsid w:val="00FF5EC7"/>
    <w:rsid w:val="00FF7815"/>
    <w:rsid w:val="00FF7892"/>
    <w:rsid w:val="01F52372"/>
    <w:rsid w:val="029C1B71"/>
    <w:rsid w:val="02AF042A"/>
    <w:rsid w:val="02B8B71D"/>
    <w:rsid w:val="04CB6E47"/>
    <w:rsid w:val="04F2BABB"/>
    <w:rsid w:val="064FE888"/>
    <w:rsid w:val="06D5AC1F"/>
    <w:rsid w:val="071B6D8C"/>
    <w:rsid w:val="0798613E"/>
    <w:rsid w:val="07A69A58"/>
    <w:rsid w:val="0822FB1C"/>
    <w:rsid w:val="082B1BBE"/>
    <w:rsid w:val="08717C80"/>
    <w:rsid w:val="09FEC9F9"/>
    <w:rsid w:val="0A0D4CE1"/>
    <w:rsid w:val="0A1F84FC"/>
    <w:rsid w:val="0A62091B"/>
    <w:rsid w:val="0A8A390E"/>
    <w:rsid w:val="0AEAD237"/>
    <w:rsid w:val="0B3C4938"/>
    <w:rsid w:val="0B55EE0A"/>
    <w:rsid w:val="0BA91D42"/>
    <w:rsid w:val="0BAB53E4"/>
    <w:rsid w:val="0BDDAE3B"/>
    <w:rsid w:val="0D0C56EB"/>
    <w:rsid w:val="0D231C60"/>
    <w:rsid w:val="0DB94AB8"/>
    <w:rsid w:val="0E1CBCAD"/>
    <w:rsid w:val="1090C92C"/>
    <w:rsid w:val="121109B3"/>
    <w:rsid w:val="126E446B"/>
    <w:rsid w:val="1353E5C7"/>
    <w:rsid w:val="13595CF3"/>
    <w:rsid w:val="14A4145E"/>
    <w:rsid w:val="15143EE6"/>
    <w:rsid w:val="1540FA58"/>
    <w:rsid w:val="15A2A579"/>
    <w:rsid w:val="15FB0CE6"/>
    <w:rsid w:val="1698F822"/>
    <w:rsid w:val="17BA1455"/>
    <w:rsid w:val="182B10D5"/>
    <w:rsid w:val="18427703"/>
    <w:rsid w:val="189C7A8B"/>
    <w:rsid w:val="19E7B1FC"/>
    <w:rsid w:val="1A3F98F8"/>
    <w:rsid w:val="1BB03144"/>
    <w:rsid w:val="1BDB6959"/>
    <w:rsid w:val="1C5C94D0"/>
    <w:rsid w:val="1D1E39DA"/>
    <w:rsid w:val="1D5057C3"/>
    <w:rsid w:val="1D753718"/>
    <w:rsid w:val="1D7E68CC"/>
    <w:rsid w:val="1DF17F5D"/>
    <w:rsid w:val="1E193E40"/>
    <w:rsid w:val="1F57D1A3"/>
    <w:rsid w:val="1FD3B306"/>
    <w:rsid w:val="200B9509"/>
    <w:rsid w:val="2090554A"/>
    <w:rsid w:val="20D8264B"/>
    <w:rsid w:val="20FA823A"/>
    <w:rsid w:val="2141BB9C"/>
    <w:rsid w:val="2152F673"/>
    <w:rsid w:val="22DD8BFD"/>
    <w:rsid w:val="22E32F78"/>
    <w:rsid w:val="23447873"/>
    <w:rsid w:val="2463793D"/>
    <w:rsid w:val="247E4129"/>
    <w:rsid w:val="24AF10B4"/>
    <w:rsid w:val="2511E22F"/>
    <w:rsid w:val="255F33C8"/>
    <w:rsid w:val="256AAA0D"/>
    <w:rsid w:val="2629CC2D"/>
    <w:rsid w:val="263CEE84"/>
    <w:rsid w:val="26AC0D6A"/>
    <w:rsid w:val="26ACECBB"/>
    <w:rsid w:val="26B725A9"/>
    <w:rsid w:val="26C1CDB4"/>
    <w:rsid w:val="27B40CA8"/>
    <w:rsid w:val="283A5F00"/>
    <w:rsid w:val="28A0C404"/>
    <w:rsid w:val="28AC2FF5"/>
    <w:rsid w:val="28DF2F2E"/>
    <w:rsid w:val="29616CEF"/>
    <w:rsid w:val="29C38BC8"/>
    <w:rsid w:val="29C8103E"/>
    <w:rsid w:val="2A25405E"/>
    <w:rsid w:val="2A61F421"/>
    <w:rsid w:val="2A9830EE"/>
    <w:rsid w:val="2AF9697A"/>
    <w:rsid w:val="2B1115CB"/>
    <w:rsid w:val="2BD09455"/>
    <w:rsid w:val="2C0171CC"/>
    <w:rsid w:val="2D5CE120"/>
    <w:rsid w:val="2DCFD1B0"/>
    <w:rsid w:val="2E8A4DCE"/>
    <w:rsid w:val="2EECEDB1"/>
    <w:rsid w:val="2EF0784D"/>
    <w:rsid w:val="2F10A798"/>
    <w:rsid w:val="2F4AD5BB"/>
    <w:rsid w:val="2F7F39FF"/>
    <w:rsid w:val="2F829D79"/>
    <w:rsid w:val="2FAB610E"/>
    <w:rsid w:val="3094421E"/>
    <w:rsid w:val="30C10CCF"/>
    <w:rsid w:val="318B04AA"/>
    <w:rsid w:val="32917F5C"/>
    <w:rsid w:val="32A71161"/>
    <w:rsid w:val="332DAFA3"/>
    <w:rsid w:val="33BD99D9"/>
    <w:rsid w:val="3456A3BF"/>
    <w:rsid w:val="34A8A885"/>
    <w:rsid w:val="34B5E74D"/>
    <w:rsid w:val="358D0301"/>
    <w:rsid w:val="35AD8F9F"/>
    <w:rsid w:val="35EC1C11"/>
    <w:rsid w:val="36BBBF94"/>
    <w:rsid w:val="379510EF"/>
    <w:rsid w:val="37D10CB2"/>
    <w:rsid w:val="382BC068"/>
    <w:rsid w:val="3886C15F"/>
    <w:rsid w:val="38C32641"/>
    <w:rsid w:val="38D3CDD6"/>
    <w:rsid w:val="38DC2A9B"/>
    <w:rsid w:val="39B74308"/>
    <w:rsid w:val="3AB8DC8C"/>
    <w:rsid w:val="3AD539D9"/>
    <w:rsid w:val="3B1F992B"/>
    <w:rsid w:val="3B369050"/>
    <w:rsid w:val="3C6DC75C"/>
    <w:rsid w:val="3CA62FF6"/>
    <w:rsid w:val="3CA7D0D5"/>
    <w:rsid w:val="3D430D93"/>
    <w:rsid w:val="3DBBD82F"/>
    <w:rsid w:val="3E21AE54"/>
    <w:rsid w:val="3EEE0C84"/>
    <w:rsid w:val="3F9D6EAE"/>
    <w:rsid w:val="4089DCE5"/>
    <w:rsid w:val="409EAF24"/>
    <w:rsid w:val="40E6CD41"/>
    <w:rsid w:val="40F97471"/>
    <w:rsid w:val="41045494"/>
    <w:rsid w:val="414CCD8C"/>
    <w:rsid w:val="41BCEA7B"/>
    <w:rsid w:val="41F9ABE3"/>
    <w:rsid w:val="420B9274"/>
    <w:rsid w:val="426E6440"/>
    <w:rsid w:val="4281520C"/>
    <w:rsid w:val="43750416"/>
    <w:rsid w:val="43BD2789"/>
    <w:rsid w:val="44469675"/>
    <w:rsid w:val="44BCE104"/>
    <w:rsid w:val="4512A035"/>
    <w:rsid w:val="456F9091"/>
    <w:rsid w:val="45FBA24B"/>
    <w:rsid w:val="464CED95"/>
    <w:rsid w:val="46991272"/>
    <w:rsid w:val="470BD126"/>
    <w:rsid w:val="476A1450"/>
    <w:rsid w:val="47F481C6"/>
    <w:rsid w:val="48677256"/>
    <w:rsid w:val="48A65EBC"/>
    <w:rsid w:val="492F1E3F"/>
    <w:rsid w:val="49B78AD7"/>
    <w:rsid w:val="4A0342B7"/>
    <w:rsid w:val="4A2C690D"/>
    <w:rsid w:val="4B4E5B3F"/>
    <w:rsid w:val="4C15E731"/>
    <w:rsid w:val="4D30F41B"/>
    <w:rsid w:val="4DD8CEF8"/>
    <w:rsid w:val="4F3F17E3"/>
    <w:rsid w:val="4FF82DDA"/>
    <w:rsid w:val="50474C69"/>
    <w:rsid w:val="50614964"/>
    <w:rsid w:val="5083A553"/>
    <w:rsid w:val="50A445A1"/>
    <w:rsid w:val="50EC2573"/>
    <w:rsid w:val="51BF7A4A"/>
    <w:rsid w:val="52864115"/>
    <w:rsid w:val="5332CAE1"/>
    <w:rsid w:val="533F0CC3"/>
    <w:rsid w:val="537A520C"/>
    <w:rsid w:val="539CF652"/>
    <w:rsid w:val="53BB2D8F"/>
    <w:rsid w:val="53CDC740"/>
    <w:rsid w:val="54975C2B"/>
    <w:rsid w:val="54E12048"/>
    <w:rsid w:val="55043126"/>
    <w:rsid w:val="55048A87"/>
    <w:rsid w:val="55B739D1"/>
    <w:rsid w:val="55BCB799"/>
    <w:rsid w:val="55C3A66E"/>
    <w:rsid w:val="58061E8F"/>
    <w:rsid w:val="58110F51"/>
    <w:rsid w:val="598B282B"/>
    <w:rsid w:val="59C5B77E"/>
    <w:rsid w:val="5A2BE028"/>
    <w:rsid w:val="5A4A7A5D"/>
    <w:rsid w:val="5A866069"/>
    <w:rsid w:val="5B0E8955"/>
    <w:rsid w:val="5B501E19"/>
    <w:rsid w:val="5B669767"/>
    <w:rsid w:val="5B9DA628"/>
    <w:rsid w:val="5BBA7866"/>
    <w:rsid w:val="5BBE9F79"/>
    <w:rsid w:val="5C548B21"/>
    <w:rsid w:val="5C886CC4"/>
    <w:rsid w:val="5D6647E7"/>
    <w:rsid w:val="5DF75E7B"/>
    <w:rsid w:val="5E1270E9"/>
    <w:rsid w:val="5E15A1A5"/>
    <w:rsid w:val="5E97EDC7"/>
    <w:rsid w:val="5EA486B6"/>
    <w:rsid w:val="5EFE7765"/>
    <w:rsid w:val="5FC074DB"/>
    <w:rsid w:val="5FDFE44C"/>
    <w:rsid w:val="60DC7990"/>
    <w:rsid w:val="6132825B"/>
    <w:rsid w:val="61A9E76C"/>
    <w:rsid w:val="61AD2763"/>
    <w:rsid w:val="6219A977"/>
    <w:rsid w:val="628D3228"/>
    <w:rsid w:val="64ED4230"/>
    <w:rsid w:val="65A33873"/>
    <w:rsid w:val="65D54B21"/>
    <w:rsid w:val="685B67F0"/>
    <w:rsid w:val="68F076BD"/>
    <w:rsid w:val="692C5052"/>
    <w:rsid w:val="6AA23B17"/>
    <w:rsid w:val="6AFB5405"/>
    <w:rsid w:val="6B2DC724"/>
    <w:rsid w:val="6D06C4A4"/>
    <w:rsid w:val="6E9E1194"/>
    <w:rsid w:val="6F365065"/>
    <w:rsid w:val="6FC58980"/>
    <w:rsid w:val="70079FD7"/>
    <w:rsid w:val="7012FFFE"/>
    <w:rsid w:val="7039E1F5"/>
    <w:rsid w:val="729AA5CC"/>
    <w:rsid w:val="72FB88F0"/>
    <w:rsid w:val="74235DE3"/>
    <w:rsid w:val="7448B8B6"/>
    <w:rsid w:val="74AEF663"/>
    <w:rsid w:val="751E010F"/>
    <w:rsid w:val="75F92885"/>
    <w:rsid w:val="761CE20A"/>
    <w:rsid w:val="7625A64C"/>
    <w:rsid w:val="763793AF"/>
    <w:rsid w:val="765C297F"/>
    <w:rsid w:val="771DB29C"/>
    <w:rsid w:val="7727721E"/>
    <w:rsid w:val="782BCB7D"/>
    <w:rsid w:val="7855A1D1"/>
    <w:rsid w:val="78A31CC3"/>
    <w:rsid w:val="7937F71C"/>
    <w:rsid w:val="798C65D0"/>
    <w:rsid w:val="79DBFDE3"/>
    <w:rsid w:val="79EDFC3C"/>
    <w:rsid w:val="7A3EED24"/>
    <w:rsid w:val="7A49E141"/>
    <w:rsid w:val="7A8C503F"/>
    <w:rsid w:val="7B7112A3"/>
    <w:rsid w:val="7BADDDA2"/>
    <w:rsid w:val="7BC1A316"/>
    <w:rsid w:val="7C784EB2"/>
    <w:rsid w:val="7C8DACD6"/>
    <w:rsid w:val="7E563D64"/>
    <w:rsid w:val="7EF7FD5D"/>
    <w:rsid w:val="7EF89700"/>
    <w:rsid w:val="7F570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7E74D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4DA"/>
    <w:rPr>
      <w:rFonts w:ascii="Segoe UI" w:hAnsi="Segoe UI" w:cs="Segoe UI"/>
      <w:sz w:val="18"/>
      <w:szCs w:val="18"/>
      <w:lang w:val="en-AU"/>
    </w:rPr>
  </w:style>
  <w:style w:type="character" w:customStyle="1" w:styleId="DoEstrongemphasis2018">
    <w:name w:val="DoE strong emphasis 2018"/>
    <w:basedOn w:val="DefaultParagraphFont"/>
    <w:uiPriority w:val="1"/>
    <w:qFormat/>
    <w:rsid w:val="0028610D"/>
    <w:rPr>
      <w:b/>
      <w:noProof w:val="0"/>
      <w:lang w:val="en-AU"/>
    </w:rPr>
  </w:style>
  <w:style w:type="paragraph" w:customStyle="1" w:styleId="IOSbodytext2017">
    <w:name w:val="IOS body text 2017"/>
    <w:basedOn w:val="Normal"/>
    <w:qFormat/>
    <w:rsid w:val="0005127B"/>
    <w:pPr>
      <w:spacing w:line="300" w:lineRule="atLeast"/>
    </w:pPr>
    <w:rPr>
      <w:rFonts w:eastAsia="SimSun" w:cs="Times New Roman"/>
      <w:szCs w:val="22"/>
      <w:lang w:eastAsia="zh-CN"/>
    </w:rPr>
  </w:style>
  <w:style w:type="paragraph" w:customStyle="1" w:styleId="IOSList1bullet2017">
    <w:name w:val="IOS List 1 bullet 2017"/>
    <w:basedOn w:val="Normal"/>
    <w:qFormat/>
    <w:locked/>
    <w:rsid w:val="0005127B"/>
    <w:pPr>
      <w:spacing w:before="80" w:line="280" w:lineRule="atLeast"/>
      <w:ind w:left="720" w:hanging="360"/>
    </w:pPr>
    <w:rPr>
      <w:rFonts w:eastAsia="SimSun" w:cs="Times New Roman"/>
      <w:lang w:eastAsia="zh-CN"/>
    </w:rPr>
  </w:style>
  <w:style w:type="character" w:styleId="FollowedHyperlink">
    <w:name w:val="FollowedHyperlink"/>
    <w:basedOn w:val="DefaultParagraphFont"/>
    <w:uiPriority w:val="99"/>
    <w:semiHidden/>
    <w:unhideWhenUsed/>
    <w:rsid w:val="00637EDD"/>
    <w:rPr>
      <w:color w:val="954F72" w:themeColor="followedHyperlink"/>
      <w:u w:val="single"/>
    </w:rPr>
  </w:style>
  <w:style w:type="character" w:styleId="UnresolvedMention">
    <w:name w:val="Unresolved Mention"/>
    <w:basedOn w:val="DefaultParagraphFont"/>
    <w:uiPriority w:val="99"/>
    <w:semiHidden/>
    <w:unhideWhenUsed/>
    <w:rsid w:val="00BF6A8E"/>
    <w:rPr>
      <w:color w:val="605E5C"/>
      <w:shd w:val="clear" w:color="auto" w:fill="E1DFDD"/>
    </w:rPr>
  </w:style>
  <w:style w:type="character" w:customStyle="1" w:styleId="normaltextrun">
    <w:name w:val="normaltextrun"/>
    <w:basedOn w:val="DefaultParagraphFont"/>
    <w:rsid w:val="2E8A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876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gea.gov.au/about/workplace-gender-equality" TargetMode="External"/><Relationship Id="rId18" Type="http://schemas.openxmlformats.org/officeDocument/2006/relationships/hyperlink" Target="https://careerswithstem.com.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reersmart.org.uk/occupations/equality/which-jobs-do-men-and-women-do-occupational-breakdown-gender" TargetMode="External"/><Relationship Id="rId7" Type="http://schemas.openxmlformats.org/officeDocument/2006/relationships/settings" Target="settings.xml"/><Relationship Id="rId12" Type="http://schemas.openxmlformats.org/officeDocument/2006/relationships/hyperlink" Target="https://www.youtube.com/watch?v=kJP1zPOfq_0" TargetMode="External"/><Relationship Id="rId17" Type="http://schemas.openxmlformats.org/officeDocument/2006/relationships/hyperlink" Target="https://joboutlook.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yfuture.edu.au/footer/assist-others/career-bullseye-posters" TargetMode="External"/><Relationship Id="rId20" Type="http://schemas.openxmlformats.org/officeDocument/2006/relationships/hyperlink" Target="https://www.defencejobs.gov.au/about-the-adf/women-in-the-a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career-learnin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killsone.com.au/category/women-in-trades/" TargetMode="External"/><Relationship Id="rId23" Type="http://schemas.openxmlformats.org/officeDocument/2006/relationships/hyperlink" Target="https://www.theschoolinthecloud.org/how-to/how-to-run-a-sole-session/"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police.nsw.gov.au/recruitment/the_career/diversity/women_in_polic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c.net.au/news/2018-05-21/the-most-gendered-top-jobs-in-australia/9775544?nw=0" TargetMode="External"/><Relationship Id="rId22" Type="http://schemas.openxmlformats.org/officeDocument/2006/relationships/hyperlink" Target="http://www.soleaustralia.co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gar1\OneDrive%20-%20NSW%20Department%20of%20Education\Rural%20and%20Pathways\Administration\Template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C938A-5027-4742-BF1A-A86D9139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CBF24-2CD5-45A6-92A7-9759D4819414}">
  <ds:schemaRefs>
    <ds:schemaRef ds:uri="http://schemas.openxmlformats.org/officeDocument/2006/bibliography"/>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5</Pages>
  <Words>1307</Words>
  <Characters>7451</Characters>
  <Application>Microsoft Office Word</Application>
  <DocSecurity>0</DocSecurity>
  <Lines>62</Lines>
  <Paragraphs>17</Paragraphs>
  <ScaleCrop>false</ScaleCrop>
  <Manager/>
  <Company>NSW Department of Education</Company>
  <LinksUpToDate>false</LinksUpToDate>
  <CharactersWithSpaces>8741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Mary Wang</cp:lastModifiedBy>
  <cp:revision>42</cp:revision>
  <cp:lastPrinted>2019-09-30T07:42:00Z</cp:lastPrinted>
  <dcterms:created xsi:type="dcterms:W3CDTF">2021-03-18T00:31:00Z</dcterms:created>
  <dcterms:modified xsi:type="dcterms:W3CDTF">2022-07-04T01:54:00Z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