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BC633A8" w:rsidR="00DE2FFE" w:rsidRPr="00772AB1" w:rsidRDefault="00FF4E13" w:rsidP="00772AB1">
      <w:pPr>
        <w:pStyle w:val="Title"/>
      </w:pPr>
      <w:r w:rsidRPr="00772AB1">
        <mc:AlternateContent>
          <mc:Choice Requires="wps">
            <w:drawing>
              <wp:anchor distT="0" distB="0" distL="114300" distR="114300" simplePos="0" relativeHeight="251659264" behindDoc="1" locked="0" layoutInCell="1" allowOverlap="1" wp14:anchorId="27D09AA5" wp14:editId="3280AE5F">
                <wp:simplePos x="0" y="0"/>
                <wp:positionH relativeFrom="column">
                  <wp:posOffset>-1164562</wp:posOffset>
                </wp:positionH>
                <wp:positionV relativeFrom="paragraph">
                  <wp:posOffset>-1731645</wp:posOffset>
                </wp:positionV>
                <wp:extent cx="8507896" cy="4834393"/>
                <wp:effectExtent l="0" t="0" r="7620" b="4445"/>
                <wp:wrapNone/>
                <wp:docPr id="3" name="Rectangle 3"/>
                <wp:cNvGraphicFramePr/>
                <a:graphic xmlns:a="http://schemas.openxmlformats.org/drawingml/2006/main">
                  <a:graphicData uri="http://schemas.microsoft.com/office/word/2010/wordprocessingShape">
                    <wps:wsp>
                      <wps:cNvSpPr/>
                      <wps:spPr>
                        <a:xfrm>
                          <a:off x="0" y="0"/>
                          <a:ext cx="8507896" cy="48343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673A" id="Rectangle 3" o:spid="_x0000_s1026" style="position:absolute;margin-left:-91.7pt;margin-top:-136.35pt;width:669.9pt;height:38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hQoAIAAKkFAAAOAAAAZHJzL2Uyb0RvYy54bWysVEtv2zAMvg/YfxB0X+082iZBnSJo0WFA&#10;1wZth54VWYoNSKImKa/9+lGS4z5W7DDsIosi+ZH8TPLicq8V2QrnWzAVHZyUlAjDoW7NuqI/nm6+&#10;TCjxgZmaKTCiogfh6eX886eLnZ2JITSgauEIghg/29mKNiHYWVF43gjN/AlYYVApwWkWUHTronZs&#10;h+haFcOyPCt24GrrgAvv8fU6K+k84UspeLiX0otAVEUxt5BOl85VPIv5BZutHbNNy7s02D9koVlr&#10;MGgPdc0CIxvX/gGlW+7AgwwnHHQBUrZcpBqwmkH5rprHhlmRakFyvO1p8v8Plt9tl460dUVHlBim&#10;8Rc9IGnMrJUgo0jPzvoZWj3apeskj9dY6146Hb9YBdknSg89pWIfCMfHyWl5PpmeUcJRN56MxqNp&#10;Qi1e3K3z4asATeKlog7DJyrZ9tYHDImmR5MYzYNq65tWqSTEPhFXypEtwz+8Wg+Sq9ro71Dnt+lp&#10;Wab/jDipraJ5Qn2DpEzEMxCRc9D4UsTqc73pFg5KRDtlHoRE2rDCYYrYI+egjHNhQk7GN6wW+Tmm&#10;8nEuCTAiS4zfY3cAb4s8YucsO/voKlK/987l3xLLzr1Higwm9M66NeA+AlBYVRc52x9JytREllZQ&#10;H7CpHORp85bftPhrb5kPS+ZwvHAQcWWEezykgl1FobtR0oD79dF7tMeuRy0lOxzXivqfG+YEJeqb&#10;wXmYDsbjON9JGJ+eD1FwrzWr1xqz0VeA/TLA5WR5ukb7oI5X6UA/42ZZxKioYoZj7Iry4I7CVchr&#10;BHcTF4tFMsOZtizcmkfLI3hkNbbu0/6ZOdv1d8DRuIPjaLPZuzbPttHTwGITQLZpBl547fjGfZCa&#10;uNtdceG8lpPVy4ad/wYAAP//AwBQSwMEFAAGAAgAAAAhAJ/BlBnjAAAADgEAAA8AAABkcnMvZG93&#10;bnJldi54bWxMj01Pg0AQhu8m/ofNmHhrF9Z2i8jSmCaNJw9WYuJtgRGI7CyyS8F/7/Zkb/Px5J1n&#10;sv1ienbG0XWWFMTrCBhSZeuOGgXF+3GVAHNeU617S6jgFx3s89ubTKe1nekNzyffsBBCLtUKWu+H&#10;lHNXtWi0W9sBKey+7Gi0D+3Y8HrUcwg3PRdRJLnRHYULrR7w0GL1fZqMAlEsWzG/Hh8/PovyJZLT&#10;z0GgVOr+bnl+AuZx8f8wXPSDOuTBqbQT1Y71ClZx8rAJbKjETuyAXZh4K8OsVLBJEgk8z/j1G/kf&#10;AAAA//8DAFBLAQItABQABgAIAAAAIQC2gziS/gAAAOEBAAATAAAAAAAAAAAAAAAAAAAAAABbQ29u&#10;dGVudF9UeXBlc10ueG1sUEsBAi0AFAAGAAgAAAAhADj9If/WAAAAlAEAAAsAAAAAAAAAAAAAAAAA&#10;LwEAAF9yZWxzLy5yZWxzUEsBAi0AFAAGAAgAAAAhANoRWFCgAgAAqQUAAA4AAAAAAAAAAAAAAAAA&#10;LgIAAGRycy9lMm9Eb2MueG1sUEsBAi0AFAAGAAgAAAAhAJ/BlBnjAAAADgEAAA8AAAAAAAAAAAAA&#10;AAAA+gQAAGRycy9kb3ducmV2LnhtbFBLBQYAAAAABAAEAPMAAAAKBgAAAAA=&#10;" fillcolor="#f2f2f2 [3052]" stroked="f" strokeweight="1pt"/>
            </w:pict>
          </mc:Fallback>
        </mc:AlternateContent>
      </w:r>
      <w:r w:rsidR="005F4EB5" w:rsidRPr="00772AB1">
        <w:t>North Kellyville P</w:t>
      </w:r>
      <w:r w:rsidR="00DE1E1E" w:rsidRPr="00772AB1">
        <w:t xml:space="preserve">ublic </w:t>
      </w:r>
      <w:r w:rsidR="005F4EB5" w:rsidRPr="00772AB1">
        <w:t>S</w:t>
      </w:r>
      <w:r w:rsidR="00DE1E1E" w:rsidRPr="00772AB1">
        <w:t xml:space="preserve">chool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90"/>
      </w:tblGrid>
      <w:tr w:rsidR="003806FD" w14:paraId="3C317016" w14:textId="77777777" w:rsidTr="4B7110E1">
        <w:trPr>
          <w:trHeight w:val="2268"/>
        </w:trPr>
        <w:sdt>
          <w:sdtPr>
            <w:rPr>
              <w:noProof/>
              <w:lang w:eastAsia="en-AU"/>
            </w:rPr>
            <w:id w:val="1597289800"/>
            <w:picture/>
          </w:sdtPr>
          <w:sdtEndPr/>
          <w:sdtContent>
            <w:tc>
              <w:tcPr>
                <w:tcW w:w="9350" w:type="dxa"/>
              </w:tcPr>
              <w:p w14:paraId="15A6D476" w14:textId="6AEBC6D3" w:rsidR="003806FD" w:rsidRDefault="00E967B2" w:rsidP="00E967B2">
                <w:pPr>
                  <w:jc w:val="center"/>
                </w:pPr>
                <w:r>
                  <w:rPr>
                    <w:noProof/>
                    <w:lang w:eastAsia="en-AU"/>
                  </w:rPr>
                  <w:drawing>
                    <wp:inline distT="0" distB="0" distL="0" distR="0" wp14:anchorId="72378CDA" wp14:editId="58BE131C">
                      <wp:extent cx="6096000" cy="1633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292" b="1249"/>
                              <a:stretch/>
                            </pic:blipFill>
                            <pic:spPr bwMode="auto">
                              <a:xfrm>
                                <a:off x="0" y="0"/>
                                <a:ext cx="6096000" cy="1633538"/>
                              </a:xfrm>
                              <a:prstGeom prst="rect">
                                <a:avLst/>
                              </a:prstGeom>
                              <a:ln>
                                <a:noFill/>
                              </a:ln>
                              <a:extLst>
                                <a:ext uri="{53640926-AAD7-44D8-BBD7-CCE9431645EC}">
                                  <a14:shadowObscured xmlns:a14="http://schemas.microsoft.com/office/drawing/2010/main"/>
                                </a:ext>
                              </a:extLst>
                            </pic:spPr>
                          </pic:pic>
                        </a:graphicData>
                      </a:graphic>
                    </wp:inline>
                  </w:drawing>
                </w:r>
              </w:p>
            </w:tc>
          </w:sdtContent>
        </w:sdt>
      </w:tr>
    </w:tbl>
    <w:p w14:paraId="5148C9D6" w14:textId="51ABEB3F" w:rsidR="003806FD" w:rsidRDefault="003806FD" w:rsidP="0000697C"/>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6"/>
      </w:tblGrid>
      <w:tr w:rsidR="00FF4E13" w14:paraId="42B8F4C9" w14:textId="77777777" w:rsidTr="11AD23A3">
        <w:trPr>
          <w:trHeight w:val="555"/>
        </w:trPr>
        <w:tc>
          <w:tcPr>
            <w:tcW w:w="3515" w:type="dxa"/>
          </w:tcPr>
          <w:p w14:paraId="156799D8" w14:textId="5D2DE0C0" w:rsidR="00FF4E13" w:rsidRPr="00FF4E13" w:rsidRDefault="11AD23A3" w:rsidP="006C0E17">
            <w:pPr>
              <w:jc w:val="center"/>
            </w:pPr>
            <w:r>
              <w:t>517</w:t>
            </w:r>
          </w:p>
        </w:tc>
        <w:tc>
          <w:tcPr>
            <w:tcW w:w="3515" w:type="dxa"/>
          </w:tcPr>
          <w:p w14:paraId="4285A2E6" w14:textId="023D6B6B" w:rsidR="00FF4E13" w:rsidRPr="00FF4E13" w:rsidRDefault="00702353" w:rsidP="006C0E17">
            <w:pPr>
              <w:jc w:val="center"/>
            </w:pPr>
            <w:r>
              <w:t>40</w:t>
            </w:r>
          </w:p>
        </w:tc>
        <w:tc>
          <w:tcPr>
            <w:tcW w:w="3516" w:type="dxa"/>
          </w:tcPr>
          <w:p w14:paraId="1BC72A92" w14:textId="2A07990F" w:rsidR="00FF4E13" w:rsidRPr="00FF4E13" w:rsidRDefault="00DA1EAC" w:rsidP="006C0E17">
            <w:pPr>
              <w:jc w:val="center"/>
            </w:pPr>
            <w:r>
              <w:t>3</w:t>
            </w:r>
            <w:r w:rsidR="00702353">
              <w:t>0</w:t>
            </w:r>
          </w:p>
        </w:tc>
      </w:tr>
      <w:tr w:rsidR="00FF4E13" w14:paraId="5FDE6D89" w14:textId="77777777" w:rsidTr="11AD23A3">
        <w:trPr>
          <w:trHeight w:val="382"/>
        </w:trPr>
        <w:tc>
          <w:tcPr>
            <w:tcW w:w="3515" w:type="dxa"/>
          </w:tcPr>
          <w:p w14:paraId="4C93A360" w14:textId="55320555" w:rsidR="00FF4E13" w:rsidRPr="00FF4E13" w:rsidRDefault="005F4EB5" w:rsidP="006C0E17">
            <w:pPr>
              <w:jc w:val="center"/>
            </w:pPr>
            <w:r>
              <w:t>STUDENTS</w:t>
            </w:r>
          </w:p>
        </w:tc>
        <w:tc>
          <w:tcPr>
            <w:tcW w:w="3515" w:type="dxa"/>
          </w:tcPr>
          <w:p w14:paraId="56EF8A57" w14:textId="4F9BCD4B" w:rsidR="00FF4E13" w:rsidRPr="00FF4E13" w:rsidRDefault="005F4EB5" w:rsidP="006C0E17">
            <w:pPr>
              <w:jc w:val="center"/>
            </w:pPr>
            <w:r>
              <w:t>LEARNING SPACES</w:t>
            </w:r>
          </w:p>
        </w:tc>
        <w:tc>
          <w:tcPr>
            <w:tcW w:w="3516" w:type="dxa"/>
          </w:tcPr>
          <w:p w14:paraId="3E9B1E19" w14:textId="5707D837" w:rsidR="00FF4E13" w:rsidRPr="00FF4E13" w:rsidRDefault="00FF4E13" w:rsidP="006C0E17">
            <w:pPr>
              <w:jc w:val="center"/>
            </w:pPr>
            <w:r w:rsidRPr="00FF4E13">
              <w:t>TE</w:t>
            </w:r>
            <w:r w:rsidR="005F4EB5">
              <w:t>ACHERS</w:t>
            </w:r>
          </w:p>
        </w:tc>
      </w:tr>
    </w:tbl>
    <w:p w14:paraId="28724F74" w14:textId="77777777" w:rsidR="006A6554" w:rsidRDefault="006A6554" w:rsidP="00DF5B1E">
      <w:pPr>
        <w:pStyle w:val="Heading1"/>
      </w:pPr>
      <w:r w:rsidRPr="006A6554">
        <w:t xml:space="preserve">The NK Way </w:t>
      </w:r>
    </w:p>
    <w:p w14:paraId="7F2C4D33" w14:textId="40827528" w:rsidR="00FF4E13" w:rsidRPr="00222A64" w:rsidRDefault="00702353" w:rsidP="0000697C">
      <w:r>
        <w:t>North Kellyville</w:t>
      </w:r>
      <w:r w:rsidR="00E0517A">
        <w:t xml:space="preserve"> Public School</w:t>
      </w:r>
      <w:r>
        <w:t xml:space="preserve"> is a new primary school, opened January 2019. </w:t>
      </w:r>
      <w:r w:rsidR="00222A64">
        <w:t xml:space="preserve">As a “boldly future-focused” </w:t>
      </w:r>
      <w:r w:rsidR="00F649E1">
        <w:t xml:space="preserve">(K. McGill, AP) </w:t>
      </w:r>
      <w:r w:rsidR="00222A64">
        <w:t xml:space="preserve">school, establishing a culture of innovation and a </w:t>
      </w:r>
      <w:r w:rsidR="00F91B2E">
        <w:t xml:space="preserve">contextually specific </w:t>
      </w:r>
      <w:r w:rsidR="00222A64">
        <w:t>case for change</w:t>
      </w:r>
      <w:r w:rsidR="00E0517A">
        <w:t xml:space="preserve"> is </w:t>
      </w:r>
      <w:r w:rsidR="00222A64">
        <w:t xml:space="preserve">crucial. </w:t>
      </w:r>
      <w:r w:rsidR="00E0517A">
        <w:t>‘</w:t>
      </w:r>
      <w:r w:rsidR="00222A64">
        <w:t>The NK</w:t>
      </w:r>
      <w:r w:rsidR="00CD5FDD">
        <w:t xml:space="preserve"> </w:t>
      </w:r>
      <w:r w:rsidR="00222A64">
        <w:t>Way</w:t>
      </w:r>
      <w:r w:rsidR="00E0517A">
        <w:t>’</w:t>
      </w:r>
      <w:r w:rsidR="00222A64">
        <w:t xml:space="preserve"> is a guiding document </w:t>
      </w:r>
      <w:r w:rsidR="00E0517A">
        <w:t xml:space="preserve">that </w:t>
      </w:r>
      <w:r w:rsidR="00222A64">
        <w:t>describ</w:t>
      </w:r>
      <w:r w:rsidR="00E0517A">
        <w:t>es</w:t>
      </w:r>
      <w:r w:rsidR="00222A64">
        <w:t xml:space="preserve"> the pillars for quality teaching, learning and leading</w:t>
      </w:r>
      <w:r w:rsidR="00E0517A">
        <w:t>.</w:t>
      </w:r>
      <w:r w:rsidR="00222A64">
        <w:t xml:space="preserve"> </w:t>
      </w:r>
      <w:r w:rsidR="00E0517A">
        <w:t xml:space="preserve">It had </w:t>
      </w:r>
      <w:r w:rsidR="00222A64">
        <w:t xml:space="preserve">its genesis in SLEC’s </w:t>
      </w:r>
      <w:r w:rsidR="00E0517A">
        <w:t>‘</w:t>
      </w:r>
      <w:r w:rsidR="00222A64">
        <w:t>portrait of a graduate</w:t>
      </w:r>
      <w:r w:rsidR="00E0517A">
        <w:t>’</w:t>
      </w:r>
      <w:r w:rsidR="00222A64">
        <w:t xml:space="preserve"> activity</w:t>
      </w:r>
      <w:r w:rsidR="00FF4E13" w:rsidRPr="003D65B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FF4E13" w14:paraId="4E3F09F1" w14:textId="77777777" w:rsidTr="4B7110E1">
        <w:tc>
          <w:tcPr>
            <w:tcW w:w="5264" w:type="dxa"/>
          </w:tcPr>
          <w:p w14:paraId="4B04E1B6" w14:textId="6351330F" w:rsidR="00FF4E13" w:rsidRPr="00A911E3" w:rsidRDefault="00FF4E13" w:rsidP="0000697C">
            <w:pPr>
              <w:pStyle w:val="Heading2"/>
              <w:outlineLvl w:val="1"/>
            </w:pPr>
            <w:r w:rsidRPr="00A911E3">
              <w:t>Why?</w:t>
            </w:r>
          </w:p>
        </w:tc>
        <w:tc>
          <w:tcPr>
            <w:tcW w:w="5264" w:type="dxa"/>
          </w:tcPr>
          <w:p w14:paraId="1553E32E" w14:textId="3D20BCC3" w:rsidR="00FF4E13" w:rsidRPr="00A911E3" w:rsidRDefault="00FF4E13" w:rsidP="0000697C">
            <w:pPr>
              <w:pStyle w:val="Heading2"/>
              <w:outlineLvl w:val="1"/>
            </w:pPr>
            <w:r w:rsidRPr="00A911E3">
              <w:t>How?</w:t>
            </w:r>
          </w:p>
        </w:tc>
      </w:tr>
      <w:tr w:rsidR="00FF4E13" w14:paraId="7EF81957" w14:textId="77777777" w:rsidTr="4B7110E1">
        <w:tc>
          <w:tcPr>
            <w:tcW w:w="5264" w:type="dxa"/>
          </w:tcPr>
          <w:p w14:paraId="14956D6A" w14:textId="0BF0783D" w:rsidR="00FF4E13" w:rsidRPr="003D65BE" w:rsidRDefault="00222A64" w:rsidP="0000697C">
            <w:r w:rsidRPr="00222A64">
              <w:t xml:space="preserve">Belonging was </w:t>
            </w:r>
            <w:r w:rsidR="007B128D">
              <w:t xml:space="preserve">a </w:t>
            </w:r>
            <w:r w:rsidRPr="00222A64">
              <w:t>focus</w:t>
            </w:r>
            <w:r w:rsidR="00637617">
              <w:t xml:space="preserve"> for the school</w:t>
            </w:r>
            <w:r w:rsidRPr="00222A64">
              <w:t xml:space="preserve"> prior to </w:t>
            </w:r>
            <w:r>
              <w:t xml:space="preserve">the </w:t>
            </w:r>
            <w:r w:rsidRPr="00222A64">
              <w:t xml:space="preserve">new building opening and then </w:t>
            </w:r>
            <w:r w:rsidR="00CC1C76">
              <w:t xml:space="preserve">became </w:t>
            </w:r>
            <w:r w:rsidRPr="00222A64">
              <w:t>of crucial</w:t>
            </w:r>
            <w:r>
              <w:t xml:space="preserve"> importance as staff and students moved into the school.</w:t>
            </w:r>
            <w:r w:rsidR="00F649E1">
              <w:t xml:space="preserve"> </w:t>
            </w:r>
            <w:r w:rsidR="00CC1C76">
              <w:t>‘</w:t>
            </w:r>
            <w:r w:rsidR="00F649E1">
              <w:t>#</w:t>
            </w:r>
            <w:proofErr w:type="spellStart"/>
            <w:r w:rsidR="00F649E1">
              <w:t>IBelongAtNK</w:t>
            </w:r>
            <w:proofErr w:type="spellEnd"/>
            <w:r w:rsidR="00CC1C76">
              <w:t>’</w:t>
            </w:r>
            <w:r w:rsidR="00F649E1">
              <w:t xml:space="preserve"> became the </w:t>
            </w:r>
            <w:r w:rsidR="00690FBC">
              <w:t>foundation</w:t>
            </w:r>
            <w:r w:rsidR="00F649E1">
              <w:t xml:space="preserve"> of the school culture.</w:t>
            </w:r>
          </w:p>
          <w:p w14:paraId="7481D4E2" w14:textId="23417D80" w:rsidR="0053296D" w:rsidRDefault="00F649E1" w:rsidP="0000697C">
            <w:r>
              <w:t xml:space="preserve">A key challenge was bringing </w:t>
            </w:r>
            <w:r w:rsidR="00637617">
              <w:t xml:space="preserve">together </w:t>
            </w:r>
            <w:r>
              <w:t>staff who had come from over 15 schools</w:t>
            </w:r>
            <w:r w:rsidR="0053296D" w:rsidRPr="003D65BE">
              <w:t>.</w:t>
            </w:r>
            <w:r>
              <w:t xml:space="preserve"> Guiding principles were needed to unify the </w:t>
            </w:r>
            <w:r w:rsidR="00DF5B1E">
              <w:t xml:space="preserve">rich </w:t>
            </w:r>
            <w:r>
              <w:t>va</w:t>
            </w:r>
            <w:r w:rsidR="008E1879">
              <w:t>riety of experiences and ideas</w:t>
            </w:r>
            <w:r w:rsidR="00CA7F00">
              <w:t xml:space="preserve"> the teaching team brought</w:t>
            </w:r>
            <w:r w:rsidR="008E1879">
              <w:t>.</w:t>
            </w:r>
          </w:p>
          <w:p w14:paraId="636D3F29" w14:textId="749DE89A" w:rsidR="00F649E1" w:rsidRPr="00DA1EAC" w:rsidRDefault="00DA1EAC" w:rsidP="0000697C">
            <w:r>
              <w:t>Building u</w:t>
            </w:r>
            <w:r w:rsidRPr="00DA1EAC">
              <w:t xml:space="preserve">nderstanding </w:t>
            </w:r>
            <w:r>
              <w:t xml:space="preserve">of </w:t>
            </w:r>
            <w:r w:rsidRPr="00DA1EAC">
              <w:t>the opportunities</w:t>
            </w:r>
            <w:r>
              <w:t xml:space="preserve"> for </w:t>
            </w:r>
            <w:r w:rsidR="00DF5B1E">
              <w:t>forward facing</w:t>
            </w:r>
            <w:r>
              <w:t xml:space="preserve"> pedagogy made possible by the design of the new learning spaces was</w:t>
            </w:r>
            <w:r w:rsidRPr="00DA1EAC">
              <w:t xml:space="preserve"> </w:t>
            </w:r>
            <w:r>
              <w:t>a</w:t>
            </w:r>
            <w:r w:rsidRPr="00DA1EAC">
              <w:t xml:space="preserve"> </w:t>
            </w:r>
            <w:r>
              <w:t xml:space="preserve">motivating factor in creating the </w:t>
            </w:r>
            <w:r w:rsidR="00CA7F00">
              <w:t>‘</w:t>
            </w:r>
            <w:r>
              <w:t>NK</w:t>
            </w:r>
            <w:r w:rsidR="00CD5FDD">
              <w:t xml:space="preserve"> </w:t>
            </w:r>
            <w:r>
              <w:t>Way</w:t>
            </w:r>
            <w:r w:rsidR="00CA7F00">
              <w:t>’</w:t>
            </w:r>
            <w:r>
              <w:t>.</w:t>
            </w:r>
          </w:p>
        </w:tc>
        <w:tc>
          <w:tcPr>
            <w:tcW w:w="5264" w:type="dxa"/>
          </w:tcPr>
          <w:p w14:paraId="2FB42599" w14:textId="0CC54270" w:rsidR="007254B3" w:rsidRDefault="00DA1EAC" w:rsidP="0000697C">
            <w:r>
              <w:t xml:space="preserve">Staff were supported with strategically timed and </w:t>
            </w:r>
            <w:r w:rsidR="00EC72A8">
              <w:t>selected</w:t>
            </w:r>
            <w:r>
              <w:t xml:space="preserve"> professional learning so they would have the capacity and skills to offer effective and </w:t>
            </w:r>
            <w:r w:rsidR="00DF5B1E">
              <w:t xml:space="preserve">engaging </w:t>
            </w:r>
            <w:r w:rsidR="007254B3">
              <w:t xml:space="preserve">learning </w:t>
            </w:r>
            <w:r>
              <w:t>experiences in flexible learning spaces.</w:t>
            </w:r>
          </w:p>
          <w:p w14:paraId="503C0EC0" w14:textId="0692708C" w:rsidR="007254B3" w:rsidRDefault="00896478" w:rsidP="0000697C">
            <w:r>
              <w:t>I</w:t>
            </w:r>
            <w:r w:rsidR="00DA1EAC">
              <w:t>nitially</w:t>
            </w:r>
            <w:r w:rsidR="00D73E2D">
              <w:t>,</w:t>
            </w:r>
            <w:r w:rsidR="00DA1EAC">
              <w:t xml:space="preserve"> staff engag</w:t>
            </w:r>
            <w:r>
              <w:t>ed</w:t>
            </w:r>
            <w:r w:rsidR="00DA1EAC">
              <w:t xml:space="preserve"> in face-to-face training with SLEC’s </w:t>
            </w:r>
            <w:r w:rsidR="00CA7F00">
              <w:t>‘</w:t>
            </w:r>
            <w:r w:rsidR="00DA1EAC">
              <w:t>Flexible Learning Space by Design</w:t>
            </w:r>
            <w:r w:rsidR="00CA7F00">
              <w:t>’</w:t>
            </w:r>
            <w:r w:rsidR="002A1FAF">
              <w:t xml:space="preserve"> course</w:t>
            </w:r>
            <w:r w:rsidR="00DA1EAC">
              <w:t xml:space="preserve">. </w:t>
            </w:r>
            <w:r w:rsidR="00AA722D">
              <w:t xml:space="preserve">All staff including </w:t>
            </w:r>
            <w:proofErr w:type="spellStart"/>
            <w:r w:rsidR="00166C8A">
              <w:t>LaST</w:t>
            </w:r>
            <w:proofErr w:type="spellEnd"/>
            <w:r w:rsidR="00AA722D">
              <w:t xml:space="preserve"> and </w:t>
            </w:r>
            <w:r w:rsidR="00166C8A">
              <w:t xml:space="preserve">SLSO </w:t>
            </w:r>
            <w:r w:rsidR="00AA722D">
              <w:t xml:space="preserve">took part. </w:t>
            </w:r>
          </w:p>
          <w:p w14:paraId="711CF536" w14:textId="403A6BB3" w:rsidR="0053296D" w:rsidRPr="00AA722D" w:rsidRDefault="00DA1EAC" w:rsidP="0000697C">
            <w:r>
              <w:t xml:space="preserve">Collegial discussions </w:t>
            </w:r>
            <w:r w:rsidR="00896478">
              <w:t>led to</w:t>
            </w:r>
            <w:r w:rsidR="00CA7F00">
              <w:t xml:space="preserve"> the</w:t>
            </w:r>
            <w:r>
              <w:t xml:space="preserve"> co-construction of</w:t>
            </w:r>
            <w:r w:rsidR="00AA722D">
              <w:t xml:space="preserve"> </w:t>
            </w:r>
            <w:r w:rsidR="00896478">
              <w:t xml:space="preserve">settings and </w:t>
            </w:r>
            <w:r w:rsidR="00AA722D">
              <w:t xml:space="preserve">learning activities </w:t>
            </w:r>
            <w:r w:rsidR="00CA7F00">
              <w:t xml:space="preserve">that took full advantage of </w:t>
            </w:r>
            <w:r w:rsidR="00AA722D">
              <w:t xml:space="preserve">the new </w:t>
            </w:r>
            <w:r w:rsidR="00896478">
              <w:t>spaces</w:t>
            </w:r>
            <w:r w:rsidR="00AA722D">
              <w:t xml:space="preserve">. Teacher leaders attended additional </w:t>
            </w:r>
            <w:r w:rsidR="00896478">
              <w:t xml:space="preserve">SLEC </w:t>
            </w:r>
            <w:r w:rsidR="00AA722D">
              <w:t xml:space="preserve">training </w:t>
            </w:r>
            <w:r w:rsidR="00374FD0">
              <w:t>to explore</w:t>
            </w:r>
            <w:r w:rsidR="00AA722D">
              <w:t xml:space="preserve"> </w:t>
            </w:r>
            <w:r w:rsidR="00896478">
              <w:t>the nature of future workplaces</w:t>
            </w:r>
            <w:r w:rsidR="00DF5B1E">
              <w:t>, desirable competencies, and skills</w:t>
            </w:r>
            <w:r w:rsidR="00896478">
              <w:t xml:space="preserve"> and </w:t>
            </w:r>
            <w:r w:rsidR="00FC52F9">
              <w:t xml:space="preserve">how to leverage </w:t>
            </w:r>
            <w:r w:rsidR="00AA722D">
              <w:t>pedagogy</w:t>
            </w:r>
            <w:r w:rsidR="00896478">
              <w:t xml:space="preserve"> to </w:t>
            </w:r>
            <w:r w:rsidR="00FC52F9">
              <w:t>enhance</w:t>
            </w:r>
            <w:r w:rsidR="00AA722D">
              <w:t xml:space="preserve"> learning.</w:t>
            </w:r>
          </w:p>
        </w:tc>
      </w:tr>
    </w:tbl>
    <w:tbl>
      <w:tblPr>
        <w:tblStyle w:val="TableGrid"/>
        <w:tblpPr w:leftFromText="180" w:rightFromText="180" w:vertAnchor="text" w:horzAnchor="margin" w:tblpXSpec="center" w:tblpY="317"/>
        <w:tblW w:w="0" w:type="auto"/>
        <w:tblBorders>
          <w:top w:val="none" w:sz="0" w:space="0" w:color="auto"/>
          <w:left w:val="single" w:sz="24" w:space="0" w:color="FF0000"/>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8"/>
      </w:tblGrid>
      <w:tr w:rsidR="005D29B6" w:rsidRPr="0024089C" w14:paraId="41679DDA" w14:textId="77777777" w:rsidTr="4B7110E1">
        <w:trPr>
          <w:trHeight w:val="1320"/>
        </w:trPr>
        <w:tc>
          <w:tcPr>
            <w:tcW w:w="7058" w:type="dxa"/>
            <w:vAlign w:val="center"/>
          </w:tcPr>
          <w:p w14:paraId="56ACE204" w14:textId="5DD95963" w:rsidR="005D29B6" w:rsidRPr="0024089C" w:rsidRDefault="248185AA" w:rsidP="005D29B6">
            <w:pPr>
              <w:pStyle w:val="IntenseQuote"/>
              <w:rPr>
                <w:color w:val="808080" w:themeColor="background1" w:themeShade="80"/>
                <w:highlight w:val="yellow"/>
              </w:rPr>
            </w:pPr>
            <w:r>
              <w:t>“The NK Way is an aspirational vision for the school that unites students, staff and parents.”</w:t>
            </w:r>
          </w:p>
        </w:tc>
      </w:tr>
    </w:tbl>
    <w:p w14:paraId="34D66CC0" w14:textId="2F2BF7E6" w:rsidR="00FF4E13" w:rsidRDefault="00FF4E13" w:rsidP="0000697C"/>
    <w:p w14:paraId="3B3C9087" w14:textId="77777777" w:rsidR="0053296D" w:rsidRDefault="0053296D" w:rsidP="0000697C"/>
    <w:p w14:paraId="048D02DF" w14:textId="77777777" w:rsidR="0053296D" w:rsidRDefault="0053296D" w:rsidP="0000697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53296D" w:rsidRPr="0053296D" w14:paraId="39FAC8B5" w14:textId="77777777" w:rsidTr="4B7110E1">
        <w:tc>
          <w:tcPr>
            <w:tcW w:w="5264" w:type="dxa"/>
          </w:tcPr>
          <w:p w14:paraId="198677EC" w14:textId="640D24B4" w:rsidR="0053296D" w:rsidRPr="00A911E3" w:rsidRDefault="0053296D" w:rsidP="0000697C">
            <w:pPr>
              <w:pStyle w:val="Heading2"/>
              <w:outlineLvl w:val="1"/>
            </w:pPr>
            <w:r w:rsidRPr="00A911E3">
              <w:lastRenderedPageBreak/>
              <w:t>What?</w:t>
            </w:r>
          </w:p>
        </w:tc>
        <w:tc>
          <w:tcPr>
            <w:tcW w:w="5264" w:type="dxa"/>
          </w:tcPr>
          <w:p w14:paraId="56B35CC5" w14:textId="3039DDC6" w:rsidR="0053296D" w:rsidRPr="00A911E3" w:rsidRDefault="00533239" w:rsidP="0000697C">
            <w:pPr>
              <w:pStyle w:val="Heading2"/>
              <w:outlineLvl w:val="1"/>
            </w:pPr>
            <w:r>
              <w:t>Community Engagement</w:t>
            </w:r>
          </w:p>
        </w:tc>
      </w:tr>
      <w:tr w:rsidR="0053296D" w:rsidRPr="0053296D" w14:paraId="3C5A0D99" w14:textId="77777777" w:rsidTr="4B7110E1">
        <w:tc>
          <w:tcPr>
            <w:tcW w:w="5264" w:type="dxa"/>
          </w:tcPr>
          <w:p w14:paraId="5AD6FB4D" w14:textId="0CF18C19" w:rsidR="009E291E" w:rsidRDefault="060D2C1C" w:rsidP="0000697C">
            <w:r>
              <w:t>By</w:t>
            </w:r>
            <w:r w:rsidR="00CA7F00">
              <w:t xml:space="preserve"> opening day</w:t>
            </w:r>
            <w:r>
              <w:t xml:space="preserve">, the number of teachers had doubled. </w:t>
            </w:r>
            <w:r w:rsidR="0EE58CE1">
              <w:t xml:space="preserve">To create a collective vision, </w:t>
            </w:r>
            <w:r>
              <w:t xml:space="preserve">teacher leaders </w:t>
            </w:r>
            <w:r w:rsidR="0EE58CE1">
              <w:t>took new</w:t>
            </w:r>
            <w:r>
              <w:t xml:space="preserve"> staff through SLEC’s </w:t>
            </w:r>
            <w:r w:rsidR="06263C32">
              <w:t xml:space="preserve">activity, ‘A </w:t>
            </w:r>
            <w:r>
              <w:t>portrait of a graduate</w:t>
            </w:r>
            <w:r w:rsidR="06263C32">
              <w:t>’</w:t>
            </w:r>
            <w:r>
              <w:t xml:space="preserve">. This built a common understanding of </w:t>
            </w:r>
            <w:r w:rsidR="48247643">
              <w:t xml:space="preserve">the need for </w:t>
            </w:r>
            <w:r w:rsidR="00352DA4">
              <w:t>contextually appropriate</w:t>
            </w:r>
            <w:r w:rsidR="48247643">
              <w:t xml:space="preserve"> pedagogy to equip </w:t>
            </w:r>
            <w:r w:rsidR="22A66F28">
              <w:t>students</w:t>
            </w:r>
            <w:r w:rsidR="48247643">
              <w:t xml:space="preserve"> </w:t>
            </w:r>
            <w:r w:rsidR="00CA7F00">
              <w:t>to thrive in</w:t>
            </w:r>
            <w:r>
              <w:t xml:space="preserve"> a rapidly changing global community.</w:t>
            </w:r>
          </w:p>
          <w:p w14:paraId="5EC65DC7" w14:textId="2A607591" w:rsidR="00F570D0" w:rsidRDefault="009E291E" w:rsidP="0000697C">
            <w:r>
              <w:t>Teache</w:t>
            </w:r>
            <w:r w:rsidR="00F570D0">
              <w:t>r</w:t>
            </w:r>
            <w:r>
              <w:t xml:space="preserve">s worked in three groups to generate ideas </w:t>
            </w:r>
            <w:r w:rsidR="001F68DB">
              <w:t xml:space="preserve">about </w:t>
            </w:r>
            <w:r w:rsidR="000153D5">
              <w:t>qualities</w:t>
            </w:r>
            <w:r>
              <w:t xml:space="preserve"> they wanted to foster in their students. </w:t>
            </w:r>
            <w:r w:rsidR="00A81BB9">
              <w:t>C</w:t>
            </w:r>
            <w:r w:rsidR="000153D5">
              <w:t xml:space="preserve">ontributions </w:t>
            </w:r>
            <w:r w:rsidR="00A81BB9">
              <w:t>included</w:t>
            </w:r>
            <w:r w:rsidR="000153D5">
              <w:t xml:space="preserve"> </w:t>
            </w:r>
            <w:r w:rsidR="00935460">
              <w:t xml:space="preserve">academic </w:t>
            </w:r>
            <w:r w:rsidR="001F68DB">
              <w:t>consideration</w:t>
            </w:r>
            <w:r w:rsidR="00935460">
              <w:t>s</w:t>
            </w:r>
            <w:r w:rsidR="001F68DB">
              <w:t xml:space="preserve"> </w:t>
            </w:r>
            <w:r w:rsidR="00935460">
              <w:t>such as</w:t>
            </w:r>
            <w:r w:rsidR="00A81BB9">
              <w:t xml:space="preserve"> literacy and numeracy. H</w:t>
            </w:r>
            <w:r w:rsidR="000153D5">
              <w:t>owever,</w:t>
            </w:r>
            <w:r>
              <w:t xml:space="preserve"> </w:t>
            </w:r>
            <w:r w:rsidR="000153D5">
              <w:t xml:space="preserve">the main focus was </w:t>
            </w:r>
            <w:r w:rsidR="008C400D">
              <w:t xml:space="preserve">graduate </w:t>
            </w:r>
            <w:r w:rsidR="000153D5">
              <w:t>characteristics</w:t>
            </w:r>
            <w:r w:rsidR="00F54A53">
              <w:t xml:space="preserve"> and skills</w:t>
            </w:r>
            <w:r w:rsidR="00126005">
              <w:t>.</w:t>
            </w:r>
          </w:p>
          <w:p w14:paraId="76F92D54" w14:textId="227859F7" w:rsidR="0053296D" w:rsidRPr="003D65BE" w:rsidRDefault="00C30946" w:rsidP="0000697C">
            <w:pPr>
              <w:rPr>
                <w:szCs w:val="20"/>
              </w:rPr>
            </w:pPr>
            <w:r>
              <w:rPr>
                <w:szCs w:val="20"/>
              </w:rPr>
              <w:t>E</w:t>
            </w:r>
            <w:r w:rsidR="000153D5">
              <w:rPr>
                <w:szCs w:val="20"/>
              </w:rPr>
              <w:t xml:space="preserve">xecutive </w:t>
            </w:r>
            <w:r>
              <w:rPr>
                <w:szCs w:val="20"/>
              </w:rPr>
              <w:t>staff</w:t>
            </w:r>
            <w:r w:rsidR="00F570D0">
              <w:rPr>
                <w:szCs w:val="20"/>
              </w:rPr>
              <w:t xml:space="preserve"> </w:t>
            </w:r>
            <w:r w:rsidR="000153D5">
              <w:rPr>
                <w:szCs w:val="20"/>
              </w:rPr>
              <w:t>and aspiring</w:t>
            </w:r>
            <w:bookmarkStart w:id="0" w:name="_GoBack"/>
            <w:bookmarkEnd w:id="0"/>
            <w:r w:rsidR="000153D5">
              <w:rPr>
                <w:szCs w:val="20"/>
              </w:rPr>
              <w:t xml:space="preserve"> leaders </w:t>
            </w:r>
            <w:r>
              <w:rPr>
                <w:szCs w:val="20"/>
              </w:rPr>
              <w:t>collated</w:t>
            </w:r>
            <w:r w:rsidR="000153D5">
              <w:rPr>
                <w:szCs w:val="20"/>
              </w:rPr>
              <w:t xml:space="preserve"> the lists and distilled the ideas. </w:t>
            </w:r>
            <w:r>
              <w:rPr>
                <w:szCs w:val="20"/>
              </w:rPr>
              <w:t>W</w:t>
            </w:r>
            <w:r w:rsidR="002439B8">
              <w:rPr>
                <w:szCs w:val="20"/>
              </w:rPr>
              <w:t>ording was workshopped by all staff</w:t>
            </w:r>
            <w:r w:rsidR="00A82830">
              <w:rPr>
                <w:szCs w:val="20"/>
              </w:rPr>
              <w:t>. It</w:t>
            </w:r>
            <w:r w:rsidR="002439B8">
              <w:rPr>
                <w:szCs w:val="20"/>
              </w:rPr>
              <w:t xml:space="preserve"> </w:t>
            </w:r>
            <w:r w:rsidR="002439B8" w:rsidRPr="000D7463">
              <w:t>led</w:t>
            </w:r>
            <w:r>
              <w:t xml:space="preserve"> to significant revision of the </w:t>
            </w:r>
            <w:r w:rsidR="002439B8" w:rsidRPr="000D7463">
              <w:t>language being used</w:t>
            </w:r>
            <w:r w:rsidR="001F68DB">
              <w:t xml:space="preserve"> in the ‘NK Way’</w:t>
            </w:r>
            <w:r w:rsidR="002439B8" w:rsidRPr="000D7463">
              <w:t>, for example “professional development” was changed to “professional learning” to reflect that both teachers and students learn.</w:t>
            </w:r>
          </w:p>
        </w:tc>
        <w:tc>
          <w:tcPr>
            <w:tcW w:w="5264" w:type="dxa"/>
          </w:tcPr>
          <w:p w14:paraId="19E2A43E" w14:textId="7E2010A0" w:rsidR="002439B8" w:rsidRDefault="00352DA4" w:rsidP="0000697C">
            <w:r>
              <w:t>Personalised</w:t>
            </w:r>
            <w:r w:rsidR="00533239">
              <w:t xml:space="preserve"> learn</w:t>
            </w:r>
            <w:r w:rsidR="690F77CF">
              <w:t xml:space="preserve">ing has been an important </w:t>
            </w:r>
            <w:r w:rsidR="00533239">
              <w:t>focus</w:t>
            </w:r>
            <w:r w:rsidR="690F77CF">
              <w:t xml:space="preserve"> in the messaging </w:t>
            </w:r>
            <w:r w:rsidR="00715FD5">
              <w:t xml:space="preserve">for </w:t>
            </w:r>
            <w:r w:rsidR="690F77CF">
              <w:t>the community. The vision that NKPS had of authentic and deep differentiation was developed further through the portrait of a graduate activity</w:t>
            </w:r>
            <w:r w:rsidR="0053296D">
              <w:t>.</w:t>
            </w:r>
            <w:r w:rsidR="690F77CF">
              <w:t xml:space="preserve"> </w:t>
            </w:r>
            <w:r w:rsidR="0A5A0289">
              <w:t xml:space="preserve">These early ideas were taken to the P&amp;C to </w:t>
            </w:r>
            <w:r w:rsidR="4B205D30">
              <w:t>include</w:t>
            </w:r>
            <w:r w:rsidR="0A5A0289">
              <w:t xml:space="preserve"> </w:t>
            </w:r>
            <w:r w:rsidR="001F68DB">
              <w:t>community perspectives, which focused on</w:t>
            </w:r>
            <w:r w:rsidR="0A5A0289">
              <w:t xml:space="preserve"> the purpose of schooling, the importance of a fresh start and belonging.</w:t>
            </w:r>
          </w:p>
          <w:p w14:paraId="569DF3A0" w14:textId="40A9556C" w:rsidR="002439B8" w:rsidRDefault="002439B8" w:rsidP="0000697C">
            <w:r w:rsidRPr="000D7463">
              <w:t xml:space="preserve">This </w:t>
            </w:r>
            <w:r w:rsidR="001F68DB">
              <w:t>collaborative</w:t>
            </w:r>
            <w:r w:rsidR="001F68DB" w:rsidRPr="000D7463">
              <w:t xml:space="preserve"> </w:t>
            </w:r>
            <w:r w:rsidRPr="000D7463">
              <w:t xml:space="preserve">approach to </w:t>
            </w:r>
            <w:r>
              <w:t xml:space="preserve">building </w:t>
            </w:r>
            <w:r w:rsidRPr="000D7463">
              <w:t>the idea</w:t>
            </w:r>
            <w:r>
              <w:t xml:space="preserve"> of desired characteristics for NKPS students </w:t>
            </w:r>
            <w:r w:rsidRPr="000D7463">
              <w:t xml:space="preserve">meant there was authentic co-creation </w:t>
            </w:r>
            <w:r w:rsidR="00DF5F01">
              <w:t>that</w:t>
            </w:r>
            <w:r w:rsidRPr="000D7463">
              <w:t xml:space="preserve"> fed into the development of the </w:t>
            </w:r>
            <w:r w:rsidR="001F68DB">
              <w:t>‘</w:t>
            </w:r>
            <w:r w:rsidRPr="000D7463">
              <w:t>NK</w:t>
            </w:r>
            <w:r>
              <w:t xml:space="preserve"> </w:t>
            </w:r>
            <w:r w:rsidRPr="000D7463">
              <w:t>Way</w:t>
            </w:r>
            <w:r w:rsidR="001F68DB">
              <w:t>’</w:t>
            </w:r>
            <w:r>
              <w:t>.</w:t>
            </w:r>
          </w:p>
          <w:p w14:paraId="58B53FB6" w14:textId="0AE4BFEE" w:rsidR="0053296D" w:rsidRPr="003D65BE" w:rsidRDefault="002439B8" w:rsidP="0000697C">
            <w:pPr>
              <w:rPr>
                <w:szCs w:val="20"/>
              </w:rPr>
            </w:pPr>
            <w:r>
              <w:rPr>
                <w:szCs w:val="20"/>
              </w:rPr>
              <w:t>T</w:t>
            </w:r>
            <w:r w:rsidR="00E975C1">
              <w:rPr>
                <w:szCs w:val="20"/>
              </w:rPr>
              <w:t xml:space="preserve">he </w:t>
            </w:r>
            <w:r w:rsidR="001F68DB">
              <w:rPr>
                <w:szCs w:val="20"/>
              </w:rPr>
              <w:t>‘</w:t>
            </w:r>
            <w:r w:rsidR="00E975C1">
              <w:rPr>
                <w:szCs w:val="20"/>
              </w:rPr>
              <w:t>NK Way</w:t>
            </w:r>
            <w:r w:rsidR="001F68DB">
              <w:rPr>
                <w:szCs w:val="20"/>
              </w:rPr>
              <w:t>’</w:t>
            </w:r>
            <w:r w:rsidR="00E975C1">
              <w:rPr>
                <w:szCs w:val="20"/>
              </w:rPr>
              <w:t xml:space="preserve"> enabled rich discussions during enrolment meetings. </w:t>
            </w:r>
            <w:r w:rsidR="00E975C1" w:rsidRPr="000D7463">
              <w:t>In this way</w:t>
            </w:r>
            <w:r w:rsidR="00AD5B55">
              <w:t>,</w:t>
            </w:r>
            <w:r w:rsidR="00E975C1" w:rsidRPr="000D7463">
              <w:t xml:space="preserve"> parents and car</w:t>
            </w:r>
            <w:r w:rsidR="00C30946">
              <w:t>egiv</w:t>
            </w:r>
            <w:r w:rsidR="00E975C1" w:rsidRPr="000D7463">
              <w:t xml:space="preserve">ers were well informed of the vision that NKPS has for their students, along with reasons why </w:t>
            </w:r>
            <w:r w:rsidR="008C400D">
              <w:t>NKPS</w:t>
            </w:r>
            <w:r w:rsidR="00E975C1" w:rsidRPr="000D7463">
              <w:t xml:space="preserve"> w</w:t>
            </w:r>
            <w:r w:rsidR="008C400D">
              <w:t>as moving away</w:t>
            </w:r>
            <w:r w:rsidR="00E975C1" w:rsidRPr="000D7463">
              <w:t xml:space="preserve"> from a traditional mode</w:t>
            </w:r>
            <w:r w:rsidR="009A29B5">
              <w:t>l of teaching toward</w:t>
            </w:r>
            <w:r>
              <w:t xml:space="preserve"> </w:t>
            </w:r>
            <w:r w:rsidR="001F68DB">
              <w:t>one</w:t>
            </w:r>
            <w:r w:rsidR="008C400D">
              <w:t xml:space="preserve"> </w:t>
            </w:r>
            <w:r w:rsidR="009A29B5">
              <w:t>that leverages</w:t>
            </w:r>
            <w:r w:rsidR="008C400D">
              <w:t xml:space="preserve"> </w:t>
            </w:r>
            <w:r w:rsidR="001F68DB">
              <w:t xml:space="preserve">the possibilities of </w:t>
            </w:r>
            <w:r w:rsidR="008C400D">
              <w:t>flexible learning spaces</w:t>
            </w:r>
            <w:r w:rsidR="00E975C1" w:rsidRPr="000D7463">
              <w:t>.</w:t>
            </w:r>
          </w:p>
        </w:tc>
      </w:tr>
    </w:tbl>
    <w:p w14:paraId="44D2056D" w14:textId="65409CEF" w:rsidR="0053296D" w:rsidRDefault="00CE0B24" w:rsidP="002130EF">
      <w:pPr>
        <w:jc w:val="center"/>
      </w:pPr>
      <w:r>
        <w:rPr>
          <w:noProof/>
        </w:rPr>
        <w:drawing>
          <wp:inline distT="0" distB="0" distL="0" distR="0" wp14:anchorId="00272584" wp14:editId="5627E5CA">
            <wp:extent cx="5585402" cy="38520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585402" cy="3852000"/>
                    </a:xfrm>
                    <a:prstGeom prst="rect">
                      <a:avLst/>
                    </a:prstGeom>
                  </pic:spPr>
                </pic:pic>
              </a:graphicData>
            </a:graphic>
          </wp:inline>
        </w:drawing>
      </w:r>
    </w:p>
    <w:p w14:paraId="5B3CA246" w14:textId="117B4563" w:rsidR="00533239" w:rsidRPr="00A911E3" w:rsidRDefault="00A82830" w:rsidP="0000697C">
      <w:pPr>
        <w:pStyle w:val="Heading2"/>
      </w:pPr>
      <w:r>
        <w:lastRenderedPageBreak/>
        <w:t xml:space="preserve">Building </w:t>
      </w:r>
      <w:r w:rsidR="00533239">
        <w:t>Teacher</w:t>
      </w:r>
      <w:r w:rsidR="00533239" w:rsidRPr="00A911E3">
        <w:t xml:space="preserve"> </w:t>
      </w:r>
      <w:r>
        <w:t>Confidence</w:t>
      </w:r>
    </w:p>
    <w:p w14:paraId="544053F0" w14:textId="03B10EF4" w:rsidR="00A82830" w:rsidRDefault="00A610C3" w:rsidP="0000697C">
      <w:r>
        <w:t xml:space="preserve">As </w:t>
      </w:r>
      <w:r w:rsidR="007B7FA2">
        <w:t>the school grew and</w:t>
      </w:r>
      <w:r>
        <w:t xml:space="preserve"> teachers joined the team, a positive culture of a willingness to take </w:t>
      </w:r>
      <w:r w:rsidR="007B128D">
        <w:t xml:space="preserve">risks trialling new teaching practices </w:t>
      </w:r>
      <w:r>
        <w:t>was established</w:t>
      </w:r>
      <w:r w:rsidR="00D43BCA">
        <w:t>, despite</w:t>
      </w:r>
      <w:r w:rsidR="00A82830">
        <w:t xml:space="preserve"> many of them </w:t>
      </w:r>
      <w:r w:rsidR="001F68DB">
        <w:t>being new to</w:t>
      </w:r>
      <w:r w:rsidR="00CD5FDD">
        <w:t xml:space="preserve"> </w:t>
      </w:r>
      <w:r w:rsidR="00C84FA8">
        <w:t>working in these spaces</w:t>
      </w:r>
      <w:r w:rsidR="00A82830">
        <w:t xml:space="preserve">. The challenges faced in learning to </w:t>
      </w:r>
      <w:r w:rsidR="00C84FA8">
        <w:t>operate</w:t>
      </w:r>
      <w:r w:rsidR="00A82830">
        <w:t xml:space="preserve"> in</w:t>
      </w:r>
      <w:r w:rsidR="005500FD">
        <w:t xml:space="preserve"> </w:t>
      </w:r>
      <w:r w:rsidR="001F68DB">
        <w:t xml:space="preserve">new </w:t>
      </w:r>
      <w:r w:rsidR="00A82830">
        <w:t>spaces were compounded</w:t>
      </w:r>
      <w:r w:rsidR="005500FD">
        <w:t xml:space="preserve"> by the complex </w:t>
      </w:r>
      <w:r w:rsidR="00BD2434">
        <w:t xml:space="preserve">learning </w:t>
      </w:r>
      <w:r w:rsidR="00A82830">
        <w:t>need</w:t>
      </w:r>
      <w:r w:rsidR="00BD2434">
        <w:t>s</w:t>
      </w:r>
      <w:r w:rsidR="00A82830">
        <w:t xml:space="preserve"> </w:t>
      </w:r>
      <w:r w:rsidR="005500FD">
        <w:t>of</w:t>
      </w:r>
      <w:r w:rsidR="00A82830">
        <w:t xml:space="preserve"> some students. This meant that some staff were a little hesitant</w:t>
      </w:r>
      <w:r w:rsidR="00BD2434">
        <w:t xml:space="preserve"> to embrace contemporary pedagogy and </w:t>
      </w:r>
      <w:r w:rsidR="002C1815">
        <w:t xml:space="preserve">felt </w:t>
      </w:r>
      <w:r w:rsidR="00BD2434">
        <w:t xml:space="preserve">uncertain about </w:t>
      </w:r>
      <w:r w:rsidR="002C1815">
        <w:t xml:space="preserve">teaching in </w:t>
      </w:r>
      <w:r w:rsidR="001F68DB">
        <w:t>flexible learning spaces</w:t>
      </w:r>
      <w:r w:rsidR="00A82830">
        <w:t>.</w:t>
      </w:r>
    </w:p>
    <w:p w14:paraId="248B6AA8" w14:textId="19DCA131" w:rsidR="00CE0B24" w:rsidRDefault="00A82830" w:rsidP="0000697C">
      <w:r>
        <w:t>SLEC delivered a second whole</w:t>
      </w:r>
      <w:r w:rsidR="001F68DB">
        <w:t>-</w:t>
      </w:r>
      <w:r>
        <w:t xml:space="preserve">staff </w:t>
      </w:r>
      <w:r w:rsidR="007B128D">
        <w:t>professional learning session that was differentiated based on the prior experience of teachers; those who had completed</w:t>
      </w:r>
      <w:r>
        <w:t xml:space="preserve"> </w:t>
      </w:r>
      <w:r w:rsidR="007B128D">
        <w:t xml:space="preserve">session one </w:t>
      </w:r>
      <w:r>
        <w:t xml:space="preserve">and new staff. For staff who had already </w:t>
      </w:r>
      <w:r w:rsidR="004B7C56">
        <w:t xml:space="preserve">completed </w:t>
      </w:r>
      <w:r w:rsidR="001F68DB">
        <w:t>’Flexible Learning Space by Design’</w:t>
      </w:r>
      <w:r w:rsidR="004B7C56">
        <w:t>,</w:t>
      </w:r>
      <w:r>
        <w:t xml:space="preserve"> this session was very valuable as a consolidation of their learning and an opportunity to revisit questions from a more informed position where strategies had been tria</w:t>
      </w:r>
      <w:r w:rsidR="00B743CD">
        <w:t>l</w:t>
      </w:r>
      <w:r>
        <w:t>led but needed refining. For new staff</w:t>
      </w:r>
      <w:r w:rsidR="00BD2434">
        <w:t>,</w:t>
      </w:r>
      <w:r>
        <w:t xml:space="preserve"> the session focused on </w:t>
      </w:r>
      <w:r w:rsidR="00F734DD">
        <w:t>how</w:t>
      </w:r>
      <w:r w:rsidR="004E57F6">
        <w:t xml:space="preserve"> </w:t>
      </w:r>
      <w:r w:rsidR="001F68DB">
        <w:t>great teaching in flexible learning spaces</w:t>
      </w:r>
      <w:r w:rsidR="004E57F6">
        <w:t xml:space="preserve"> </w:t>
      </w:r>
      <w:r w:rsidR="00F734DD">
        <w:t xml:space="preserve">can </w:t>
      </w:r>
      <w:r w:rsidR="004E57F6">
        <w:t xml:space="preserve">support </w:t>
      </w:r>
      <w:r w:rsidR="00581A9C">
        <w:t xml:space="preserve">a </w:t>
      </w:r>
      <w:r>
        <w:t xml:space="preserve">broad variety </w:t>
      </w:r>
      <w:r w:rsidR="00C310BF">
        <w:t xml:space="preserve">of students, strengthen inclusive education and </w:t>
      </w:r>
      <w:r w:rsidR="001F68DB">
        <w:t xml:space="preserve">enable </w:t>
      </w:r>
      <w:r w:rsidR="00C310BF">
        <w:t>smooth</w:t>
      </w:r>
      <w:r w:rsidR="001F68DB">
        <w:t xml:space="preserve"> </w:t>
      </w:r>
      <w:r>
        <w:t>student transitions between activities</w:t>
      </w:r>
      <w:r w:rsidR="00352DA4">
        <w:t xml:space="preserve"> and zones within the learning spaces</w:t>
      </w:r>
      <w:r>
        <w:t>.</w:t>
      </w:r>
    </w:p>
    <w:p w14:paraId="38884A2B" w14:textId="47216462" w:rsidR="00C12D5C" w:rsidRPr="00C12D5C" w:rsidRDefault="008978DF" w:rsidP="0000697C">
      <w:r>
        <w:t>Attending further</w:t>
      </w:r>
      <w:r w:rsidR="00A82830" w:rsidRPr="000D7463">
        <w:t xml:space="preserve"> PL</w:t>
      </w:r>
      <w:r>
        <w:t xml:space="preserve"> with SLEC </w:t>
      </w:r>
      <w:r w:rsidR="00B50A4B">
        <w:t xml:space="preserve">increased the confidence of </w:t>
      </w:r>
      <w:r w:rsidR="00A82830" w:rsidRPr="000D7463">
        <w:t xml:space="preserve">staff to take a variety of strategies and ideas and </w:t>
      </w:r>
      <w:r>
        <w:t>apply them in</w:t>
      </w:r>
      <w:r w:rsidR="00A82830" w:rsidRPr="000D7463">
        <w:t xml:space="preserve"> their own</w:t>
      </w:r>
      <w:r>
        <w:t xml:space="preserve"> way</w:t>
      </w:r>
      <w:r w:rsidR="00B50A4B">
        <w:t>s</w:t>
      </w:r>
      <w:r w:rsidR="00A82830">
        <w:t>.</w:t>
      </w:r>
      <w:r w:rsidR="003248FA">
        <w:t xml:space="preserve"> This contributed to momentum being </w:t>
      </w:r>
      <w:r>
        <w:t>generated</w:t>
      </w:r>
      <w:r w:rsidR="003248FA">
        <w:t xml:space="preserve"> through sharing </w:t>
      </w:r>
      <w:r w:rsidR="003248FA" w:rsidRPr="000D7463">
        <w:t>existing expertise and the growing experience</w:t>
      </w:r>
      <w:r>
        <w:t>s</w:t>
      </w:r>
      <w:r w:rsidR="003248FA" w:rsidRPr="000D7463">
        <w:t xml:space="preserve"> in </w:t>
      </w:r>
      <w:r w:rsidR="00B50A4B">
        <w:t>flexible learning spaces</w:t>
      </w:r>
      <w:r w:rsidR="00B50A4B" w:rsidRPr="000D7463">
        <w:t xml:space="preserve"> </w:t>
      </w:r>
      <w:r>
        <w:t>to improve</w:t>
      </w:r>
      <w:r w:rsidR="003248FA" w:rsidRPr="000D7463">
        <w:t xml:space="preserve"> </w:t>
      </w:r>
      <w:r w:rsidR="00BD2434">
        <w:t xml:space="preserve">teaching </w:t>
      </w:r>
      <w:r w:rsidR="003248FA" w:rsidRPr="000D7463">
        <w:t>practice</w:t>
      </w:r>
      <w:r w:rsidR="003248FA">
        <w:t>.</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7359"/>
      </w:tblGrid>
      <w:tr w:rsidR="00AD6A0B" w14:paraId="3DB9ACD7" w14:textId="77777777" w:rsidTr="4B7110E1">
        <w:trPr>
          <w:trHeight w:val="4680"/>
        </w:trPr>
        <w:tc>
          <w:tcPr>
            <w:tcW w:w="5264" w:type="dxa"/>
            <w:tcBorders>
              <w:left w:val="single" w:sz="24" w:space="0" w:color="FF0000"/>
            </w:tcBorders>
            <w:vAlign w:val="center"/>
          </w:tcPr>
          <w:p w14:paraId="0403EF45" w14:textId="0146A815" w:rsidR="00C12D5C" w:rsidRPr="0024089C" w:rsidRDefault="00C12D5C" w:rsidP="0024089C">
            <w:pPr>
              <w:pStyle w:val="IntenseQuote"/>
              <w:spacing w:after="240"/>
              <w:rPr>
                <w:highlight w:val="yellow"/>
              </w:rPr>
            </w:pPr>
            <w:r w:rsidRPr="0024089C">
              <w:t>“</w:t>
            </w:r>
            <w:r w:rsidR="0024089C" w:rsidRPr="0024089C">
              <w:t>Learning modes are used throughout the school to describe the purpose of various zones within learning spaces. The consistent language supports teachers to plan for a range of learning experiences and students to participate more effectively.</w:t>
            </w:r>
            <w:r w:rsidRPr="0024089C">
              <w:t>”</w:t>
            </w:r>
          </w:p>
        </w:tc>
        <w:sdt>
          <w:sdtPr>
            <w:id w:val="1360011497"/>
            <w:picture/>
          </w:sdtPr>
          <w:sdtEndPr/>
          <w:sdtContent>
            <w:tc>
              <w:tcPr>
                <w:tcW w:w="5264" w:type="dxa"/>
              </w:tcPr>
              <w:p w14:paraId="25FEDEE5" w14:textId="77777777" w:rsidR="00C12D5C" w:rsidRDefault="00C12D5C" w:rsidP="0000697C">
                <w:r>
                  <w:rPr>
                    <w:noProof/>
                    <w:lang w:eastAsia="en-AU"/>
                  </w:rPr>
                  <w:drawing>
                    <wp:inline distT="0" distB="0" distL="0" distR="0" wp14:anchorId="0A2ACAF8" wp14:editId="06410E62">
                      <wp:extent cx="4536000" cy="3256281"/>
                      <wp:effectExtent l="0" t="0" r="0" b="127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536000" cy="3256281"/>
                              </a:xfrm>
                              <a:prstGeom prst="rect">
                                <a:avLst/>
                              </a:prstGeom>
                              <a:noFill/>
                              <a:ln>
                                <a:noFill/>
                              </a:ln>
                            </pic:spPr>
                          </pic:pic>
                        </a:graphicData>
                      </a:graphic>
                    </wp:inline>
                  </w:drawing>
                </w:r>
              </w:p>
            </w:tc>
          </w:sdtContent>
        </w:sdt>
      </w:tr>
    </w:tbl>
    <w:p w14:paraId="453DD3D0" w14:textId="77777777" w:rsidR="008B0DE9" w:rsidRDefault="008B0DE9" w:rsidP="0000697C"/>
    <w:p w14:paraId="70A5AE8C" w14:textId="77777777" w:rsidR="008B0DE9" w:rsidRDefault="008B0DE9" w:rsidP="0000697C">
      <w:r>
        <w:br w:type="page"/>
      </w:r>
    </w:p>
    <w:p w14:paraId="01AF4CDE" w14:textId="6FF3A249" w:rsidR="008B0DE9" w:rsidRDefault="008B0DE9" w:rsidP="000069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529"/>
        <w:gridCol w:w="167"/>
        <w:gridCol w:w="4794"/>
      </w:tblGrid>
      <w:tr w:rsidR="007525C7" w:rsidRPr="0053296D" w14:paraId="404E60E3" w14:textId="77777777" w:rsidTr="4B7110E1">
        <w:tc>
          <w:tcPr>
            <w:tcW w:w="5529" w:type="dxa"/>
          </w:tcPr>
          <w:p w14:paraId="088E1133" w14:textId="6215E715" w:rsidR="007525C7" w:rsidRPr="00A911E3" w:rsidRDefault="00456A40" w:rsidP="0000697C">
            <w:pPr>
              <w:pStyle w:val="Heading2"/>
              <w:outlineLvl w:val="1"/>
            </w:pPr>
            <w:r>
              <w:t>Learning Modes</w:t>
            </w:r>
          </w:p>
        </w:tc>
        <w:tc>
          <w:tcPr>
            <w:tcW w:w="4961" w:type="dxa"/>
            <w:gridSpan w:val="2"/>
          </w:tcPr>
          <w:p w14:paraId="4D3689B9" w14:textId="6EBA6F96" w:rsidR="007525C7" w:rsidRPr="00A911E3" w:rsidRDefault="00456A40" w:rsidP="0000697C">
            <w:pPr>
              <w:pStyle w:val="Heading2"/>
              <w:outlineLvl w:val="1"/>
            </w:pPr>
            <w:r>
              <w:t>O</w:t>
            </w:r>
            <w:r w:rsidR="00533239" w:rsidRPr="00A911E3">
              <w:t>utcomes</w:t>
            </w:r>
          </w:p>
        </w:tc>
      </w:tr>
      <w:tr w:rsidR="007525C7" w:rsidRPr="0053296D" w14:paraId="4DA1D99D" w14:textId="77777777" w:rsidTr="4B7110E1">
        <w:tc>
          <w:tcPr>
            <w:tcW w:w="5529" w:type="dxa"/>
          </w:tcPr>
          <w:p w14:paraId="698772E1" w14:textId="6714D6D8" w:rsidR="00BD2434" w:rsidRDefault="00780D35" w:rsidP="0000697C">
            <w:r>
              <w:t xml:space="preserve">To </w:t>
            </w:r>
            <w:r w:rsidR="002B619A">
              <w:t>gain support and confidence using contemporary pedagogy</w:t>
            </w:r>
            <w:r>
              <w:t xml:space="preserve">, </w:t>
            </w:r>
            <w:r w:rsidR="00456A40" w:rsidRPr="000D7463">
              <w:t xml:space="preserve">NKPS </w:t>
            </w:r>
            <w:r>
              <w:t>incorporated</w:t>
            </w:r>
            <w:r w:rsidR="00456A40" w:rsidRPr="000D7463">
              <w:t xml:space="preserve"> SLEC’s </w:t>
            </w:r>
            <w:r w:rsidR="00BD2434">
              <w:t>learning modes</w:t>
            </w:r>
            <w:r>
              <w:t xml:space="preserve"> into their practice</w:t>
            </w:r>
            <w:r w:rsidR="00BD2434">
              <w:t xml:space="preserve">. The eight evidence-informed </w:t>
            </w:r>
            <w:r w:rsidR="00581A9C">
              <w:t>learning</w:t>
            </w:r>
            <w:r w:rsidR="00581A9C" w:rsidRPr="000D7463">
              <w:t xml:space="preserve"> </w:t>
            </w:r>
            <w:r w:rsidR="00BD2434">
              <w:t xml:space="preserve">modes </w:t>
            </w:r>
            <w:r w:rsidR="00115F2C">
              <w:t xml:space="preserve">form a framework </w:t>
            </w:r>
            <w:r w:rsidR="001F68DB">
              <w:t xml:space="preserve">that describes </w:t>
            </w:r>
            <w:r w:rsidR="00456A40" w:rsidRPr="0000697C">
              <w:t>ways</w:t>
            </w:r>
            <w:r w:rsidR="00456A40" w:rsidRPr="000D7463">
              <w:t xml:space="preserve"> </w:t>
            </w:r>
            <w:r w:rsidR="00510F5B">
              <w:t>learners</w:t>
            </w:r>
            <w:r w:rsidR="00200CCC">
              <w:t xml:space="preserve"> can explore and gain understanding</w:t>
            </w:r>
            <w:r w:rsidR="00456A40" w:rsidRPr="000D7463">
              <w:t xml:space="preserve">, whilst also highlighting the importance of explicitly teaching foundational skills and </w:t>
            </w:r>
            <w:r w:rsidR="001F68DB">
              <w:t xml:space="preserve">building </w:t>
            </w:r>
            <w:r w:rsidR="00456A40" w:rsidRPr="000D7463">
              <w:t>understanding.</w:t>
            </w:r>
          </w:p>
          <w:p w14:paraId="1BF46271" w14:textId="1F525C99" w:rsidR="00465DC3" w:rsidRDefault="00456A40" w:rsidP="0000697C">
            <w:r>
              <w:t xml:space="preserve">This created a balance </w:t>
            </w:r>
            <w:r w:rsidR="00820CF7">
              <w:t>between</w:t>
            </w:r>
            <w:r>
              <w:t xml:space="preserve"> </w:t>
            </w:r>
            <w:r w:rsidR="001F68DB">
              <w:t xml:space="preserve">contemporary practice </w:t>
            </w:r>
            <w:r>
              <w:t xml:space="preserve">and retaining </w:t>
            </w:r>
            <w:r w:rsidR="001F68DB">
              <w:t xml:space="preserve">more traditional teaching approaches </w:t>
            </w:r>
            <w:r w:rsidR="00494279">
              <w:t xml:space="preserve">that </w:t>
            </w:r>
            <w:r w:rsidR="001F68DB">
              <w:t>evidence suggests are</w:t>
            </w:r>
            <w:r w:rsidR="00494279">
              <w:t xml:space="preserve"> effective. </w:t>
            </w:r>
            <w:r w:rsidR="00DB4F06">
              <w:t>T</w:t>
            </w:r>
            <w:r>
              <w:t xml:space="preserve">eachers </w:t>
            </w:r>
            <w:r w:rsidR="00494279">
              <w:t xml:space="preserve">felt </w:t>
            </w:r>
            <w:r w:rsidR="00581A9C">
              <w:t xml:space="preserve">more </w:t>
            </w:r>
            <w:r>
              <w:t>comfort</w:t>
            </w:r>
            <w:r w:rsidR="00581A9C">
              <w:t>able</w:t>
            </w:r>
            <w:r>
              <w:t xml:space="preserve"> </w:t>
            </w:r>
            <w:r w:rsidR="00581A9C">
              <w:t>to</w:t>
            </w:r>
            <w:r>
              <w:t xml:space="preserve"> </w:t>
            </w:r>
            <w:r w:rsidR="00494279">
              <w:t>provide</w:t>
            </w:r>
            <w:r>
              <w:t xml:space="preserve"> time for students to be creative and innovative whilst </w:t>
            </w:r>
            <w:r w:rsidR="007F3776">
              <w:t>ensuring</w:t>
            </w:r>
            <w:r>
              <w:t xml:space="preserve"> </w:t>
            </w:r>
            <w:r w:rsidR="007F3776">
              <w:t xml:space="preserve">a </w:t>
            </w:r>
            <w:r>
              <w:t>strong</w:t>
            </w:r>
            <w:r w:rsidR="007F3776">
              <w:t xml:space="preserve"> focus on</w:t>
            </w:r>
            <w:r>
              <w:t xml:space="preserve"> literacy and nu</w:t>
            </w:r>
            <w:r w:rsidR="008E1879">
              <w:t>meracy skills.</w:t>
            </w:r>
          </w:p>
          <w:p w14:paraId="738F4BC2" w14:textId="64CB867A" w:rsidR="007525C7" w:rsidRPr="003D65BE" w:rsidRDefault="00456A40" w:rsidP="0000697C">
            <w:r>
              <w:t xml:space="preserve">Some </w:t>
            </w:r>
            <w:r w:rsidR="00F468D6">
              <w:t xml:space="preserve">NKPS </w:t>
            </w:r>
            <w:r>
              <w:t xml:space="preserve">teachers </w:t>
            </w:r>
            <w:r w:rsidR="001F68DB">
              <w:t xml:space="preserve">explicitly </w:t>
            </w:r>
            <w:r w:rsidR="00007BE4">
              <w:t xml:space="preserve">taught </w:t>
            </w:r>
            <w:r>
              <w:t xml:space="preserve">their students about </w:t>
            </w:r>
            <w:r w:rsidR="00EB7CA8">
              <w:t>desired learning behaviours in flexible learning spaces and the language</w:t>
            </w:r>
            <w:r w:rsidR="00465DC3">
              <w:t xml:space="preserve"> of learn</w:t>
            </w:r>
            <w:r>
              <w:t xml:space="preserve">ing using SLEC’s </w:t>
            </w:r>
            <w:r w:rsidR="00465DC3">
              <w:t>learning modes</w:t>
            </w:r>
            <w:r>
              <w:t xml:space="preserve">. This </w:t>
            </w:r>
            <w:r w:rsidR="001F68DB">
              <w:t>support</w:t>
            </w:r>
            <w:r w:rsidR="00007BE4">
              <w:t>ed</w:t>
            </w:r>
            <w:r>
              <w:t xml:space="preserve"> students to articulate the different ways </w:t>
            </w:r>
            <w:r w:rsidR="00133513">
              <w:t>they</w:t>
            </w:r>
            <w:r>
              <w:t xml:space="preserve"> learn, </w:t>
            </w:r>
            <w:r w:rsidR="001F68DB">
              <w:t xml:space="preserve">understand </w:t>
            </w:r>
            <w:r>
              <w:t xml:space="preserve">what learning looks like and </w:t>
            </w:r>
            <w:r w:rsidR="00133513">
              <w:t>how to utilise</w:t>
            </w:r>
            <w:r>
              <w:t xml:space="preserve"> spaces </w:t>
            </w:r>
            <w:r w:rsidR="00133513">
              <w:t>to enhance learning opportunities</w:t>
            </w:r>
            <w:r>
              <w:t xml:space="preserve">. </w:t>
            </w:r>
            <w:r w:rsidR="00107901">
              <w:t>It also reflected a key school value, in that</w:t>
            </w:r>
            <w:r>
              <w:t xml:space="preserve"> </w:t>
            </w:r>
            <w:r w:rsidR="0066251B">
              <w:t xml:space="preserve">NKPS </w:t>
            </w:r>
            <w:r w:rsidR="001F68DB">
              <w:t xml:space="preserve">teachers </w:t>
            </w:r>
            <w:r>
              <w:t>don’t ask students to change to suit the space or the teaching style of the teacher, rather the learning and support is tailored to the individual child</w:t>
            </w:r>
            <w:r w:rsidR="00465DC3">
              <w:t>.</w:t>
            </w:r>
          </w:p>
        </w:tc>
        <w:tc>
          <w:tcPr>
            <w:tcW w:w="4961" w:type="dxa"/>
            <w:gridSpan w:val="2"/>
          </w:tcPr>
          <w:p w14:paraId="460C2FF9" w14:textId="39D133D0" w:rsidR="00456A40" w:rsidRDefault="00F468D6" w:rsidP="0000697C">
            <w:r>
              <w:t>At NKPS the c</w:t>
            </w:r>
            <w:r w:rsidR="00456A40">
              <w:t xml:space="preserve">ase for change </w:t>
            </w:r>
            <w:r w:rsidR="00D244C9">
              <w:t>centred</w:t>
            </w:r>
            <w:r>
              <w:t xml:space="preserve"> </w:t>
            </w:r>
            <w:r w:rsidR="009C770B">
              <w:t>on</w:t>
            </w:r>
            <w:r>
              <w:t xml:space="preserve"> the characteristics of </w:t>
            </w:r>
            <w:r w:rsidR="001F68DB">
              <w:t>their ideal</w:t>
            </w:r>
            <w:r>
              <w:t xml:space="preserve"> graduate and the values </w:t>
            </w:r>
            <w:r w:rsidR="009C770B">
              <w:t xml:space="preserve">expressed in </w:t>
            </w:r>
            <w:r>
              <w:t xml:space="preserve">the </w:t>
            </w:r>
            <w:r w:rsidR="001F68DB">
              <w:t>‘</w:t>
            </w:r>
            <w:r>
              <w:t>NK W</w:t>
            </w:r>
            <w:r w:rsidR="00EB7CA8">
              <w:t>a</w:t>
            </w:r>
            <w:r>
              <w:t>y</w:t>
            </w:r>
            <w:r w:rsidR="00EB7CA8">
              <w:t>’</w:t>
            </w:r>
            <w:r>
              <w:t xml:space="preserve"> </w:t>
            </w:r>
            <w:r w:rsidR="001F68DB">
              <w:t xml:space="preserve">have </w:t>
            </w:r>
            <w:r>
              <w:t xml:space="preserve">become </w:t>
            </w:r>
            <w:r w:rsidR="004559FA">
              <w:t>embedded in the school ethos</w:t>
            </w:r>
            <w:r>
              <w:t>. This central document continues to shape culture and guide the behavio</w:t>
            </w:r>
            <w:r w:rsidR="00D244C9">
              <w:t>u</w:t>
            </w:r>
            <w:r>
              <w:t xml:space="preserve">r of all people </w:t>
            </w:r>
            <w:r w:rsidR="001F68DB">
              <w:t>connected to</w:t>
            </w:r>
            <w:r w:rsidR="008E1879">
              <w:t xml:space="preserve"> </w:t>
            </w:r>
            <w:r w:rsidR="009C770B">
              <w:t xml:space="preserve">North Kellyville </w:t>
            </w:r>
            <w:r w:rsidR="001F68DB">
              <w:t>PS</w:t>
            </w:r>
            <w:r w:rsidR="009C770B">
              <w:t>.</w:t>
            </w:r>
          </w:p>
          <w:p w14:paraId="47795C60" w14:textId="6DEDA5C1" w:rsidR="009C770B" w:rsidRDefault="009C770B" w:rsidP="0000697C">
            <w:r>
              <w:t xml:space="preserve">The </w:t>
            </w:r>
            <w:r w:rsidR="001F68DB">
              <w:t>‘</w:t>
            </w:r>
            <w:r>
              <w:t>NK Way</w:t>
            </w:r>
            <w:r w:rsidR="001F68DB">
              <w:t>’</w:t>
            </w:r>
            <w:r>
              <w:t xml:space="preserve"> document is a key part of communicating values and supporting entry into the culture of connectedness and innovation when transitioning</w:t>
            </w:r>
            <w:r w:rsidR="00456A40">
              <w:t xml:space="preserve"> new staff</w:t>
            </w:r>
            <w:r>
              <w:t xml:space="preserve"> into the school. As </w:t>
            </w:r>
            <w:r w:rsidR="00263811">
              <w:t>NK</w:t>
            </w:r>
            <w:r>
              <w:t xml:space="preserve">PS is </w:t>
            </w:r>
            <w:r w:rsidR="00F468D6">
              <w:t>a growing school</w:t>
            </w:r>
            <w:r>
              <w:t xml:space="preserve">, the values of the </w:t>
            </w:r>
            <w:r w:rsidR="001F68DB">
              <w:t>‘</w:t>
            </w:r>
            <w:r w:rsidR="00F468D6">
              <w:t>NK</w:t>
            </w:r>
            <w:r>
              <w:t xml:space="preserve"> </w:t>
            </w:r>
            <w:r w:rsidR="00F468D6">
              <w:t>Way</w:t>
            </w:r>
            <w:r w:rsidR="00456A40">
              <w:t xml:space="preserve"> </w:t>
            </w:r>
            <w:r>
              <w:t xml:space="preserve">are reflected in </w:t>
            </w:r>
            <w:r w:rsidR="00456A40">
              <w:t>the interview process</w:t>
            </w:r>
            <w:r w:rsidR="001F68DB">
              <w:t>’</w:t>
            </w:r>
            <w:r>
              <w:t xml:space="preserve"> when recruiting</w:t>
            </w:r>
            <w:r w:rsidR="00EB7CA8">
              <w:t xml:space="preserve"> staff</w:t>
            </w:r>
            <w:r>
              <w:t>.</w:t>
            </w:r>
          </w:p>
          <w:p w14:paraId="015FA74D" w14:textId="40A15337" w:rsidR="007525C7" w:rsidRPr="003D65BE" w:rsidRDefault="00456A40" w:rsidP="00D53367">
            <w:r>
              <w:t xml:space="preserve">NKPS has a clear idea of what the community </w:t>
            </w:r>
            <w:r w:rsidR="007F6F10">
              <w:t>values</w:t>
            </w:r>
            <w:r>
              <w:t xml:space="preserve"> and wants educationally</w:t>
            </w:r>
            <w:r w:rsidR="00A756E1">
              <w:t xml:space="preserve">. The </w:t>
            </w:r>
            <w:r w:rsidR="001F68DB">
              <w:t>‘</w:t>
            </w:r>
            <w:r w:rsidR="00A756E1">
              <w:t>NK Way</w:t>
            </w:r>
            <w:r w:rsidR="001F68DB">
              <w:t>’</w:t>
            </w:r>
            <w:r w:rsidR="00A756E1">
              <w:t xml:space="preserve"> supports staff </w:t>
            </w:r>
            <w:r>
              <w:t xml:space="preserve">to question their practice, try new strategies and be prepared to </w:t>
            </w:r>
            <w:r w:rsidR="00EB7CA8">
              <w:t xml:space="preserve">potentially </w:t>
            </w:r>
            <w:r>
              <w:t xml:space="preserve">fail and learn from those experiences. Sharing the case for change and the </w:t>
            </w:r>
            <w:r w:rsidR="001F68DB">
              <w:t>‘</w:t>
            </w:r>
            <w:r>
              <w:t>NK</w:t>
            </w:r>
            <w:r w:rsidR="00A756E1">
              <w:t xml:space="preserve"> </w:t>
            </w:r>
            <w:r>
              <w:t>Way</w:t>
            </w:r>
            <w:r w:rsidR="001F68DB">
              <w:t>’</w:t>
            </w:r>
            <w:r>
              <w:t xml:space="preserve"> with </w:t>
            </w:r>
            <w:r w:rsidR="001F68DB">
              <w:t xml:space="preserve">new </w:t>
            </w:r>
            <w:r>
              <w:t xml:space="preserve">staff </w:t>
            </w:r>
            <w:r w:rsidR="00A756E1">
              <w:t xml:space="preserve">and community </w:t>
            </w:r>
            <w:r>
              <w:t xml:space="preserve">members </w:t>
            </w:r>
            <w:r w:rsidR="001F68DB">
              <w:t xml:space="preserve">leads to </w:t>
            </w:r>
            <w:r w:rsidR="0000445A">
              <w:t>transparency in their</w:t>
            </w:r>
            <w:r>
              <w:t xml:space="preserve"> </w:t>
            </w:r>
            <w:r w:rsidR="009C770B">
              <w:t>use of contemporary pedagogy i</w:t>
            </w:r>
            <w:r>
              <w:t>n</w:t>
            </w:r>
            <w:r w:rsidR="009C770B">
              <w:t xml:space="preserve"> flexible l</w:t>
            </w:r>
            <w:r>
              <w:t xml:space="preserve">earning spaces, </w:t>
            </w:r>
            <w:r w:rsidR="009C770B">
              <w:t xml:space="preserve">effective </w:t>
            </w:r>
            <w:r>
              <w:t xml:space="preserve">use of technology and </w:t>
            </w:r>
            <w:r w:rsidR="001F68DB">
              <w:t xml:space="preserve">great </w:t>
            </w:r>
            <w:r>
              <w:t>co-teaching</w:t>
            </w:r>
            <w:r w:rsidR="009C770B">
              <w:t>.</w:t>
            </w:r>
          </w:p>
        </w:tc>
      </w:tr>
      <w:tr w:rsidR="00B8721E" w14:paraId="61242DE6" w14:textId="3F656DB4" w:rsidTr="4B7110E1">
        <w:tblPrEx>
          <w:tblBorders>
            <w:insideH w:val="single" w:sz="48" w:space="0" w:color="FFFFFF" w:themeColor="background1"/>
            <w:insideV w:val="single" w:sz="48" w:space="0" w:color="FFFFFF" w:themeColor="background1"/>
          </w:tblBorders>
          <w:tblCellMar>
            <w:left w:w="198" w:type="dxa"/>
            <w:right w:w="142" w:type="dxa"/>
          </w:tblCellMar>
        </w:tblPrEx>
        <w:trPr>
          <w:trHeight w:val="3719"/>
        </w:trPr>
        <w:tc>
          <w:tcPr>
            <w:tcW w:w="5696" w:type="dxa"/>
            <w:gridSpan w:val="2"/>
            <w:tcBorders>
              <w:right w:val="single" w:sz="24" w:space="0" w:color="FF0000"/>
            </w:tcBorders>
            <w:vAlign w:val="bottom"/>
          </w:tcPr>
          <w:p w14:paraId="4612FA96" w14:textId="3656F434" w:rsidR="00B8721E" w:rsidRDefault="00B8721E" w:rsidP="00197F2D">
            <w:r>
              <w:br w:type="page"/>
            </w:r>
            <w:sdt>
              <w:sdtPr>
                <w:id w:val="-1410377674"/>
                <w:placeholder>
                  <w:docPart w:val="DefaultPlaceholder_1081868574"/>
                </w:placeholder>
                <w:picture/>
              </w:sdtPr>
              <w:sdtEndPr/>
              <w:sdtContent>
                <w:r>
                  <w:rPr>
                    <w:noProof/>
                    <w:lang w:eastAsia="en-AU"/>
                  </w:rPr>
                  <w:drawing>
                    <wp:inline distT="0" distB="0" distL="0" distR="0" wp14:anchorId="3CD8A626" wp14:editId="466E503A">
                      <wp:extent cx="3350443" cy="2230244"/>
                      <wp:effectExtent l="0" t="0" r="254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63036" cy="2238626"/>
                              </a:xfrm>
                              <a:prstGeom prst="rect">
                                <a:avLst/>
                              </a:prstGeom>
                              <a:noFill/>
                              <a:ln>
                                <a:noFill/>
                              </a:ln>
                            </pic:spPr>
                          </pic:pic>
                        </a:graphicData>
                      </a:graphic>
                    </wp:inline>
                  </w:drawing>
                </w:r>
              </w:sdtContent>
            </w:sdt>
          </w:p>
        </w:tc>
        <w:tc>
          <w:tcPr>
            <w:tcW w:w="4794" w:type="dxa"/>
            <w:tcBorders>
              <w:top w:val="single" w:sz="48" w:space="0" w:color="FFFFFF" w:themeColor="background1"/>
              <w:left w:val="single" w:sz="24" w:space="0" w:color="FF0000"/>
            </w:tcBorders>
            <w:vAlign w:val="center"/>
          </w:tcPr>
          <w:p w14:paraId="312E6125" w14:textId="038BB0D0" w:rsidR="00B8721E" w:rsidRPr="00984DB2" w:rsidRDefault="00B8721E" w:rsidP="00984DB2">
            <w:pPr>
              <w:pStyle w:val="IntenseQuote"/>
              <w:spacing w:after="240"/>
              <w:rPr>
                <w:highlight w:val="yellow"/>
              </w:rPr>
            </w:pPr>
            <w:r>
              <w:t>“</w:t>
            </w:r>
            <w:r w:rsidR="0024089C">
              <w:t>The learning environments at North Kellyville are different to what most students and staff are familiar with. It was important to allow freedom to experiment and license to innovate. Partnering with SLEC for professional learning provided a critical layer of confidence for our teachers.</w:t>
            </w:r>
            <w:r>
              <w:t>”</w:t>
            </w:r>
          </w:p>
        </w:tc>
      </w:tr>
    </w:tbl>
    <w:p w14:paraId="1BE02213" w14:textId="12E73AF7" w:rsidR="007525C7" w:rsidRDefault="007525C7" w:rsidP="0000697C"/>
    <w:sectPr w:rsidR="007525C7" w:rsidSect="003806FD">
      <w:pgSz w:w="12240" w:h="15840"/>
      <w:pgMar w:top="567" w:right="851" w:bottom="851" w:left="851"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EE7D2E" w16cex:dateUtc="2021-06-04T05:30:21.309Z"/>
  <w16cex:commentExtensible w16cex:durableId="5118549B" w16cex:dateUtc="2021-06-04T05:31:38.835Z"/>
  <w16cex:commentExtensible w16cex:durableId="46B36CEF" w16cex:dateUtc="2021-06-04T05:32:32.099Z"/>
  <w16cex:commentExtensible w16cex:durableId="47A5423B" w16cex:dateUtc="2021-06-04T05:33:09.219Z"/>
  <w16cex:commentExtensible w16cex:durableId="7B27F35B" w16cex:dateUtc="2021-06-04T05:33:53.757Z"/>
  <w16cex:commentExtensible w16cex:durableId="776EB094" w16cex:dateUtc="2021-06-04T05:35:05.688Z"/>
  <w16cex:commentExtensible w16cex:durableId="2DA62892" w16cex:dateUtc="2021-06-04T05:37:51.307Z"/>
  <w16cex:commentExtensible w16cex:durableId="191E82A0" w16cex:dateUtc="2021-06-04T05:41:05.141Z"/>
  <w16cex:commentExtensible w16cex:durableId="29CF6117" w16cex:dateUtc="2021-06-04T05:41:45.616Z"/>
  <w16cex:commentExtensible w16cex:durableId="485C02E6" w16cex:dateUtc="2021-06-04T05:43:49.913Z"/>
  <w16cex:commentExtensible w16cex:durableId="53B9BEC6" w16cex:dateUtc="2021-06-04T05:45:54.529Z"/>
  <w16cex:commentExtensible w16cex:durableId="6E8DADD4" w16cex:dateUtc="2021-06-04T05:48:34.148Z"/>
  <w16cex:commentExtensible w16cex:durableId="39C3236D" w16cex:dateUtc="2021-06-04T05:49:03.014Z"/>
  <w16cex:commentExtensible w16cex:durableId="5C014C8F" w16cex:dateUtc="2021-06-04T05:50:21.84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52B45"/>
    <w:rsid w:val="0000445A"/>
    <w:rsid w:val="0000697C"/>
    <w:rsid w:val="00007BE4"/>
    <w:rsid w:val="000153D5"/>
    <w:rsid w:val="00017B63"/>
    <w:rsid w:val="00032EC2"/>
    <w:rsid w:val="000B33CE"/>
    <w:rsid w:val="00107901"/>
    <w:rsid w:val="00115F2C"/>
    <w:rsid w:val="00120641"/>
    <w:rsid w:val="0012595F"/>
    <w:rsid w:val="00126005"/>
    <w:rsid w:val="00133513"/>
    <w:rsid w:val="00166C8A"/>
    <w:rsid w:val="00180427"/>
    <w:rsid w:val="00197F2D"/>
    <w:rsid w:val="001A0A2B"/>
    <w:rsid w:val="001E596F"/>
    <w:rsid w:val="001F68DB"/>
    <w:rsid w:val="00200CCC"/>
    <w:rsid w:val="002032AF"/>
    <w:rsid w:val="002130EF"/>
    <w:rsid w:val="00215321"/>
    <w:rsid w:val="00222A64"/>
    <w:rsid w:val="0024089C"/>
    <w:rsid w:val="002439B8"/>
    <w:rsid w:val="00245760"/>
    <w:rsid w:val="00262AD9"/>
    <w:rsid w:val="00263811"/>
    <w:rsid w:val="002A1FAF"/>
    <w:rsid w:val="002B619A"/>
    <w:rsid w:val="002C1815"/>
    <w:rsid w:val="002F09AE"/>
    <w:rsid w:val="002F4B72"/>
    <w:rsid w:val="003248FA"/>
    <w:rsid w:val="00352DA4"/>
    <w:rsid w:val="00374FD0"/>
    <w:rsid w:val="003806FD"/>
    <w:rsid w:val="003D65BE"/>
    <w:rsid w:val="004327C3"/>
    <w:rsid w:val="004559FA"/>
    <w:rsid w:val="00456A40"/>
    <w:rsid w:val="00465DC3"/>
    <w:rsid w:val="00494279"/>
    <w:rsid w:val="004958E4"/>
    <w:rsid w:val="00495E64"/>
    <w:rsid w:val="004B7C56"/>
    <w:rsid w:val="004D72BF"/>
    <w:rsid w:val="004E57F6"/>
    <w:rsid w:val="00500229"/>
    <w:rsid w:val="00510F5B"/>
    <w:rsid w:val="0053296D"/>
    <w:rsid w:val="00533239"/>
    <w:rsid w:val="00546BF0"/>
    <w:rsid w:val="005500FD"/>
    <w:rsid w:val="00551CC4"/>
    <w:rsid w:val="00567381"/>
    <w:rsid w:val="00581A9C"/>
    <w:rsid w:val="005D29B6"/>
    <w:rsid w:val="005F4EB5"/>
    <w:rsid w:val="006045A0"/>
    <w:rsid w:val="00637617"/>
    <w:rsid w:val="0066251B"/>
    <w:rsid w:val="00667920"/>
    <w:rsid w:val="006746F8"/>
    <w:rsid w:val="00674B98"/>
    <w:rsid w:val="00690FBC"/>
    <w:rsid w:val="006A6554"/>
    <w:rsid w:val="006C0E17"/>
    <w:rsid w:val="006F443E"/>
    <w:rsid w:val="00702353"/>
    <w:rsid w:val="00706EA7"/>
    <w:rsid w:val="00715FD5"/>
    <w:rsid w:val="007254B3"/>
    <w:rsid w:val="007525C7"/>
    <w:rsid w:val="00772AB1"/>
    <w:rsid w:val="00780D35"/>
    <w:rsid w:val="00797C8B"/>
    <w:rsid w:val="007B128D"/>
    <w:rsid w:val="007B7FA2"/>
    <w:rsid w:val="007F3776"/>
    <w:rsid w:val="007F6F10"/>
    <w:rsid w:val="00820CF7"/>
    <w:rsid w:val="00896478"/>
    <w:rsid w:val="008978DF"/>
    <w:rsid w:val="008B0DE9"/>
    <w:rsid w:val="008B268D"/>
    <w:rsid w:val="008C400D"/>
    <w:rsid w:val="008E1879"/>
    <w:rsid w:val="008E3685"/>
    <w:rsid w:val="008F74ED"/>
    <w:rsid w:val="00933BA3"/>
    <w:rsid w:val="00935460"/>
    <w:rsid w:val="00942D22"/>
    <w:rsid w:val="00975CBD"/>
    <w:rsid w:val="00984DB2"/>
    <w:rsid w:val="009A29B5"/>
    <w:rsid w:val="009C5528"/>
    <w:rsid w:val="009C770B"/>
    <w:rsid w:val="009E291E"/>
    <w:rsid w:val="00A36832"/>
    <w:rsid w:val="00A610C3"/>
    <w:rsid w:val="00A740DA"/>
    <w:rsid w:val="00A756E1"/>
    <w:rsid w:val="00A81BB9"/>
    <w:rsid w:val="00A82830"/>
    <w:rsid w:val="00A8686A"/>
    <w:rsid w:val="00A90A74"/>
    <w:rsid w:val="00A911E3"/>
    <w:rsid w:val="00AA722D"/>
    <w:rsid w:val="00AD5B55"/>
    <w:rsid w:val="00AD6A0B"/>
    <w:rsid w:val="00B03F88"/>
    <w:rsid w:val="00B50A4B"/>
    <w:rsid w:val="00B743CD"/>
    <w:rsid w:val="00B8721E"/>
    <w:rsid w:val="00BB1A04"/>
    <w:rsid w:val="00BD2434"/>
    <w:rsid w:val="00BE242D"/>
    <w:rsid w:val="00BF5630"/>
    <w:rsid w:val="00C12D5C"/>
    <w:rsid w:val="00C25084"/>
    <w:rsid w:val="00C30946"/>
    <w:rsid w:val="00C310BF"/>
    <w:rsid w:val="00C524CC"/>
    <w:rsid w:val="00C84FA8"/>
    <w:rsid w:val="00CA7F00"/>
    <w:rsid w:val="00CC1C76"/>
    <w:rsid w:val="00CD5FDD"/>
    <w:rsid w:val="00CE0B24"/>
    <w:rsid w:val="00D04125"/>
    <w:rsid w:val="00D21A38"/>
    <w:rsid w:val="00D244C9"/>
    <w:rsid w:val="00D43BCA"/>
    <w:rsid w:val="00D53367"/>
    <w:rsid w:val="00D62034"/>
    <w:rsid w:val="00D73E2D"/>
    <w:rsid w:val="00D806EE"/>
    <w:rsid w:val="00DA1EAC"/>
    <w:rsid w:val="00DB4F06"/>
    <w:rsid w:val="00DB75B2"/>
    <w:rsid w:val="00DE1E1E"/>
    <w:rsid w:val="00DE2FFE"/>
    <w:rsid w:val="00DF5B1E"/>
    <w:rsid w:val="00DF5F01"/>
    <w:rsid w:val="00E0517A"/>
    <w:rsid w:val="00E9566A"/>
    <w:rsid w:val="00E967B2"/>
    <w:rsid w:val="00E975C1"/>
    <w:rsid w:val="00EB7CA8"/>
    <w:rsid w:val="00EC72A8"/>
    <w:rsid w:val="00F33D0A"/>
    <w:rsid w:val="00F468D6"/>
    <w:rsid w:val="00F54A53"/>
    <w:rsid w:val="00F570D0"/>
    <w:rsid w:val="00F649E1"/>
    <w:rsid w:val="00F734DD"/>
    <w:rsid w:val="00F8B99B"/>
    <w:rsid w:val="00F91B2E"/>
    <w:rsid w:val="00FB7E4C"/>
    <w:rsid w:val="00FC52F9"/>
    <w:rsid w:val="00FF4E13"/>
    <w:rsid w:val="012A72DD"/>
    <w:rsid w:val="02C6433E"/>
    <w:rsid w:val="042A343A"/>
    <w:rsid w:val="060D2C1C"/>
    <w:rsid w:val="06263C32"/>
    <w:rsid w:val="06B7CE55"/>
    <w:rsid w:val="0A5A0289"/>
    <w:rsid w:val="0EE58CE1"/>
    <w:rsid w:val="11AD23A3"/>
    <w:rsid w:val="17873B5F"/>
    <w:rsid w:val="1840844E"/>
    <w:rsid w:val="1EC929F3"/>
    <w:rsid w:val="22A66F28"/>
    <w:rsid w:val="22D20D62"/>
    <w:rsid w:val="244C960A"/>
    <w:rsid w:val="248185AA"/>
    <w:rsid w:val="286EAB73"/>
    <w:rsid w:val="3129B84C"/>
    <w:rsid w:val="4072BDB1"/>
    <w:rsid w:val="44F52B45"/>
    <w:rsid w:val="48247643"/>
    <w:rsid w:val="4B205D30"/>
    <w:rsid w:val="4B7110E1"/>
    <w:rsid w:val="51FE401F"/>
    <w:rsid w:val="67A9ACE7"/>
    <w:rsid w:val="690F77CF"/>
    <w:rsid w:val="6EFADE14"/>
    <w:rsid w:val="79AEABAA"/>
    <w:rsid w:val="7E71886E"/>
    <w:rsid w:val="7EDEA787"/>
    <w:rsid w:val="7FC0C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2B45"/>
  <w15:chartTrackingRefBased/>
  <w15:docId w15:val="{1DF54305-11F3-45B9-9A3C-600A43C3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97C"/>
    <w:pPr>
      <w:spacing w:after="120" w:line="240" w:lineRule="auto"/>
    </w:pPr>
    <w:rPr>
      <w:rFonts w:ascii="Montserrat" w:hAnsi="Montserrat"/>
      <w:sz w:val="24"/>
      <w:szCs w:val="24"/>
      <w:lang w:val="en-AU"/>
    </w:rPr>
  </w:style>
  <w:style w:type="paragraph" w:styleId="Heading1">
    <w:name w:val="heading 1"/>
    <w:basedOn w:val="Normal"/>
    <w:next w:val="Normal"/>
    <w:link w:val="Heading1Char"/>
    <w:uiPriority w:val="9"/>
    <w:qFormat/>
    <w:rsid w:val="00A911E3"/>
    <w:pPr>
      <w:keepNext/>
      <w:keepLines/>
      <w:spacing w:before="240" w:after="0"/>
      <w:outlineLvl w:val="0"/>
    </w:pPr>
    <w:rPr>
      <w:rFonts w:eastAsiaTheme="majorEastAsia" w:cstheme="majorBidi"/>
      <w:b/>
      <w:color w:val="041E42"/>
      <w:sz w:val="36"/>
      <w:szCs w:val="32"/>
    </w:rPr>
  </w:style>
  <w:style w:type="paragraph" w:styleId="Heading2">
    <w:name w:val="heading 2"/>
    <w:basedOn w:val="Normal"/>
    <w:next w:val="Normal"/>
    <w:link w:val="Heading2Char"/>
    <w:uiPriority w:val="9"/>
    <w:unhideWhenUsed/>
    <w:qFormat/>
    <w:rsid w:val="00A911E3"/>
    <w:pPr>
      <w:keepNext/>
      <w:keepLines/>
      <w:spacing w:before="40" w:after="0"/>
      <w:outlineLvl w:val="1"/>
    </w:pPr>
    <w:rPr>
      <w:rFonts w:eastAsiaTheme="majorEastAsia" w:cstheme="majorBidi"/>
      <w:b/>
      <w:color w:val="041E4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2AB1"/>
    <w:pPr>
      <w:spacing w:after="0"/>
      <w:contextualSpacing/>
    </w:pPr>
    <w:rPr>
      <w:rFonts w:eastAsiaTheme="majorEastAsia" w:cstheme="majorBidi"/>
      <w:b/>
      <w:noProof/>
      <w:spacing w:val="-10"/>
      <w:kern w:val="28"/>
      <w:sz w:val="56"/>
      <w:szCs w:val="56"/>
      <w:lang w:eastAsia="en-AU"/>
    </w:rPr>
  </w:style>
  <w:style w:type="character" w:customStyle="1" w:styleId="TitleChar">
    <w:name w:val="Title Char"/>
    <w:basedOn w:val="DefaultParagraphFont"/>
    <w:link w:val="Title"/>
    <w:uiPriority w:val="10"/>
    <w:rsid w:val="00772AB1"/>
    <w:rPr>
      <w:rFonts w:ascii="Montserrat" w:eastAsiaTheme="majorEastAsia" w:hAnsi="Montserrat" w:cstheme="majorBidi"/>
      <w:b/>
      <w:noProof/>
      <w:spacing w:val="-10"/>
      <w:kern w:val="28"/>
      <w:sz w:val="56"/>
      <w:szCs w:val="56"/>
      <w:lang w:val="en-AU" w:eastAsia="en-AU"/>
    </w:rPr>
  </w:style>
  <w:style w:type="table" w:styleId="TableGrid">
    <w:name w:val="Table Grid"/>
    <w:basedOn w:val="TableNormal"/>
    <w:uiPriority w:val="39"/>
    <w:rsid w:val="0038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11E3"/>
    <w:rPr>
      <w:rFonts w:ascii="Montserrat" w:eastAsiaTheme="majorEastAsia" w:hAnsi="Montserrat" w:cstheme="majorBidi"/>
      <w:b/>
      <w:color w:val="041E42"/>
      <w:sz w:val="36"/>
      <w:szCs w:val="32"/>
    </w:rPr>
  </w:style>
  <w:style w:type="character" w:customStyle="1" w:styleId="Heading2Char">
    <w:name w:val="Heading 2 Char"/>
    <w:basedOn w:val="DefaultParagraphFont"/>
    <w:link w:val="Heading2"/>
    <w:uiPriority w:val="9"/>
    <w:rsid w:val="00A911E3"/>
    <w:rPr>
      <w:rFonts w:ascii="Montserrat" w:eastAsiaTheme="majorEastAsia" w:hAnsi="Montserrat" w:cstheme="majorBidi"/>
      <w:b/>
      <w:color w:val="041E42"/>
      <w:sz w:val="28"/>
      <w:szCs w:val="26"/>
    </w:rPr>
  </w:style>
  <w:style w:type="paragraph" w:styleId="IntenseQuote">
    <w:name w:val="Intense Quote"/>
    <w:basedOn w:val="Normal"/>
    <w:next w:val="Normal"/>
    <w:link w:val="IntenseQuoteChar"/>
    <w:uiPriority w:val="30"/>
    <w:qFormat/>
    <w:rsid w:val="00706EA7"/>
    <w:pPr>
      <w:pBdr>
        <w:top w:val="single" w:sz="4" w:space="10" w:color="4472C4" w:themeColor="accent1"/>
        <w:bottom w:val="single" w:sz="4" w:space="10" w:color="4472C4" w:themeColor="accent1"/>
      </w:pBdr>
      <w:spacing w:after="0"/>
      <w:ind w:left="7"/>
    </w:pPr>
    <w:rPr>
      <w:i/>
      <w:iCs/>
      <w:color w:val="4472C4" w:themeColor="accent1"/>
    </w:rPr>
  </w:style>
  <w:style w:type="character" w:customStyle="1" w:styleId="IntenseQuoteChar">
    <w:name w:val="Intense Quote Char"/>
    <w:basedOn w:val="DefaultParagraphFont"/>
    <w:link w:val="IntenseQuote"/>
    <w:uiPriority w:val="30"/>
    <w:rsid w:val="00706EA7"/>
    <w:rPr>
      <w:rFonts w:ascii="Montserrat" w:hAnsi="Montserrat"/>
      <w:i/>
      <w:iCs/>
      <w:color w:val="4472C4" w:themeColor="accent1"/>
      <w:sz w:val="24"/>
      <w:szCs w:val="24"/>
      <w:lang w:val="en-AU"/>
    </w:rPr>
  </w:style>
  <w:style w:type="paragraph" w:styleId="Quote">
    <w:name w:val="Quote"/>
    <w:basedOn w:val="Normal"/>
    <w:next w:val="Normal"/>
    <w:link w:val="QuoteChar"/>
    <w:uiPriority w:val="29"/>
    <w:qFormat/>
    <w:rsid w:val="000069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697C"/>
    <w:rPr>
      <w:rFonts w:ascii="Montserrat" w:hAnsi="Montserrat"/>
      <w:i/>
      <w:iCs/>
      <w:color w:val="404040" w:themeColor="text1" w:themeTint="BF"/>
      <w:sz w:val="24"/>
      <w:szCs w:val="24"/>
      <w:lang w:val="en-A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Montserrat" w:hAnsi="Montserrat"/>
      <w:sz w:val="20"/>
      <w:szCs w:val="20"/>
      <w:lang w:val="en-AU"/>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5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7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E0517A"/>
    <w:rPr>
      <w:b/>
      <w:bCs/>
    </w:rPr>
  </w:style>
  <w:style w:type="character" w:customStyle="1" w:styleId="CommentSubjectChar">
    <w:name w:val="Comment Subject Char"/>
    <w:basedOn w:val="CommentTextChar"/>
    <w:link w:val="CommentSubject"/>
    <w:uiPriority w:val="99"/>
    <w:semiHidden/>
    <w:rsid w:val="00E0517A"/>
    <w:rPr>
      <w:rFonts w:ascii="Montserrat" w:hAnsi="Montserrat"/>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8148f25eec7a489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CC44BC7-352A-40CB-BD1F-18CD3CFD43C9}"/>
      </w:docPartPr>
      <w:docPartBody>
        <w:p w:rsidR="00D23836" w:rsidRDefault="00D238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23836"/>
    <w:rsid w:val="00D23836"/>
    <w:rsid w:val="00DB5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3" ma:contentTypeDescription="Create a new document." ma:contentTypeScope="" ma:versionID="797bc4e46b34e5f94767e5f2558dfbfa">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09cce1470739ec06b00f93cc7661910e"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70F8-F8F9-4DFB-8277-787AD30C9564}">
  <ds:schemaRefs>
    <ds:schemaRef ds:uri="http://schemas.microsoft.com/sharepoint/v3/contenttype/forms"/>
  </ds:schemaRefs>
</ds:datastoreItem>
</file>

<file path=customXml/itemProps2.xml><?xml version="1.0" encoding="utf-8"?>
<ds:datastoreItem xmlns:ds="http://schemas.openxmlformats.org/officeDocument/2006/customXml" ds:itemID="{F5642655-04C5-4D8C-8946-10D73FC8EA0A}">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10255d4c-7496-4755-9dc8-5a0c1b8fb20e"/>
    <ds:schemaRef ds:uri="da4df7c7-e29d-4cfd-82ab-74c1a630ce28"/>
  </ds:schemaRefs>
</ds:datastoreItem>
</file>

<file path=customXml/itemProps3.xml><?xml version="1.0" encoding="utf-8"?>
<ds:datastoreItem xmlns:ds="http://schemas.openxmlformats.org/officeDocument/2006/customXml" ds:itemID="{3D68ED53-7EAD-40B1-AEAE-2747563C1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C2FDC-0986-48A2-9A1E-24933259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Sarina Wilson</cp:lastModifiedBy>
  <cp:revision>6</cp:revision>
  <dcterms:created xsi:type="dcterms:W3CDTF">2021-06-17T06:31:00Z</dcterms:created>
  <dcterms:modified xsi:type="dcterms:W3CDTF">2021-06-29T06:10:00Z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