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9769" w14:textId="2563203E" w:rsidR="00101866" w:rsidRPr="00934DF8" w:rsidRDefault="000B4125" w:rsidP="00934DF8">
      <w:pPr>
        <w:pStyle w:val="Heading1"/>
      </w:pPr>
      <w:r>
        <w:t>De-escalation strategies</w:t>
      </w:r>
    </w:p>
    <w:p w14:paraId="4D4B7453" w14:textId="08697767" w:rsidR="0022605A" w:rsidRPr="0022605A" w:rsidRDefault="009C6DF4" w:rsidP="009056CE">
      <w:pPr>
        <w:pStyle w:val="Heading1"/>
        <w:spacing w:before="120" w:after="120"/>
        <w:rPr>
          <w:rFonts w:eastAsiaTheme="minorHAnsi" w:cstheme="minorBidi"/>
          <w:b w:val="0"/>
          <w:color w:val="auto"/>
          <w:sz w:val="24"/>
          <w:szCs w:val="24"/>
          <w:lang w:eastAsia="zh-CN"/>
        </w:rPr>
      </w:pPr>
      <w:r>
        <w:rPr>
          <w:noProof/>
          <w:lang w:eastAsia="zh-CN"/>
        </w:rPr>
        <w:drawing>
          <wp:inline distT="0" distB="0" distL="0" distR="0" wp14:anchorId="511656C6" wp14:editId="610BD826">
            <wp:extent cx="952500" cy="9525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a-light-140x100.png"/>
                    <pic:cNvPicPr/>
                  </pic:nvPicPr>
                  <pic:blipFill>
                    <a:blip r:embed="rId1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0022605A" w:rsidRPr="0022605A">
        <w:rPr>
          <w:rFonts w:eastAsiaTheme="minorHAnsi" w:cstheme="minorBidi"/>
          <w:b w:val="0"/>
          <w:color w:val="auto"/>
          <w:sz w:val="24"/>
          <w:szCs w:val="24"/>
          <w:lang w:eastAsia="zh-CN"/>
        </w:rPr>
        <w:t>It is often possibl</w:t>
      </w:r>
      <w:bookmarkStart w:id="0" w:name="_GoBack"/>
      <w:bookmarkEnd w:id="0"/>
      <w:r w:rsidR="0022605A" w:rsidRPr="0022605A">
        <w:rPr>
          <w:rFonts w:eastAsiaTheme="minorHAnsi" w:cstheme="minorBidi"/>
          <w:b w:val="0"/>
          <w:color w:val="auto"/>
          <w:sz w:val="24"/>
          <w:szCs w:val="24"/>
          <w:lang w:eastAsia="zh-CN"/>
        </w:rPr>
        <w:t>e to minimise behaviours that may lead to physical harm or danger to self or others by acting early — immediately before or as behaviour begins to escalate.</w:t>
      </w:r>
      <w:r w:rsidR="0022605A">
        <w:rPr>
          <w:rFonts w:eastAsiaTheme="minorHAnsi" w:cstheme="minorBidi"/>
          <w:b w:val="0"/>
          <w:color w:val="auto"/>
          <w:sz w:val="24"/>
          <w:szCs w:val="24"/>
          <w:lang w:eastAsia="zh-CN"/>
        </w:rPr>
        <w:t xml:space="preserve"> </w:t>
      </w:r>
      <w:r w:rsidR="0022605A" w:rsidRPr="0022605A">
        <w:rPr>
          <w:rFonts w:eastAsiaTheme="minorHAnsi" w:cstheme="minorBidi"/>
          <w:b w:val="0"/>
          <w:color w:val="auto"/>
          <w:sz w:val="24"/>
          <w:szCs w:val="24"/>
          <w:lang w:eastAsia="zh-CN"/>
        </w:rPr>
        <w:t>Ignoring escalation and not addressing its cause can increase the frequency and/or severity of the behaviour.</w:t>
      </w:r>
      <w:r w:rsidR="0022605A">
        <w:rPr>
          <w:rFonts w:eastAsiaTheme="minorHAnsi" w:cstheme="minorBidi"/>
          <w:b w:val="0"/>
          <w:color w:val="auto"/>
          <w:sz w:val="24"/>
          <w:szCs w:val="24"/>
          <w:lang w:eastAsia="zh-CN"/>
        </w:rPr>
        <w:t xml:space="preserve"> </w:t>
      </w:r>
    </w:p>
    <w:p w14:paraId="262E0475" w14:textId="768BFB8C" w:rsidR="002B7651" w:rsidRDefault="0022605A" w:rsidP="0022605A">
      <w:pPr>
        <w:spacing w:before="0" w:after="120"/>
      </w:pPr>
      <w:r w:rsidRPr="0022605A">
        <w:rPr>
          <w:lang w:eastAsia="zh-CN"/>
        </w:rPr>
        <w:t xml:space="preserve">Therefore, it is important for teachers to identify the triggers that cause concerning behaviour and to recognise the early signs of escalation. This will provide an opportunity to apply strategies that reduce, rather than heighten, an emerging situation. </w:t>
      </w:r>
    </w:p>
    <w:p w14:paraId="0789DD36" w14:textId="77777777" w:rsidR="000B4125" w:rsidRDefault="000B4125" w:rsidP="009056CE">
      <w:pPr>
        <w:pStyle w:val="Header"/>
        <w:spacing w:after="0"/>
        <w:rPr>
          <w:lang w:eastAsia="zh-CN"/>
        </w:rPr>
      </w:pPr>
      <w:r>
        <w:rPr>
          <w:lang w:eastAsia="zh-CN"/>
        </w:rPr>
        <w:t>Some recognised de-escalation strategies include:</w:t>
      </w:r>
    </w:p>
    <w:p w14:paraId="4EF810CC" w14:textId="77777777" w:rsidR="000B4125" w:rsidRDefault="000B4125" w:rsidP="000B4125">
      <w:pPr>
        <w:pStyle w:val="ListBullet"/>
        <w:rPr>
          <w:lang w:eastAsia="zh-CN"/>
        </w:rPr>
      </w:pPr>
      <w:r>
        <w:rPr>
          <w:lang w:eastAsia="zh-CN"/>
        </w:rPr>
        <w:t>Keep verbal instructions simple and minimal, using a calm tone of voice.</w:t>
      </w:r>
    </w:p>
    <w:p w14:paraId="1DA93415" w14:textId="77777777" w:rsidR="000B4125" w:rsidRDefault="000B4125" w:rsidP="000B4125">
      <w:pPr>
        <w:pStyle w:val="ListBullet"/>
        <w:rPr>
          <w:lang w:eastAsia="zh-CN"/>
        </w:rPr>
      </w:pPr>
      <w:r>
        <w:rPr>
          <w:lang w:eastAsia="zh-CN"/>
        </w:rPr>
        <w:t>Use clear, direct language or the student’s preferred method of communication (focus on the behaviours you want them to display rather than the ones you don’t).</w:t>
      </w:r>
    </w:p>
    <w:p w14:paraId="7F3FD886" w14:textId="77777777" w:rsidR="000B4125" w:rsidRDefault="000B4125" w:rsidP="000B4125">
      <w:pPr>
        <w:pStyle w:val="ListBullet"/>
        <w:rPr>
          <w:lang w:eastAsia="zh-CN"/>
        </w:rPr>
      </w:pPr>
      <w:r>
        <w:rPr>
          <w:lang w:eastAsia="zh-CN"/>
        </w:rPr>
        <w:t>Reinforce the desired behaviour or positive alternate behaviours when demonstrated.</w:t>
      </w:r>
    </w:p>
    <w:p w14:paraId="4F629726" w14:textId="77777777" w:rsidR="000B4125" w:rsidRDefault="000B4125" w:rsidP="000B4125">
      <w:pPr>
        <w:pStyle w:val="ListBullet"/>
        <w:rPr>
          <w:lang w:eastAsia="zh-CN"/>
        </w:rPr>
      </w:pPr>
      <w:r>
        <w:rPr>
          <w:lang w:eastAsia="zh-CN"/>
        </w:rPr>
        <w:t>Acknowledge the student’s underlying or expressed emotion (e.g. anger/distress/sadness).</w:t>
      </w:r>
    </w:p>
    <w:p w14:paraId="144D5A0F" w14:textId="77777777" w:rsidR="000B4125" w:rsidRDefault="000B4125" w:rsidP="000B4125">
      <w:pPr>
        <w:pStyle w:val="ListBullet"/>
        <w:rPr>
          <w:lang w:eastAsia="zh-CN"/>
        </w:rPr>
      </w:pPr>
      <w:r>
        <w:rPr>
          <w:lang w:eastAsia="zh-CN"/>
        </w:rPr>
        <w:t>Use active listening skills.</w:t>
      </w:r>
    </w:p>
    <w:p w14:paraId="7684AF56" w14:textId="77777777" w:rsidR="000B4125" w:rsidRDefault="000B4125" w:rsidP="000B4125">
      <w:pPr>
        <w:pStyle w:val="ListBullet"/>
        <w:rPr>
          <w:lang w:eastAsia="zh-CN"/>
        </w:rPr>
      </w:pPr>
      <w:r>
        <w:rPr>
          <w:lang w:eastAsia="zh-CN"/>
        </w:rPr>
        <w:t>Provide take-up time.</w:t>
      </w:r>
    </w:p>
    <w:p w14:paraId="5B4777CB" w14:textId="789C60AB" w:rsidR="000B4125" w:rsidRDefault="000B4125" w:rsidP="000B4125">
      <w:pPr>
        <w:pStyle w:val="ListBullet"/>
        <w:rPr>
          <w:lang w:eastAsia="zh-CN"/>
        </w:rPr>
      </w:pPr>
      <w:r>
        <w:rPr>
          <w:lang w:eastAsia="zh-CN"/>
        </w:rPr>
        <w:t>Be aware of body language</w:t>
      </w:r>
      <w:r w:rsidR="009056CE">
        <w:rPr>
          <w:lang w:eastAsia="zh-CN"/>
        </w:rPr>
        <w:t xml:space="preserve"> (adopt a non-threatening stance – open, relaxed and hands down).</w:t>
      </w:r>
    </w:p>
    <w:p w14:paraId="5FCB82D5" w14:textId="77777777" w:rsidR="000B4125" w:rsidRDefault="000B4125" w:rsidP="000B4125">
      <w:pPr>
        <w:pStyle w:val="ListBullet"/>
        <w:rPr>
          <w:lang w:eastAsia="zh-CN"/>
        </w:rPr>
      </w:pPr>
      <w:r>
        <w:rPr>
          <w:lang w:eastAsia="zh-CN"/>
        </w:rPr>
        <w:t>Problem-solve with the student to address the issue if it is safe to do so.</w:t>
      </w:r>
    </w:p>
    <w:p w14:paraId="1D670849" w14:textId="77777777" w:rsidR="000B4125" w:rsidRDefault="000B4125" w:rsidP="000B4125">
      <w:pPr>
        <w:pStyle w:val="ListBullet"/>
        <w:rPr>
          <w:lang w:eastAsia="zh-CN"/>
        </w:rPr>
      </w:pPr>
      <w:r>
        <w:rPr>
          <w:lang w:eastAsia="zh-CN"/>
        </w:rPr>
        <w:t>Allow adequate personal space.</w:t>
      </w:r>
    </w:p>
    <w:p w14:paraId="14B5A95F" w14:textId="77777777" w:rsidR="000B4125" w:rsidRDefault="000B4125" w:rsidP="000B4125">
      <w:pPr>
        <w:pStyle w:val="ListBullet"/>
        <w:rPr>
          <w:lang w:eastAsia="zh-CN"/>
        </w:rPr>
      </w:pPr>
      <w:r>
        <w:rPr>
          <w:lang w:eastAsia="zh-CN"/>
        </w:rPr>
        <w:t>Use non-verbal cues.</w:t>
      </w:r>
    </w:p>
    <w:p w14:paraId="182F549E" w14:textId="77777777" w:rsidR="000B4125" w:rsidRDefault="000B4125" w:rsidP="000B4125">
      <w:pPr>
        <w:pStyle w:val="ListBullet"/>
        <w:rPr>
          <w:lang w:eastAsia="zh-CN"/>
        </w:rPr>
      </w:pPr>
      <w:r>
        <w:rPr>
          <w:lang w:eastAsia="zh-CN"/>
        </w:rPr>
        <w:t>Provide options (within the limits) to help student feel they are in control of their decisions.</w:t>
      </w:r>
    </w:p>
    <w:p w14:paraId="6ACDE03A" w14:textId="77777777" w:rsidR="000B4125" w:rsidRDefault="000B4125" w:rsidP="000B4125">
      <w:pPr>
        <w:pStyle w:val="ListBullet"/>
        <w:rPr>
          <w:lang w:eastAsia="zh-CN"/>
        </w:rPr>
      </w:pPr>
      <w:r>
        <w:rPr>
          <w:lang w:eastAsia="zh-CN"/>
        </w:rPr>
        <w:t xml:space="preserve">Allow the student to access an alternative space </w:t>
      </w:r>
      <w:r w:rsidRPr="00E9002F">
        <w:rPr>
          <w:b/>
          <w:lang w:eastAsia="zh-CN"/>
        </w:rPr>
        <w:t>with</w:t>
      </w:r>
      <w:r>
        <w:rPr>
          <w:lang w:eastAsia="zh-CN"/>
        </w:rPr>
        <w:t xml:space="preserve"> school staff that is less stimulating or removes access to the triggers of behaviour in order to self-regulate and problem-solve. (</w:t>
      </w:r>
      <w:r w:rsidRPr="00E9002F">
        <w:rPr>
          <w:b/>
          <w:lang w:eastAsia="zh-CN"/>
        </w:rPr>
        <w:t>Note:</w:t>
      </w:r>
      <w:r>
        <w:rPr>
          <w:lang w:eastAsia="zh-CN"/>
        </w:rPr>
        <w:t xml:space="preserve"> never forcibly remove or coerce a student to an alternate space).</w:t>
      </w:r>
    </w:p>
    <w:p w14:paraId="79A69AB4" w14:textId="60681B34" w:rsidR="000B4125" w:rsidRDefault="000B4125" w:rsidP="009056CE">
      <w:pPr>
        <w:pStyle w:val="FeatureBox2"/>
      </w:pPr>
      <w:r w:rsidRPr="009B5595">
        <w:rPr>
          <w:b/>
        </w:rPr>
        <w:lastRenderedPageBreak/>
        <w:t xml:space="preserve">Important: </w:t>
      </w:r>
      <w:r w:rsidRPr="009B5595">
        <w:t xml:space="preserve">Effective de-escalation is dependent on the individual needs of the student at the time. If </w:t>
      </w:r>
      <w:r>
        <w:t>staff are</w:t>
      </w:r>
      <w:r w:rsidRPr="009B5595">
        <w:t xml:space="preserve"> not careful, sometimes what </w:t>
      </w:r>
      <w:r>
        <w:t>they</w:t>
      </w:r>
      <w:r w:rsidRPr="009B5595">
        <w:t xml:space="preserve"> do to de-escalate can maintain or strengthen the behaviour (e.g. using an alternative work area, or break-away space, when a student finds particular work difficult may reinforce escape behaviour.)</w:t>
      </w:r>
    </w:p>
    <w:sectPr w:rsidR="000B4125" w:rsidSect="0072738E">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A3DC8" w14:textId="77777777" w:rsidR="008A1C31" w:rsidRDefault="008A1C31" w:rsidP="00191F45">
      <w:r>
        <w:separator/>
      </w:r>
    </w:p>
    <w:p w14:paraId="296104B7" w14:textId="77777777" w:rsidR="008A1C31" w:rsidRDefault="008A1C31"/>
    <w:p w14:paraId="09FE98E8" w14:textId="77777777" w:rsidR="008A1C31" w:rsidRDefault="008A1C31"/>
    <w:p w14:paraId="073CA725" w14:textId="77777777" w:rsidR="008A1C31" w:rsidRDefault="008A1C31"/>
  </w:endnote>
  <w:endnote w:type="continuationSeparator" w:id="0">
    <w:p w14:paraId="345934C5" w14:textId="77777777" w:rsidR="008A1C31" w:rsidRDefault="008A1C31" w:rsidP="00191F45">
      <w:r>
        <w:continuationSeparator/>
      </w:r>
    </w:p>
    <w:p w14:paraId="5D4A3312" w14:textId="77777777" w:rsidR="008A1C31" w:rsidRDefault="008A1C31"/>
    <w:p w14:paraId="02961AA6" w14:textId="77777777" w:rsidR="008A1C31" w:rsidRDefault="008A1C31"/>
    <w:p w14:paraId="5389155D" w14:textId="77777777" w:rsidR="008A1C31" w:rsidRDefault="008A1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6677" w14:textId="56B34443" w:rsidR="007A3356" w:rsidRPr="0072738E" w:rsidRDefault="0072738E" w:rsidP="0072738E">
    <w:pPr>
      <w:pStyle w:val="Logo"/>
    </w:pPr>
    <w:r w:rsidRPr="00913D40">
      <w:rPr>
        <w:sz w:val="24"/>
      </w:rPr>
      <w:t>education.nsw.gov.au</w:t>
    </w:r>
    <w:r w:rsidRPr="00791B72">
      <w:tab/>
    </w:r>
    <w:r w:rsidRPr="009C69B7">
      <w:rPr>
        <w:noProof/>
        <w:lang w:eastAsia="en-AU"/>
      </w:rPr>
      <w:drawing>
        <wp:inline distT="0" distB="0" distL="0" distR="0" wp14:anchorId="070C4EE8" wp14:editId="7E3BC9A2">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481C" w14:textId="55BED058" w:rsidR="007A3356" w:rsidRPr="00880050" w:rsidRDefault="00880050" w:rsidP="00880050">
    <w:pPr>
      <w:pStyle w:val="Logo"/>
    </w:pPr>
    <w:r w:rsidRPr="00913D40">
      <w:rPr>
        <w:sz w:val="24"/>
      </w:rPr>
      <w:t>education.nsw.gov.au</w:t>
    </w:r>
    <w:r w:rsidRPr="00791B72">
      <w:tab/>
    </w:r>
    <w:r w:rsidRPr="009C69B7">
      <w:rPr>
        <w:noProof/>
        <w:lang w:eastAsia="en-AU"/>
      </w:rPr>
      <w:drawing>
        <wp:inline distT="0" distB="0" distL="0" distR="0" wp14:anchorId="249AEFF8" wp14:editId="66F4BB35">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7A89"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EBC7153" wp14:editId="6E54474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778A" w14:textId="77777777" w:rsidR="008A1C31" w:rsidRDefault="008A1C31" w:rsidP="00191F45">
      <w:r>
        <w:separator/>
      </w:r>
    </w:p>
    <w:p w14:paraId="2620A77A" w14:textId="77777777" w:rsidR="008A1C31" w:rsidRDefault="008A1C31"/>
    <w:p w14:paraId="4DC5AB97" w14:textId="77777777" w:rsidR="008A1C31" w:rsidRDefault="008A1C31"/>
    <w:p w14:paraId="3354A981" w14:textId="77777777" w:rsidR="008A1C31" w:rsidRDefault="008A1C31"/>
  </w:footnote>
  <w:footnote w:type="continuationSeparator" w:id="0">
    <w:p w14:paraId="2290EA90" w14:textId="77777777" w:rsidR="008A1C31" w:rsidRDefault="008A1C31" w:rsidP="00191F45">
      <w:r>
        <w:continuationSeparator/>
      </w:r>
    </w:p>
    <w:p w14:paraId="2C8366DD" w14:textId="77777777" w:rsidR="008A1C31" w:rsidRDefault="008A1C31"/>
    <w:p w14:paraId="480DE9E0" w14:textId="77777777" w:rsidR="008A1C31" w:rsidRDefault="008A1C31"/>
    <w:p w14:paraId="58D21C0D" w14:textId="77777777" w:rsidR="008A1C31" w:rsidRDefault="008A1C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B598" w14:textId="77777777" w:rsidR="0072738E" w:rsidRDefault="0072738E" w:rsidP="0072738E">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088C" w14:textId="630C10C6" w:rsidR="00880050" w:rsidRDefault="0088005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928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5A805FC"/>
    <w:multiLevelType w:val="hybridMultilevel"/>
    <w:tmpl w:val="76BCA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7706B1B"/>
    <w:multiLevelType w:val="hybridMultilevel"/>
    <w:tmpl w:val="575E2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742B55"/>
    <w:multiLevelType w:val="hybridMultilevel"/>
    <w:tmpl w:val="BB46F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1D57AD"/>
    <w:multiLevelType w:val="hybridMultilevel"/>
    <w:tmpl w:val="6E04E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42DE0378"/>
    <w:multiLevelType w:val="hybridMultilevel"/>
    <w:tmpl w:val="8CB6B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C574E22"/>
    <w:multiLevelType w:val="hybridMultilevel"/>
    <w:tmpl w:val="5CD48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3492912"/>
    <w:multiLevelType w:val="hybridMultilevel"/>
    <w:tmpl w:val="C918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17"/>
  </w:num>
  <w:num w:numId="3">
    <w:abstractNumId w:val="23"/>
  </w:num>
  <w:num w:numId="4">
    <w:abstractNumId w:val="2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6"/>
  </w:num>
  <w:num w:numId="8">
    <w:abstractNumId w:val="15"/>
  </w:num>
  <w:num w:numId="9">
    <w:abstractNumId w:val="22"/>
  </w:num>
  <w:num w:numId="10">
    <w:abstractNumId w:val="11"/>
  </w:num>
  <w:num w:numId="11">
    <w:abstractNumId w:val="19"/>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8"/>
  </w:num>
  <w:num w:numId="22">
    <w:abstractNumId w:val="24"/>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0"/>
  </w:num>
  <w:num w:numId="32">
    <w:abstractNumId w:val="28"/>
  </w:num>
  <w:num w:numId="33">
    <w:abstractNumId w:val="23"/>
  </w:num>
  <w:num w:numId="34">
    <w:abstractNumId w:val="25"/>
  </w:num>
  <w:num w:numId="35">
    <w:abstractNumId w:val="7"/>
  </w:num>
  <w:num w:numId="36">
    <w:abstractNumId w:val="13"/>
  </w:num>
  <w:num w:numId="37">
    <w:abstractNumId w:val="10"/>
  </w:num>
  <w:num w:numId="38">
    <w:abstractNumId w:val="21"/>
  </w:num>
  <w:num w:numId="39">
    <w:abstractNumId w:val="14"/>
  </w:num>
  <w:num w:numId="40">
    <w:abstractNumId w:val="18"/>
  </w:num>
  <w:num w:numId="41">
    <w:abstractNumId w:val="27"/>
  </w:num>
  <w:num w:numId="4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32"/>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125"/>
    <w:rsid w:val="000B4F65"/>
    <w:rsid w:val="000B75CB"/>
    <w:rsid w:val="000B7D49"/>
    <w:rsid w:val="000C0FB5"/>
    <w:rsid w:val="000C1078"/>
    <w:rsid w:val="000C16A7"/>
    <w:rsid w:val="000C1BCD"/>
    <w:rsid w:val="000C250C"/>
    <w:rsid w:val="000C43DF"/>
    <w:rsid w:val="000C575E"/>
    <w:rsid w:val="000C61FB"/>
    <w:rsid w:val="000C6F89"/>
    <w:rsid w:val="000C7978"/>
    <w:rsid w:val="000C7D4F"/>
    <w:rsid w:val="000D2063"/>
    <w:rsid w:val="000D24EC"/>
    <w:rsid w:val="000D2C3A"/>
    <w:rsid w:val="000D48A8"/>
    <w:rsid w:val="000D4B5A"/>
    <w:rsid w:val="000D55B1"/>
    <w:rsid w:val="000D64D8"/>
    <w:rsid w:val="000E3C1C"/>
    <w:rsid w:val="000E3ECB"/>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3E2"/>
    <w:rsid w:val="00174183"/>
    <w:rsid w:val="00176C65"/>
    <w:rsid w:val="00180A15"/>
    <w:rsid w:val="00180F1C"/>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3BE1"/>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05A"/>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651"/>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1CF"/>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3475"/>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4DB"/>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7CF"/>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96"/>
    <w:rsid w:val="006638B4"/>
    <w:rsid w:val="0066400D"/>
    <w:rsid w:val="006644C4"/>
    <w:rsid w:val="0066530A"/>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99E"/>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5A3"/>
    <w:rsid w:val="00722D6B"/>
    <w:rsid w:val="00723956"/>
    <w:rsid w:val="00724203"/>
    <w:rsid w:val="00725C3B"/>
    <w:rsid w:val="00725D14"/>
    <w:rsid w:val="007266FB"/>
    <w:rsid w:val="0072738E"/>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1C2"/>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1DC"/>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832"/>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A8"/>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222"/>
    <w:rsid w:val="008736AC"/>
    <w:rsid w:val="00874C1F"/>
    <w:rsid w:val="00880050"/>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C31"/>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515A"/>
    <w:rsid w:val="008C6461"/>
    <w:rsid w:val="008C6BA4"/>
    <w:rsid w:val="008C6F82"/>
    <w:rsid w:val="008C7CBC"/>
    <w:rsid w:val="008D0067"/>
    <w:rsid w:val="008D125E"/>
    <w:rsid w:val="008D1928"/>
    <w:rsid w:val="008D5308"/>
    <w:rsid w:val="008D55BF"/>
    <w:rsid w:val="008D61E0"/>
    <w:rsid w:val="008D6722"/>
    <w:rsid w:val="008D6E1D"/>
    <w:rsid w:val="008D7AB2"/>
    <w:rsid w:val="008E0259"/>
    <w:rsid w:val="008E0EE8"/>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6CE"/>
    <w:rsid w:val="00905926"/>
    <w:rsid w:val="0090604A"/>
    <w:rsid w:val="009070E9"/>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DF8"/>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6DF4"/>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1D2B"/>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C73"/>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6EAD"/>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3292"/>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1AF"/>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47A51"/>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ED1"/>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979"/>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6E77"/>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2C13"/>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E7B1B"/>
  <w14:defaultImageDpi w14:val="32767"/>
  <w15:chartTrackingRefBased/>
  <w15:docId w15:val="{0D871EAC-7C22-4090-B8D5-C462F9EC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806832"/>
    <w:pPr>
      <w:ind w:left="720"/>
      <w:contextualSpacing/>
    </w:pPr>
  </w:style>
  <w:style w:type="table" w:customStyle="1" w:styleId="TableGrid10">
    <w:name w:val="Table Grid1"/>
    <w:basedOn w:val="TableNormal"/>
    <w:next w:val="TableGrid"/>
    <w:uiPriority w:val="39"/>
    <w:rsid w:val="0069299E"/>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urner62\AppData\Local\Temp\Temp1_DoEBrandAsset%20(19).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F8680283E1194282B4E58C2DE10B9E" ma:contentTypeVersion="12" ma:contentTypeDescription="Create a new document." ma:contentTypeScope="" ma:versionID="065e077d75827d4f534d0f09d3468b4c">
  <xsd:schema xmlns:xsd="http://www.w3.org/2001/XMLSchema" xmlns:xs="http://www.w3.org/2001/XMLSchema" xmlns:p="http://schemas.microsoft.com/office/2006/metadata/properties" xmlns:ns2="414cc3f4-09e2-4501-9337-30f379fdc506" xmlns:ns3="c496f2b0-75d3-46ec-aaa3-adcd25c2c74f" targetNamespace="http://schemas.microsoft.com/office/2006/metadata/properties" ma:root="true" ma:fieldsID="6940bec31463d2863fb8c213bfd9f31b" ns2:_="" ns3:_="">
    <xsd:import namespace="414cc3f4-09e2-4501-9337-30f379fdc506"/>
    <xsd:import namespace="c496f2b0-75d3-46ec-aaa3-adcd25c2c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cc3f4-09e2-4501-9337-30f379fdc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6f2b0-75d3-46ec-aaa3-adcd25c2c7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c496f2b0-75d3-46ec-aaa3-adcd25c2c74f"/>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414cc3f4-09e2-4501-9337-30f379fdc506"/>
    <ds:schemaRef ds:uri="http://schemas.microsoft.com/office/2006/metadata/properties"/>
  </ds:schemaRefs>
</ds:datastoreItem>
</file>

<file path=customXml/itemProps3.xml><?xml version="1.0" encoding="utf-8"?>
<ds:datastoreItem xmlns:ds="http://schemas.openxmlformats.org/officeDocument/2006/customXml" ds:itemID="{0D1063D7-9CD8-483E-AF40-2EEAD7A0F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cc3f4-09e2-4501-9337-30f379fdc506"/>
    <ds:schemaRef ds:uri="c496f2b0-75d3-46ec-aaa3-adcd25c2c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8EC43B-EEF3-43FD-A9B3-8A462E4A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Turner</dc:creator>
  <cp:keywords/>
  <dc:description/>
  <cp:lastModifiedBy>Mona Sidhu</cp:lastModifiedBy>
  <cp:revision>2</cp:revision>
  <cp:lastPrinted>2019-10-02T00:17:00Z</cp:lastPrinted>
  <dcterms:created xsi:type="dcterms:W3CDTF">2020-12-15T00:21:00Z</dcterms:created>
  <dcterms:modified xsi:type="dcterms:W3CDTF">2020-12-15T00:21:00Z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0x010100B8F8680283E1194282B4E58C2DE10B9E</vt:lpwstr>
  </property>
</Properties>
</file>