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ACE2889" w:rsidR="053C4FF3" w:rsidRDefault="00433DAC" w:rsidP="00DA237B">
      <w:pPr>
        <w:pStyle w:val="Heading1"/>
      </w:pPr>
      <w:r>
        <w:t xml:space="preserve">Fractions and </w:t>
      </w:r>
      <w:r w:rsidR="005A50DA">
        <w:t xml:space="preserve">decimals </w:t>
      </w:r>
      <w:r>
        <w:t xml:space="preserve">and </w:t>
      </w:r>
      <w:r w:rsidR="005A50DA">
        <w:t>percentages</w:t>
      </w:r>
      <w:r w:rsidR="00D12CE6">
        <w:t>,</w:t>
      </w:r>
      <w:r>
        <w:t xml:space="preserve"> oh my!</w:t>
      </w:r>
    </w:p>
    <w:p w14:paraId="365001CC" w14:textId="3D308D11" w:rsidR="00662BC6" w:rsidRPr="006239CB" w:rsidRDefault="00662BC6" w:rsidP="00B15322">
      <w:pPr>
        <w:spacing w:before="0"/>
      </w:pPr>
      <w:r>
        <w:t>Students i</w:t>
      </w:r>
      <w:r w:rsidRPr="00662BC6">
        <w:t xml:space="preserve">dentify and make use of the relationship between fractions, </w:t>
      </w:r>
      <w:proofErr w:type="gramStart"/>
      <w:r w:rsidRPr="00662BC6">
        <w:t>decimals</w:t>
      </w:r>
      <w:proofErr w:type="gramEnd"/>
      <w:r w:rsidRPr="00662BC6">
        <w:t xml:space="preserve"> and percentages to carry out conversions</w:t>
      </w:r>
      <w:r w:rsidR="00FA1C87">
        <w:t>.</w:t>
      </w:r>
    </w:p>
    <w:p w14:paraId="5BF7F918" w14:textId="20B8A6E3" w:rsidR="00A51D10" w:rsidRDefault="004125FD" w:rsidP="004125FD">
      <w:pPr>
        <w:pStyle w:val="Heading2"/>
      </w:pPr>
      <w:r>
        <w:t>Visible learning</w:t>
      </w:r>
    </w:p>
    <w:p w14:paraId="531BF1E6" w14:textId="74E963C3" w:rsidR="00A51D10" w:rsidRPr="00CE6CDC" w:rsidRDefault="00A51D10" w:rsidP="00A51D10">
      <w:pPr>
        <w:pStyle w:val="Heading3"/>
        <w:numPr>
          <w:ilvl w:val="2"/>
          <w:numId w:val="2"/>
        </w:numPr>
        <w:ind w:left="0"/>
      </w:pPr>
      <w:r>
        <w:t>Learning intention</w:t>
      </w:r>
    </w:p>
    <w:p w14:paraId="721BD8C5" w14:textId="7BF2C295" w:rsidR="00A51D10" w:rsidRDefault="00822354" w:rsidP="00102D25">
      <w:pPr>
        <w:pStyle w:val="ListBullet"/>
        <w:rPr>
          <w:lang w:eastAsia="zh-CN"/>
        </w:rPr>
      </w:pPr>
      <w:r>
        <w:rPr>
          <w:lang w:eastAsia="zh-CN"/>
        </w:rPr>
        <w:t xml:space="preserve">To be able to </w:t>
      </w:r>
      <w:r w:rsidR="00D11CC3">
        <w:rPr>
          <w:lang w:eastAsia="zh-CN"/>
        </w:rPr>
        <w:t xml:space="preserve">convert between fractions, </w:t>
      </w:r>
      <w:proofErr w:type="gramStart"/>
      <w:r w:rsidR="00827793">
        <w:rPr>
          <w:lang w:eastAsia="zh-CN"/>
        </w:rPr>
        <w:t>decimals</w:t>
      </w:r>
      <w:proofErr w:type="gramEnd"/>
      <w:r w:rsidR="00D11CC3">
        <w:rPr>
          <w:lang w:eastAsia="zh-CN"/>
        </w:rPr>
        <w:t xml:space="preserve"> and percentages</w:t>
      </w:r>
      <w:r w:rsidR="005E437D">
        <w:rPr>
          <w:lang w:eastAsia="zh-CN"/>
        </w:rPr>
        <w:t>.</w:t>
      </w:r>
    </w:p>
    <w:p w14:paraId="31580410" w14:textId="77777777" w:rsidR="00A51D10" w:rsidRDefault="00A51D10" w:rsidP="00DC15B4">
      <w:pPr>
        <w:pStyle w:val="Heading3"/>
      </w:pPr>
      <w:r>
        <w:t>Success criteria</w:t>
      </w:r>
    </w:p>
    <w:p w14:paraId="228EA04C" w14:textId="215D0455" w:rsidR="00D01CAE" w:rsidRDefault="00D01CAE" w:rsidP="00890623">
      <w:pPr>
        <w:pStyle w:val="ListBullet"/>
      </w:pPr>
      <w:r>
        <w:t xml:space="preserve">I can </w:t>
      </w:r>
      <w:r w:rsidR="00DC15B4">
        <w:t>convert decimals into equivalent fractions</w:t>
      </w:r>
      <w:r w:rsidR="00890623">
        <w:t xml:space="preserve"> and</w:t>
      </w:r>
      <w:r w:rsidR="00302CC3">
        <w:t xml:space="preserve"> percentages</w:t>
      </w:r>
      <w:r w:rsidR="005E437D">
        <w:t>.</w:t>
      </w:r>
    </w:p>
    <w:p w14:paraId="07F96071" w14:textId="3EE4EB3F" w:rsidR="00992E84" w:rsidRDefault="00302CC3" w:rsidP="00890623">
      <w:pPr>
        <w:pStyle w:val="ListBullet"/>
      </w:pPr>
      <w:r>
        <w:t>I can convert fractions into equivalent decimals</w:t>
      </w:r>
      <w:r w:rsidR="00890623">
        <w:t xml:space="preserve"> and </w:t>
      </w:r>
      <w:r w:rsidR="00992E84">
        <w:t>percentages</w:t>
      </w:r>
      <w:r w:rsidR="005E437D">
        <w:t>.</w:t>
      </w:r>
    </w:p>
    <w:p w14:paraId="4253127F" w14:textId="70187F3A" w:rsidR="00992E84" w:rsidRDefault="00992E84" w:rsidP="00890623">
      <w:pPr>
        <w:pStyle w:val="ListBullet"/>
      </w:pPr>
      <w:r>
        <w:t>I can convert percentages into equivalent decimal</w:t>
      </w:r>
      <w:r w:rsidR="00890623">
        <w:t xml:space="preserve">s and </w:t>
      </w:r>
      <w:r>
        <w:t>fractions</w:t>
      </w:r>
      <w:r w:rsidR="005E437D">
        <w:t>.</w:t>
      </w:r>
    </w:p>
    <w:p w14:paraId="2D156811" w14:textId="4292A205" w:rsidR="003037D8" w:rsidRDefault="003037D8" w:rsidP="00302CC3">
      <w:pPr>
        <w:pStyle w:val="ListBullet"/>
      </w:pPr>
      <w:r>
        <w:t>I can re</w:t>
      </w:r>
      <w:r w:rsidR="00AD720D">
        <w:t xml:space="preserve">present equivalent fractions, </w:t>
      </w:r>
      <w:proofErr w:type="gramStart"/>
      <w:r w:rsidR="00266272">
        <w:t>decimals</w:t>
      </w:r>
      <w:proofErr w:type="gramEnd"/>
      <w:r w:rsidR="006D0691">
        <w:t xml:space="preserve"> and percentages on a number line.</w:t>
      </w:r>
    </w:p>
    <w:p w14:paraId="73D6D35E" w14:textId="77777777" w:rsidR="00A51D10" w:rsidRDefault="00A51D10" w:rsidP="00A51D10">
      <w:pPr>
        <w:pStyle w:val="Heading3"/>
        <w:numPr>
          <w:ilvl w:val="2"/>
          <w:numId w:val="2"/>
        </w:numPr>
        <w:ind w:left="0"/>
      </w:pPr>
      <w:r>
        <w:t>Syllabus outcomes</w:t>
      </w:r>
    </w:p>
    <w:p w14:paraId="29FF935D" w14:textId="06B22DB1" w:rsidR="00436C60" w:rsidRPr="00436C60" w:rsidRDefault="00436C60" w:rsidP="00F1090C">
      <w:r w:rsidRPr="00436C60">
        <w:t xml:space="preserve">A </w:t>
      </w:r>
      <w:r w:rsidRPr="00F1090C">
        <w:t>student</w:t>
      </w:r>
      <w:r w:rsidRPr="00436C60">
        <w:t>: </w:t>
      </w:r>
    </w:p>
    <w:p w14:paraId="5DF905D4" w14:textId="715D7933" w:rsidR="00395EB2" w:rsidRPr="00395EB2" w:rsidRDefault="00395EB2" w:rsidP="00F1090C">
      <w:pPr>
        <w:pStyle w:val="ListBullet"/>
      </w:pPr>
      <w:r w:rsidRPr="00F1090C">
        <w:t>develops</w:t>
      </w:r>
      <w:r w:rsidRPr="00395EB2">
        <w:t xml:space="preserve"> understanding and fluency in mathematics through exploring and connecting mathematical concepts, </w:t>
      </w:r>
      <w:proofErr w:type="gramStart"/>
      <w:r w:rsidRPr="00395EB2">
        <w:t>choosing</w:t>
      </w:r>
      <w:proofErr w:type="gramEnd"/>
      <w:r w:rsidRPr="00395EB2">
        <w:t xml:space="preserve"> and applying mathematical techniques to solve problems, and communicating their thinking and reasoning coherently and clearly </w:t>
      </w:r>
      <w:r w:rsidRPr="00303CF2">
        <w:rPr>
          <w:b/>
          <w:bCs/>
        </w:rPr>
        <w:t>MAO-WM-01</w:t>
      </w:r>
    </w:p>
    <w:p w14:paraId="49B57D9D" w14:textId="0C69A9EF" w:rsidR="00F10BCF" w:rsidRPr="001D63C9" w:rsidRDefault="005303A4" w:rsidP="00F1090C">
      <w:pPr>
        <w:pStyle w:val="ListBullet"/>
        <w:rPr>
          <w:rStyle w:val="HeaderChar"/>
          <w:b w:val="0"/>
          <w:bCs w:val="0"/>
          <w:color w:val="auto"/>
        </w:rPr>
      </w:pPr>
      <w:r w:rsidRPr="00303CF2">
        <w:t xml:space="preserve">represents and </w:t>
      </w:r>
      <w:r w:rsidRPr="00F1090C">
        <w:t>operates</w:t>
      </w:r>
      <w:r w:rsidRPr="00303CF2">
        <w:t xml:space="preserve"> with fractions, </w:t>
      </w:r>
      <w:proofErr w:type="gramStart"/>
      <w:r w:rsidRPr="00303CF2">
        <w:t>decimals</w:t>
      </w:r>
      <w:proofErr w:type="gramEnd"/>
      <w:r w:rsidRPr="00303CF2">
        <w:t xml:space="preserve"> and percentages to solve problems</w:t>
      </w:r>
      <w:r w:rsidR="00D01CAE" w:rsidRPr="00303CF2">
        <w:t xml:space="preserve"> </w:t>
      </w:r>
      <w:r w:rsidRPr="00303CF2">
        <w:rPr>
          <w:rStyle w:val="HeaderChar"/>
          <w:color w:val="auto"/>
        </w:rPr>
        <w:t>MA4-FRC-C-01</w:t>
      </w:r>
    </w:p>
    <w:p w14:paraId="6619E0B1" w14:textId="12885213" w:rsidR="001D63C9" w:rsidRPr="00153E8B" w:rsidRDefault="00000000" w:rsidP="00D20162">
      <w:pPr>
        <w:pStyle w:val="Imageattributioncaption"/>
        <w:spacing w:before="240"/>
      </w:pPr>
      <w:hyperlink r:id="rId7" w:history="1">
        <w:r w:rsidR="001D63C9" w:rsidRPr="00B51687">
          <w:rPr>
            <w:rStyle w:val="Hyperlink"/>
          </w:rPr>
          <w:t>Mathematics K–10 Syllabus</w:t>
        </w:r>
      </w:hyperlink>
      <w:r w:rsidR="001D63C9">
        <w:t xml:space="preserve"> </w:t>
      </w:r>
      <w:r w:rsidR="001D63C9" w:rsidRPr="00B51687">
        <w:t xml:space="preserve">© NSW Education Standards Authority (NESA) for and on behalf of the Crown in right of the State of New South Wales, </w:t>
      </w:r>
      <w:r w:rsidR="001D63C9">
        <w:t>2022</w:t>
      </w:r>
      <w:r w:rsidR="001D63C9" w:rsidRPr="00B51687">
        <w:t>.</w:t>
      </w:r>
    </w:p>
    <w:p w14:paraId="31339BC3" w14:textId="77777777" w:rsidR="00F1090C" w:rsidRDefault="00F1090C">
      <w:pPr>
        <w:spacing w:line="276" w:lineRule="auto"/>
        <w:rPr>
          <w:rFonts w:eastAsiaTheme="majorEastAsia"/>
          <w:b/>
          <w:bCs/>
          <w:color w:val="002664"/>
          <w:sz w:val="48"/>
          <w:szCs w:val="48"/>
        </w:rPr>
      </w:pPr>
      <w:r>
        <w:br w:type="page"/>
      </w:r>
    </w:p>
    <w:p w14:paraId="73435BE4" w14:textId="214362D7" w:rsidR="00A51D10" w:rsidRDefault="00A51D10" w:rsidP="00A51D10">
      <w:pPr>
        <w:pStyle w:val="Heading2"/>
        <w:numPr>
          <w:ilvl w:val="1"/>
          <w:numId w:val="2"/>
        </w:numPr>
        <w:ind w:left="0"/>
      </w:pPr>
      <w:r>
        <w:lastRenderedPageBreak/>
        <w:t>Activity structure</w:t>
      </w:r>
    </w:p>
    <w:p w14:paraId="2E81D415" w14:textId="71C69FBC" w:rsidR="003D5425" w:rsidRDefault="003D5425" w:rsidP="00A51D10">
      <w:pPr>
        <w:pStyle w:val="Heading3"/>
        <w:numPr>
          <w:ilvl w:val="2"/>
          <w:numId w:val="2"/>
        </w:numPr>
        <w:ind w:left="0"/>
      </w:pPr>
      <w:r>
        <w:t>Warm up</w:t>
      </w:r>
    </w:p>
    <w:p w14:paraId="23D14D6A" w14:textId="02AA837F" w:rsidR="0037088C" w:rsidRPr="00333278" w:rsidRDefault="00B338D5" w:rsidP="00DE40B1">
      <w:pPr>
        <w:pStyle w:val="ListNumber"/>
      </w:pPr>
      <w:r w:rsidRPr="00333278">
        <w:t xml:space="preserve">Using a </w:t>
      </w:r>
      <w:r w:rsidR="00D151E8">
        <w:t>Think-Pair-Share</w:t>
      </w:r>
      <w:r w:rsidR="005A53BD" w:rsidRPr="00333278">
        <w:t xml:space="preserve"> </w:t>
      </w:r>
      <w:r w:rsidR="008373C4" w:rsidRPr="00333278">
        <w:t>(</w:t>
      </w:r>
      <w:hyperlink r:id="rId8">
        <w:r w:rsidR="00AD5E3B" w:rsidRPr="00CE5E3E">
          <w:rPr>
            <w:rStyle w:val="Hyperlink"/>
          </w:rPr>
          <w:t>bit.ly/</w:t>
        </w:r>
        <w:proofErr w:type="spellStart"/>
        <w:r w:rsidR="00AD5E3B" w:rsidRPr="00CE5E3E">
          <w:rPr>
            <w:rStyle w:val="Hyperlink"/>
          </w:rPr>
          <w:t>thinkpairsharestrategy</w:t>
        </w:r>
        <w:proofErr w:type="spellEnd"/>
      </w:hyperlink>
      <w:r w:rsidR="008373C4" w:rsidRPr="00333278">
        <w:t xml:space="preserve">) </w:t>
      </w:r>
      <w:r w:rsidR="00A626F4">
        <w:t>a</w:t>
      </w:r>
      <w:r w:rsidR="0037088C" w:rsidRPr="00333278">
        <w:t xml:space="preserve">sk students to provide reasoning to justify whether it would be best to use fractions, decimals </w:t>
      </w:r>
      <w:r w:rsidR="0084251D" w:rsidRPr="00333278">
        <w:t>or</w:t>
      </w:r>
      <w:r w:rsidR="0037088C" w:rsidRPr="00333278">
        <w:t xml:space="preserve"> percentages for each of the following scenarios:</w:t>
      </w:r>
    </w:p>
    <w:p w14:paraId="2F93B3ED" w14:textId="19DB64C3" w:rsidR="0037088C" w:rsidRPr="00DE3B0D" w:rsidRDefault="0037088C" w:rsidP="00A03240">
      <w:pPr>
        <w:pStyle w:val="ListBullet2"/>
      </w:pPr>
      <w:r w:rsidRPr="00DE3B0D">
        <w:t xml:space="preserve">Splitting the cost of </w:t>
      </w:r>
      <w:r w:rsidR="00C273AD" w:rsidRPr="00DE3B0D">
        <w:t>a bill when paying for a meal shar</w:t>
      </w:r>
      <w:r w:rsidR="00A44F83" w:rsidRPr="00DE3B0D">
        <w:t>e</w:t>
      </w:r>
      <w:r w:rsidR="00C273AD" w:rsidRPr="00DE3B0D">
        <w:t>d with friends.</w:t>
      </w:r>
    </w:p>
    <w:p w14:paraId="4776BB96" w14:textId="31C02691" w:rsidR="0084251D" w:rsidRPr="00DE3B0D" w:rsidRDefault="0090239E" w:rsidP="00A03240">
      <w:pPr>
        <w:pStyle w:val="ListBullet2"/>
      </w:pPr>
      <w:r w:rsidRPr="00DE3B0D">
        <w:t xml:space="preserve">Cutting a cake into equal slices to </w:t>
      </w:r>
      <w:r w:rsidR="00BE6E42" w:rsidRPr="00DE3B0D">
        <w:t>share with people</w:t>
      </w:r>
      <w:r w:rsidR="00D9651D" w:rsidRPr="00DE3B0D">
        <w:t xml:space="preserve"> at a party.</w:t>
      </w:r>
    </w:p>
    <w:p w14:paraId="02CD19D2" w14:textId="6038FAB6" w:rsidR="002C136F" w:rsidRPr="00DE3B0D" w:rsidRDefault="009B1F53" w:rsidP="00A03240">
      <w:pPr>
        <w:pStyle w:val="ListBullet2"/>
      </w:pPr>
      <w:r w:rsidRPr="00DE3B0D">
        <w:t>Showing how much of a discount</w:t>
      </w:r>
      <w:r w:rsidR="00004461" w:rsidRPr="00DE3B0D">
        <w:t xml:space="preserve"> is </w:t>
      </w:r>
      <w:r w:rsidR="0091542D" w:rsidRPr="00DE3B0D">
        <w:t>being given in a sale.</w:t>
      </w:r>
    </w:p>
    <w:p w14:paraId="1610BD97" w14:textId="5555DAC9" w:rsidR="00DE33D6" w:rsidRPr="00DE3B0D" w:rsidRDefault="00A92D2A" w:rsidP="00A03240">
      <w:pPr>
        <w:pStyle w:val="ListBullet2"/>
      </w:pPr>
      <w:r w:rsidRPr="00DE3B0D">
        <w:t xml:space="preserve">The average number of points scored </w:t>
      </w:r>
      <w:r w:rsidR="00E17B2F" w:rsidRPr="00DE3B0D">
        <w:t xml:space="preserve">per game for a </w:t>
      </w:r>
      <w:r w:rsidR="006047C0" w:rsidRPr="00DE3B0D">
        <w:t xml:space="preserve">professional </w:t>
      </w:r>
      <w:r w:rsidR="00B65AD5" w:rsidRPr="00DE3B0D">
        <w:t>netball player.</w:t>
      </w:r>
    </w:p>
    <w:p w14:paraId="61C3704E" w14:textId="515CBDF4" w:rsidR="00B65AD5" w:rsidRPr="00333278" w:rsidRDefault="00510B68" w:rsidP="00A03240">
      <w:pPr>
        <w:pStyle w:val="ListBullet2"/>
      </w:pPr>
      <w:r w:rsidRPr="00DE3B0D">
        <w:t xml:space="preserve">The </w:t>
      </w:r>
      <w:r w:rsidR="00BF1106" w:rsidRPr="00DE3B0D">
        <w:t>win rate for an e</w:t>
      </w:r>
      <w:r w:rsidR="00A60B41">
        <w:t>S</w:t>
      </w:r>
      <w:r w:rsidR="00BF1106" w:rsidRPr="00DE3B0D">
        <w:t>ports team</w:t>
      </w:r>
      <w:r w:rsidR="00BF1106" w:rsidRPr="005246D5">
        <w:t>.</w:t>
      </w:r>
    </w:p>
    <w:p w14:paraId="7F263C1F" w14:textId="47D44188" w:rsidR="007836C6" w:rsidRPr="00333278" w:rsidRDefault="00ED4B71" w:rsidP="00DE40B1">
      <w:pPr>
        <w:pStyle w:val="ListNumber"/>
      </w:pPr>
      <w:r>
        <w:t>In</w:t>
      </w:r>
      <w:r w:rsidR="00541B43" w:rsidRPr="00333278">
        <w:t xml:space="preserve"> a class discussion </w:t>
      </w:r>
      <w:r w:rsidR="0080538D">
        <w:t xml:space="preserve">allow </w:t>
      </w:r>
      <w:r w:rsidR="00541B43" w:rsidRPr="00333278">
        <w:t xml:space="preserve">students to share their </w:t>
      </w:r>
      <w:r w:rsidR="00F83952" w:rsidRPr="00333278">
        <w:t>responses</w:t>
      </w:r>
      <w:r w:rsidR="008447F4">
        <w:t xml:space="preserve"> and reasoning</w:t>
      </w:r>
      <w:r w:rsidR="002D3838" w:rsidRPr="00333278">
        <w:t>.</w:t>
      </w:r>
    </w:p>
    <w:p w14:paraId="6AF102CC" w14:textId="230701F0" w:rsidR="00F22490" w:rsidRDefault="003E5A67" w:rsidP="00DE40B1">
      <w:pPr>
        <w:pStyle w:val="ListNumber"/>
      </w:pPr>
      <w:r>
        <w:t>Find</w:t>
      </w:r>
      <w:r w:rsidR="00D41E9B" w:rsidRPr="00333278">
        <w:t xml:space="preserve"> </w:t>
      </w:r>
      <w:r w:rsidR="008342D6" w:rsidRPr="00333278">
        <w:t xml:space="preserve">students who have identified </w:t>
      </w:r>
      <w:r w:rsidR="00D1118E" w:rsidRPr="00333278">
        <w:t>contradict</w:t>
      </w:r>
      <w:r w:rsidR="00E8109C" w:rsidRPr="00333278">
        <w:t xml:space="preserve">ory </w:t>
      </w:r>
      <w:r w:rsidR="000324B3" w:rsidRPr="00333278">
        <w:t xml:space="preserve">representations </w:t>
      </w:r>
      <w:r w:rsidR="0091400D" w:rsidRPr="00333278">
        <w:t xml:space="preserve">– </w:t>
      </w:r>
      <w:r w:rsidRPr="00333278">
        <w:t>emphasis</w:t>
      </w:r>
      <w:r>
        <w:t>e</w:t>
      </w:r>
      <w:r w:rsidRPr="00333278">
        <w:t xml:space="preserve"> </w:t>
      </w:r>
      <w:r w:rsidR="0091400D" w:rsidRPr="00333278">
        <w:t xml:space="preserve">that </w:t>
      </w:r>
      <w:r w:rsidR="00BA436C" w:rsidRPr="00333278">
        <w:t>the need and situation may help to dictate the way in which we represent a number</w:t>
      </w:r>
      <w:r w:rsidR="00A626F4" w:rsidRPr="00333278">
        <w:t>,</w:t>
      </w:r>
      <w:r w:rsidR="00BC78F5" w:rsidRPr="00333278">
        <w:t xml:space="preserve"> but this can also vary</w:t>
      </w:r>
      <w:r w:rsidR="00773D6C" w:rsidRPr="00333278">
        <w:t xml:space="preserve"> </w:t>
      </w:r>
      <w:r w:rsidR="006A42DB" w:rsidRPr="00333278">
        <w:t>based on perspective</w:t>
      </w:r>
      <w:r w:rsidR="00BB1234" w:rsidRPr="00333278">
        <w:t xml:space="preserve"> or preference</w:t>
      </w:r>
      <w:r w:rsidR="005109D8">
        <w:t>.</w:t>
      </w:r>
    </w:p>
    <w:p w14:paraId="453957C7" w14:textId="2C8C4B20" w:rsidR="00D01CAE" w:rsidRPr="00B62CC5" w:rsidRDefault="009F7F2E" w:rsidP="00B62CC5">
      <w:pPr>
        <w:pStyle w:val="Heading3"/>
      </w:pPr>
      <w:r>
        <w:t>Launch</w:t>
      </w:r>
    </w:p>
    <w:p w14:paraId="5C2C5351" w14:textId="3520B1E9" w:rsidR="0037088C" w:rsidRDefault="0037088C" w:rsidP="0037088C">
      <w:pPr>
        <w:pStyle w:val="FeatureBox"/>
      </w:pPr>
      <w:r>
        <w:t xml:space="preserve">The following </w:t>
      </w:r>
      <w:r w:rsidR="00613354">
        <w:t xml:space="preserve">is intended to </w:t>
      </w:r>
      <w:r>
        <w:t xml:space="preserve">showcase that </w:t>
      </w:r>
      <w:r w:rsidR="00613354">
        <w:t xml:space="preserve">students </w:t>
      </w:r>
      <w:r>
        <w:t xml:space="preserve">already have a rather robust understanding of many aspects </w:t>
      </w:r>
      <w:r w:rsidR="00613354">
        <w:t xml:space="preserve">of </w:t>
      </w:r>
      <w:r>
        <w:t xml:space="preserve">converting between </w:t>
      </w:r>
      <w:r w:rsidR="00613354">
        <w:t xml:space="preserve">fractions, </w:t>
      </w:r>
      <w:proofErr w:type="gramStart"/>
      <w:r w:rsidR="00A343C0">
        <w:t>decimals</w:t>
      </w:r>
      <w:proofErr w:type="gramEnd"/>
      <w:r w:rsidR="00613354">
        <w:t xml:space="preserve"> and percentages</w:t>
      </w:r>
      <w:r>
        <w:t>.</w:t>
      </w:r>
    </w:p>
    <w:p w14:paraId="2B8526AA" w14:textId="09E093DD" w:rsidR="0037088C" w:rsidRDefault="0037088C" w:rsidP="00DE40B1">
      <w:pPr>
        <w:pStyle w:val="ListNumber"/>
        <w:numPr>
          <w:ilvl w:val="0"/>
          <w:numId w:val="24"/>
        </w:numPr>
      </w:pPr>
      <w:r>
        <w:t xml:space="preserve">Have students watch the most recent weather forecast and/or look at the weather forecast from the Bureau of Meteorology </w:t>
      </w:r>
      <w:r w:rsidR="00672BC7">
        <w:t>(</w:t>
      </w:r>
      <w:hyperlink r:id="rId9" w:history="1">
        <w:r w:rsidR="00672BC7" w:rsidRPr="009F721C">
          <w:rPr>
            <w:rStyle w:val="Hyperlink"/>
          </w:rPr>
          <w:t>http://www.bom.gov.au/nsw/forecasts/index.shtml</w:t>
        </w:r>
      </w:hyperlink>
      <w:r w:rsidR="00672BC7">
        <w:t xml:space="preserve">) </w:t>
      </w:r>
      <w:r>
        <w:t xml:space="preserve">for your local area. </w:t>
      </w:r>
    </w:p>
    <w:p w14:paraId="2E29123D" w14:textId="179168D7" w:rsidR="0037088C" w:rsidRDefault="0037088C" w:rsidP="00DE40B1">
      <w:pPr>
        <w:pStyle w:val="ListNumber"/>
      </w:pPr>
      <w:r>
        <w:t xml:space="preserve">As students are </w:t>
      </w:r>
      <w:r w:rsidR="00613354">
        <w:t xml:space="preserve">engaging with this </w:t>
      </w:r>
      <w:r w:rsidR="003645EC">
        <w:t>content,</w:t>
      </w:r>
      <w:r>
        <w:t xml:space="preserve"> they need to record any language used that involves chance/probability (fractions, percentages, definitions of likelihood of outcomes).</w:t>
      </w:r>
    </w:p>
    <w:p w14:paraId="78AD76C3" w14:textId="77777777" w:rsidR="0037088C" w:rsidRDefault="0037088C" w:rsidP="0037088C">
      <w:pPr>
        <w:pStyle w:val="FeatureBox"/>
      </w:pPr>
      <w:r>
        <w:lastRenderedPageBreak/>
        <w:t>It is encouraged that students undertake this component of the learning sequence in small groups (</w:t>
      </w:r>
      <w:hyperlink r:id="rId10" w:tgtFrame="_blank" w:history="1">
        <w:r w:rsidRPr="00F83FA1">
          <w:rPr>
            <w:rStyle w:val="Hyperlink"/>
            <w:bCs/>
            <w:color w:val="2A5BD7"/>
          </w:rPr>
          <w:t>bit.ly/</w:t>
        </w:r>
        <w:proofErr w:type="spellStart"/>
        <w:r w:rsidRPr="00F83FA1">
          <w:rPr>
            <w:rStyle w:val="Hyperlink"/>
            <w:bCs/>
            <w:color w:val="2A5BD7"/>
          </w:rPr>
          <w:t>visiblegroups</w:t>
        </w:r>
        <w:proofErr w:type="spellEnd"/>
      </w:hyperlink>
      <w:r>
        <w:t>) using a shared space, such as vertical, non-permanent surfaces (</w:t>
      </w:r>
      <w:hyperlink r:id="rId11" w:tgtFrame="_blank" w:history="1">
        <w:r>
          <w:rPr>
            <w:color w:val="2F5496"/>
            <w:u w:val="single"/>
            <w:shd w:val="clear" w:color="auto" w:fill="FFFFFF"/>
          </w:rPr>
          <w:t>bit.ly/</w:t>
        </w:r>
        <w:proofErr w:type="spellStart"/>
        <w:r>
          <w:rPr>
            <w:color w:val="2F5496"/>
            <w:u w:val="single"/>
            <w:shd w:val="clear" w:color="auto" w:fill="FFFFFF"/>
          </w:rPr>
          <w:t>VNPSstrategy</w:t>
        </w:r>
        <w:proofErr w:type="spellEnd"/>
      </w:hyperlink>
      <w:r>
        <w:t>) or similar.</w:t>
      </w:r>
    </w:p>
    <w:p w14:paraId="31B2176B" w14:textId="5EE227A8" w:rsidR="0037088C" w:rsidRDefault="0037088C" w:rsidP="00DE40B1">
      <w:pPr>
        <w:pStyle w:val="ListNumber"/>
      </w:pPr>
      <w:r>
        <w:t xml:space="preserve">Once students have had the opportunity to record their findings, briefly discuss where and how the metalanguage was used. </w:t>
      </w:r>
    </w:p>
    <w:p w14:paraId="18393206" w14:textId="2E3DB2AA" w:rsidR="0037088C" w:rsidRDefault="0037088C" w:rsidP="00DE40B1">
      <w:pPr>
        <w:pStyle w:val="ListNumber"/>
      </w:pPr>
      <w:r>
        <w:t>Identify one of the statements made (for example there is a 10% chance of rain expected</w:t>
      </w:r>
      <w:r w:rsidR="008256B0">
        <w:t>,</w:t>
      </w:r>
      <w:r>
        <w:t xml:space="preserve"> the weather today is going to be partly cloudy, or a similar statement) and have the students define it in </w:t>
      </w:r>
      <w:r w:rsidR="00E717A0">
        <w:t xml:space="preserve">different </w:t>
      </w:r>
      <w:r>
        <w:t xml:space="preserve">ways. </w:t>
      </w:r>
    </w:p>
    <w:p w14:paraId="6540D4F6" w14:textId="08452D30" w:rsidR="0037088C" w:rsidRDefault="0037088C" w:rsidP="0037088C">
      <w:pPr>
        <w:pStyle w:val="FeatureBox"/>
      </w:pPr>
      <w:r>
        <w:t xml:space="preserve">Students should be encouraged to use metalanguage associated with probability and chance to redefine the statements. They should also be encouraged to use their knowledge of fractions, </w:t>
      </w:r>
      <w:proofErr w:type="gramStart"/>
      <w:r w:rsidR="00025EBF">
        <w:t>decimals</w:t>
      </w:r>
      <w:proofErr w:type="gramEnd"/>
      <w:r>
        <w:t xml:space="preserve"> and percentages to redefine non-specific statements with a numerical value instead.</w:t>
      </w:r>
      <w:r w:rsidR="0017142F">
        <w:t xml:space="preserve"> For instance, </w:t>
      </w:r>
      <w:r w:rsidR="00CF1665">
        <w:t>‘</w:t>
      </w:r>
      <w:r w:rsidR="0017142F">
        <w:t>a slight chance of rain</w:t>
      </w:r>
      <w:r w:rsidR="00CF1665">
        <w:t>’</w:t>
      </w:r>
      <w:r w:rsidR="0017142F">
        <w:t xml:space="preserve"> might become a </w:t>
      </w:r>
      <w:r w:rsidR="00CF1665">
        <w:t>‘</w:t>
      </w:r>
      <w:r w:rsidR="0017142F">
        <w:t>0.2 chance of rain</w:t>
      </w:r>
      <w:r w:rsidR="00D90AFF">
        <w:t>.</w:t>
      </w:r>
      <w:r w:rsidR="00CF1665">
        <w:t>’</w:t>
      </w:r>
    </w:p>
    <w:p w14:paraId="2F514762" w14:textId="41CF9C41" w:rsidR="0037088C" w:rsidRPr="0037088C" w:rsidRDefault="0037088C" w:rsidP="00DE40B1">
      <w:pPr>
        <w:pStyle w:val="ListNumber"/>
      </w:pPr>
      <w:r>
        <w:t xml:space="preserve">Attempt to guide the overall discussion </w:t>
      </w:r>
      <w:r w:rsidR="00266CDE">
        <w:t xml:space="preserve">by </w:t>
      </w:r>
      <w:r>
        <w:t xml:space="preserve">comparing the language and the mathematical concepts being </w:t>
      </w:r>
      <w:r w:rsidR="00266CDE">
        <w:t>used</w:t>
      </w:r>
      <w:r>
        <w:t>, highlighting when students have identified points of conversion from fractions, decimals and/or percentages.</w:t>
      </w:r>
    </w:p>
    <w:p w14:paraId="65965512" w14:textId="3194C851" w:rsidR="00A51D10" w:rsidRDefault="009F7F2E" w:rsidP="00A51D10">
      <w:pPr>
        <w:pStyle w:val="Heading3"/>
        <w:numPr>
          <w:ilvl w:val="2"/>
          <w:numId w:val="2"/>
        </w:numPr>
        <w:ind w:left="0"/>
      </w:pPr>
      <w:r>
        <w:t>Explore</w:t>
      </w:r>
    </w:p>
    <w:p w14:paraId="1BF2EB46" w14:textId="6CD152D9" w:rsidR="00E45E8C" w:rsidRPr="00E45E8C" w:rsidRDefault="00C442E2" w:rsidP="00E45E8C">
      <w:pPr>
        <w:pStyle w:val="Heading4"/>
      </w:pPr>
      <w:r>
        <w:t xml:space="preserve">Comparing fractions, </w:t>
      </w:r>
      <w:proofErr w:type="gramStart"/>
      <w:r w:rsidR="00D90AFF">
        <w:t>decimals</w:t>
      </w:r>
      <w:proofErr w:type="gramEnd"/>
      <w:r>
        <w:t xml:space="preserve"> and percentages</w:t>
      </w:r>
    </w:p>
    <w:p w14:paraId="5E459124" w14:textId="6B199765" w:rsidR="00CF4D6D" w:rsidRDefault="00EE1655" w:rsidP="009C139B">
      <w:pPr>
        <w:pStyle w:val="FeatureBox"/>
      </w:pPr>
      <w:r>
        <w:t xml:space="preserve">Students should have </w:t>
      </w:r>
      <w:r w:rsidR="008254EB">
        <w:t xml:space="preserve">already </w:t>
      </w:r>
      <w:r>
        <w:t xml:space="preserve">had </w:t>
      </w:r>
      <w:r w:rsidR="009C139B">
        <w:t>an opportunity</w:t>
      </w:r>
      <w:r>
        <w:t xml:space="preserve"> to </w:t>
      </w:r>
      <w:r w:rsidR="009C139B">
        <w:t xml:space="preserve">develop their capacity to convert decimals and percentages to </w:t>
      </w:r>
      <w:r w:rsidR="009C139B" w:rsidDel="00406C75">
        <w:t>fractions</w:t>
      </w:r>
      <w:r w:rsidR="00406C75">
        <w:t>. If</w:t>
      </w:r>
      <w:r w:rsidR="00D33224">
        <w:t xml:space="preserve"> not, these concepts have been covered in </w:t>
      </w:r>
      <w:r w:rsidR="003336CE">
        <w:t xml:space="preserve">the </w:t>
      </w:r>
      <w:r w:rsidR="00D33224">
        <w:t>‘</w:t>
      </w:r>
      <w:r w:rsidR="003336CE">
        <w:t>Be Rational</w:t>
      </w:r>
      <w:r w:rsidR="00485616">
        <w:t>’</w:t>
      </w:r>
      <w:r w:rsidR="003336CE">
        <w:t xml:space="preserve"> learning </w:t>
      </w:r>
      <w:r w:rsidR="005B1ECA">
        <w:t>episode</w:t>
      </w:r>
      <w:r w:rsidR="00721BBA">
        <w:t>.</w:t>
      </w:r>
    </w:p>
    <w:p w14:paraId="4FD1E04C" w14:textId="5B3D3153" w:rsidR="00CF4D6D" w:rsidRDefault="00CF4D6D" w:rsidP="00CF4D6D">
      <w:pPr>
        <w:spacing w:before="0" w:line="240" w:lineRule="auto"/>
      </w:pPr>
    </w:p>
    <w:p w14:paraId="16C15EC8" w14:textId="135DD3DC" w:rsidR="003B12D7" w:rsidRDefault="003B12D7" w:rsidP="00CF4D6D">
      <w:pPr>
        <w:pStyle w:val="FeatureBox"/>
      </w:pPr>
      <w:r w:rsidRPr="003B12D7">
        <w:t>It is encouraged that students undertake this component of the learning sequence in small groups (</w:t>
      </w:r>
      <w:hyperlink r:id="rId12" w:history="1">
        <w:r w:rsidRPr="00E9195A">
          <w:rPr>
            <w:rStyle w:val="Hyperlink"/>
          </w:rPr>
          <w:t>bit.ly/</w:t>
        </w:r>
        <w:proofErr w:type="spellStart"/>
        <w:r w:rsidRPr="00E9195A">
          <w:rPr>
            <w:rStyle w:val="Hyperlink"/>
          </w:rPr>
          <w:t>visiblegroups</w:t>
        </w:r>
        <w:proofErr w:type="spellEnd"/>
      </w:hyperlink>
      <w:r w:rsidRPr="003B12D7">
        <w:t>) using a shared space, such as vertical, non-permanent surfaces (</w:t>
      </w:r>
      <w:hyperlink r:id="rId13" w:history="1">
        <w:r w:rsidRPr="00E9195A">
          <w:rPr>
            <w:rStyle w:val="Hyperlink"/>
          </w:rPr>
          <w:t>bit.ly/</w:t>
        </w:r>
        <w:proofErr w:type="spellStart"/>
        <w:r w:rsidRPr="00E9195A">
          <w:rPr>
            <w:rStyle w:val="Hyperlink"/>
          </w:rPr>
          <w:t>VNPSstrategy</w:t>
        </w:r>
        <w:proofErr w:type="spellEnd"/>
      </w:hyperlink>
      <w:r w:rsidRPr="003B12D7">
        <w:t>) or similar</w:t>
      </w:r>
      <w:r>
        <w:t>.</w:t>
      </w:r>
    </w:p>
    <w:p w14:paraId="54E3B5F9" w14:textId="3E345FEB" w:rsidR="00333278" w:rsidRDefault="003B12D7" w:rsidP="00DE40B1">
      <w:pPr>
        <w:pStyle w:val="ListNumber"/>
        <w:numPr>
          <w:ilvl w:val="0"/>
          <w:numId w:val="18"/>
        </w:numPr>
      </w:pPr>
      <w:r>
        <w:lastRenderedPageBreak/>
        <w:t xml:space="preserve">Provide students with </w:t>
      </w:r>
      <w:r w:rsidR="00FE0052">
        <w:t>acce</w:t>
      </w:r>
      <w:r>
        <w:t xml:space="preserve">ss to the table in Appendix A </w:t>
      </w:r>
      <w:r w:rsidR="008B143F" w:rsidRPr="008B143F">
        <w:t>‘</w:t>
      </w:r>
      <w:r w:rsidRPr="008B143F">
        <w:t>Equivalent Values Table</w:t>
      </w:r>
      <w:r w:rsidR="008B143F" w:rsidRPr="008B143F">
        <w:t>’</w:t>
      </w:r>
      <w:r w:rsidR="000F4869">
        <w:t>,</w:t>
      </w:r>
      <w:r w:rsidR="00900F28">
        <w:t xml:space="preserve"> </w:t>
      </w:r>
      <w:r w:rsidR="00FE0052">
        <w:t xml:space="preserve">either displayed where they can all see </w:t>
      </w:r>
      <w:r w:rsidR="007B0EC2">
        <w:t>or a copy per group.</w:t>
      </w:r>
    </w:p>
    <w:p w14:paraId="18A4526C" w14:textId="61AA1490" w:rsidR="008A569A" w:rsidRPr="0057177D" w:rsidRDefault="007B0EC2" w:rsidP="00DE40B1">
      <w:pPr>
        <w:pStyle w:val="ListNumber"/>
        <w:numPr>
          <w:ilvl w:val="0"/>
          <w:numId w:val="18"/>
        </w:numPr>
      </w:pPr>
      <w:r w:rsidRPr="0057177D">
        <w:t xml:space="preserve">Students </w:t>
      </w:r>
      <w:r w:rsidR="00F575EC" w:rsidRPr="0057177D">
        <w:t xml:space="preserve">should be given </w:t>
      </w:r>
      <w:r w:rsidR="004D2D38" w:rsidRPr="0057177D">
        <w:t xml:space="preserve">the chance to </w:t>
      </w:r>
      <w:r w:rsidR="00DF2720" w:rsidRPr="0057177D">
        <w:t>complete as much of this table as they can in their groups</w:t>
      </w:r>
      <w:r w:rsidR="008A569A" w:rsidRPr="0057177D">
        <w:t xml:space="preserve">. </w:t>
      </w:r>
    </w:p>
    <w:p w14:paraId="5042E3F4" w14:textId="441F4039" w:rsidR="008A569A" w:rsidRDefault="008A569A" w:rsidP="008A569A">
      <w:pPr>
        <w:pStyle w:val="FeatureBox"/>
      </w:pPr>
      <w:r>
        <w:t xml:space="preserve">The purpose of this </w:t>
      </w:r>
      <w:r w:rsidR="00CB38E6">
        <w:t xml:space="preserve">step </w:t>
      </w:r>
      <w:r w:rsidR="00FE3357">
        <w:t>is to highlight</w:t>
      </w:r>
      <w:r w:rsidR="00A34B40">
        <w:t xml:space="preserve"> what </w:t>
      </w:r>
      <w:r w:rsidR="00CB38E6">
        <w:t>students</w:t>
      </w:r>
      <w:r w:rsidR="00A34B40">
        <w:t xml:space="preserve"> already know</w:t>
      </w:r>
      <w:r w:rsidR="00917B15">
        <w:t xml:space="preserve"> and </w:t>
      </w:r>
      <w:r w:rsidR="004504EA">
        <w:t>identify areas that need to be explored</w:t>
      </w:r>
      <w:r w:rsidR="00D00DB3">
        <w:t xml:space="preserve"> to fill in the gaps in their knowledge and understanding</w:t>
      </w:r>
      <w:r w:rsidR="004504EA">
        <w:t>.</w:t>
      </w:r>
      <w:r w:rsidR="00A52E38">
        <w:t xml:space="preserve"> Students could be encouraged to use patterns in the table to help them fill in information</w:t>
      </w:r>
      <w:r w:rsidR="001B34F7">
        <w:t>.</w:t>
      </w:r>
    </w:p>
    <w:p w14:paraId="09538630" w14:textId="53F4488C" w:rsidR="00140ACE" w:rsidRDefault="004504EA" w:rsidP="00EC04AE">
      <w:pPr>
        <w:pStyle w:val="ListNumber"/>
        <w:numPr>
          <w:ilvl w:val="0"/>
          <w:numId w:val="39"/>
        </w:numPr>
      </w:pPr>
      <w:r>
        <w:t xml:space="preserve">Using </w:t>
      </w:r>
      <w:r w:rsidR="00270C02">
        <w:t xml:space="preserve">the </w:t>
      </w:r>
      <w:r w:rsidR="00CF1665">
        <w:t xml:space="preserve">Pause-Pose-Pounce-Bounce question strategy ([PDF 200KB] </w:t>
      </w:r>
      <w:hyperlink r:id="rId14" w:tgtFrame="_blank" w:tooltip="https://bit.ly/pausepouncebounce" w:history="1">
        <w:r w:rsidR="00CF1665">
          <w:rPr>
            <w:rStyle w:val="Hyperlink"/>
          </w:rPr>
          <w:t>bit.ly/</w:t>
        </w:r>
        <w:proofErr w:type="spellStart"/>
        <w:r w:rsidR="00CF1665">
          <w:rPr>
            <w:rStyle w:val="Hyperlink"/>
          </w:rPr>
          <w:t>pausepouncebounce</w:t>
        </w:r>
        <w:proofErr w:type="spellEnd"/>
      </w:hyperlink>
      <w:r w:rsidR="00CF1665">
        <w:t>)</w:t>
      </w:r>
      <w:r w:rsidR="00FC1C29">
        <w:t xml:space="preserve"> </w:t>
      </w:r>
      <w:r w:rsidR="00F838DC">
        <w:t xml:space="preserve">have students provide </w:t>
      </w:r>
      <w:r w:rsidR="00521E22">
        <w:t xml:space="preserve">and </w:t>
      </w:r>
      <w:r w:rsidR="00D17983">
        <w:t xml:space="preserve">justify </w:t>
      </w:r>
      <w:r w:rsidR="00F838DC">
        <w:t xml:space="preserve">the </w:t>
      </w:r>
      <w:r w:rsidR="00C72A4E">
        <w:t>solutions</w:t>
      </w:r>
      <w:r w:rsidR="00FD618C">
        <w:t xml:space="preserve"> they have managed to </w:t>
      </w:r>
      <w:r w:rsidR="0013568E">
        <w:t>produce</w:t>
      </w:r>
      <w:r w:rsidR="00D17983">
        <w:t>.</w:t>
      </w:r>
    </w:p>
    <w:p w14:paraId="21A80CE3" w14:textId="4F64679A" w:rsidR="00C41C84" w:rsidRDefault="0093376C" w:rsidP="00140ACE">
      <w:pPr>
        <w:pStyle w:val="Heading3"/>
      </w:pPr>
      <w:r>
        <w:t xml:space="preserve">Explicit </w:t>
      </w:r>
      <w:r w:rsidR="007E4FF6">
        <w:t>te</w:t>
      </w:r>
      <w:r w:rsidR="004A3932">
        <w:t>aching</w:t>
      </w:r>
    </w:p>
    <w:p w14:paraId="509DE044" w14:textId="77777777" w:rsidR="00E951EC" w:rsidRDefault="00E951EC" w:rsidP="00E951EC">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53B16D8A" w14:textId="77777777" w:rsidR="00E951EC" w:rsidRDefault="00E951EC" w:rsidP="00E951EC">
      <w:pPr>
        <w:pStyle w:val="FeatureBox"/>
        <w:numPr>
          <w:ilvl w:val="0"/>
          <w:numId w:val="42"/>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58C422FE" w14:textId="77777777" w:rsidR="00E951EC" w:rsidRDefault="00E951EC" w:rsidP="00E951EC">
      <w:pPr>
        <w:pStyle w:val="FeatureBox"/>
        <w:numPr>
          <w:ilvl w:val="0"/>
          <w:numId w:val="42"/>
        </w:numPr>
        <w:ind w:left="567" w:hanging="567"/>
        <w:rPr>
          <w:lang w:eastAsia="zh-CN"/>
        </w:rPr>
      </w:pPr>
      <w:r w:rsidRPr="00B76006">
        <w:rPr>
          <w:lang w:eastAsia="zh-CN"/>
        </w:rPr>
        <w:t>Students read in silence</w:t>
      </w:r>
      <w:r>
        <w:rPr>
          <w:lang w:eastAsia="zh-CN"/>
        </w:rPr>
        <w:t>.</w:t>
      </w:r>
    </w:p>
    <w:p w14:paraId="777F5EA2" w14:textId="77777777" w:rsidR="00E951EC" w:rsidRDefault="00E951EC" w:rsidP="00E951EC">
      <w:pPr>
        <w:pStyle w:val="FeatureBox"/>
        <w:numPr>
          <w:ilvl w:val="0"/>
          <w:numId w:val="42"/>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6C5E706C" w14:textId="77777777" w:rsidR="00E951EC" w:rsidRDefault="00E951EC" w:rsidP="00E951EC">
      <w:pPr>
        <w:pStyle w:val="FeatureBox"/>
        <w:numPr>
          <w:ilvl w:val="0"/>
          <w:numId w:val="42"/>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7E0BDDEF" w14:textId="77777777" w:rsidR="00E951EC" w:rsidRDefault="00E951EC" w:rsidP="00E951EC">
      <w:pPr>
        <w:pStyle w:val="FeatureBox"/>
        <w:numPr>
          <w:ilvl w:val="0"/>
          <w:numId w:val="42"/>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284E2006" w14:textId="77777777" w:rsidR="00E951EC" w:rsidRDefault="00E951EC" w:rsidP="00E951EC">
      <w:pPr>
        <w:pStyle w:val="FeatureBox"/>
        <w:numPr>
          <w:ilvl w:val="0"/>
          <w:numId w:val="42"/>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582F45F1" w14:textId="77777777" w:rsidR="00E951EC" w:rsidRDefault="00E951EC" w:rsidP="00E951EC">
      <w:pPr>
        <w:pStyle w:val="FeatureBox"/>
        <w:numPr>
          <w:ilvl w:val="0"/>
          <w:numId w:val="42"/>
        </w:numPr>
        <w:ind w:left="567" w:hanging="567"/>
        <w:rPr>
          <w:lang w:eastAsia="zh-CN"/>
        </w:rPr>
      </w:pPr>
      <w:r>
        <w:rPr>
          <w:lang w:eastAsia="zh-CN"/>
        </w:rPr>
        <w:t>Finally, randomly select students to share their answers with the whole class.</w:t>
      </w:r>
    </w:p>
    <w:p w14:paraId="77484B75" w14:textId="4ED7E4A9" w:rsidR="0071788E" w:rsidRDefault="0071788E" w:rsidP="0071788E">
      <w:pPr>
        <w:pStyle w:val="ListNumber"/>
        <w:numPr>
          <w:ilvl w:val="0"/>
          <w:numId w:val="29"/>
        </w:numPr>
        <w:rPr>
          <w:lang w:eastAsia="zh-CN"/>
        </w:rPr>
      </w:pPr>
      <w:r w:rsidRPr="0040551C">
        <w:rPr>
          <w:lang w:eastAsia="zh-CN"/>
        </w:rPr>
        <w:t xml:space="preserve">Use the </w:t>
      </w:r>
      <w:r w:rsidRPr="009214E8">
        <w:rPr>
          <w:i/>
          <w:iCs/>
          <w:lang w:eastAsia="zh-CN"/>
        </w:rPr>
        <w:t xml:space="preserve">Fractions and decimals and percentages – oh my! </w:t>
      </w:r>
      <w:r w:rsidRPr="0040551C">
        <w:rPr>
          <w:lang w:eastAsia="zh-CN"/>
        </w:rPr>
        <w:t xml:space="preserve">PowerPoint </w:t>
      </w:r>
      <w:r>
        <w:rPr>
          <w:lang w:eastAsia="zh-CN"/>
        </w:rPr>
        <w:t xml:space="preserve">slides </w:t>
      </w:r>
      <w:r w:rsidR="009B585D">
        <w:rPr>
          <w:lang w:eastAsia="zh-CN"/>
        </w:rPr>
        <w:t>1</w:t>
      </w:r>
      <w:r w:rsidR="00462F9E">
        <w:rPr>
          <w:lang w:eastAsia="zh-CN"/>
        </w:rPr>
        <w:t>–</w:t>
      </w:r>
      <w:r>
        <w:rPr>
          <w:lang w:eastAsia="zh-CN"/>
        </w:rPr>
        <w:t>1</w:t>
      </w:r>
      <w:r w:rsidR="009B585D">
        <w:rPr>
          <w:lang w:eastAsia="zh-CN"/>
        </w:rPr>
        <w:t>8</w:t>
      </w:r>
      <w:r>
        <w:rPr>
          <w:lang w:eastAsia="zh-CN"/>
        </w:rPr>
        <w:t xml:space="preserve"> </w:t>
      </w:r>
      <w:r w:rsidRPr="0040551C">
        <w:rPr>
          <w:lang w:eastAsia="zh-CN"/>
        </w:rPr>
        <w:t xml:space="preserve">for explicit teaching of the skills required for </w:t>
      </w:r>
      <w:r>
        <w:rPr>
          <w:lang w:eastAsia="zh-CN"/>
        </w:rPr>
        <w:t>converting decimals into percentages</w:t>
      </w:r>
      <w:r w:rsidRPr="0040551C">
        <w:rPr>
          <w:lang w:eastAsia="zh-CN"/>
        </w:rPr>
        <w:t>.</w:t>
      </w:r>
    </w:p>
    <w:p w14:paraId="1ADF26CA" w14:textId="043A0193" w:rsidR="000F3C0D" w:rsidRDefault="00C217B7" w:rsidP="0071788E">
      <w:pPr>
        <w:pStyle w:val="ListNumber"/>
        <w:numPr>
          <w:ilvl w:val="0"/>
          <w:numId w:val="29"/>
        </w:numPr>
        <w:rPr>
          <w:lang w:eastAsia="zh-CN"/>
        </w:rPr>
      </w:pPr>
      <w:r>
        <w:rPr>
          <w:lang w:eastAsia="zh-CN"/>
        </w:rPr>
        <w:t xml:space="preserve">Provide students with the opportunity to return to their previously allocated groups and direct them back to Appendix A to complete the </w:t>
      </w:r>
      <w:r w:rsidR="000F3C0D">
        <w:rPr>
          <w:lang w:eastAsia="zh-CN"/>
        </w:rPr>
        <w:t>gaps that were present from earlier.</w:t>
      </w:r>
      <w:r w:rsidR="003D1FA6">
        <w:rPr>
          <w:lang w:eastAsia="zh-CN"/>
        </w:rPr>
        <w:t xml:space="preserve"> If students were previously able to finish the whole table</w:t>
      </w:r>
      <w:r w:rsidR="00D44364">
        <w:rPr>
          <w:lang w:eastAsia="zh-CN"/>
        </w:rPr>
        <w:t>,</w:t>
      </w:r>
      <w:r w:rsidR="003D1FA6">
        <w:rPr>
          <w:lang w:eastAsia="zh-CN"/>
        </w:rPr>
        <w:t xml:space="preserve"> consider challenging </w:t>
      </w:r>
      <w:r w:rsidR="003D1FA6">
        <w:rPr>
          <w:lang w:eastAsia="zh-CN"/>
        </w:rPr>
        <w:lastRenderedPageBreak/>
        <w:t>them by providing additional fractions to consider such as</w:t>
      </w:r>
      <w:r w:rsidR="001A04E4">
        <w:rPr>
          <w:lang w:eastAsia="zh-CN"/>
        </w:rPr>
        <w:t xml:space="preserve"> non-unit fractions, or larger unit fractions.</w:t>
      </w:r>
      <m:oMath>
        <m:r>
          <w:rPr>
            <w:rFonts w:ascii="Cambria Math" w:hAnsi="Cambria Math"/>
            <w:lang w:eastAsia="zh-CN"/>
          </w:rPr>
          <m:t xml:space="preserve"> </m:t>
        </m:r>
      </m:oMath>
    </w:p>
    <w:p w14:paraId="196AE7EB" w14:textId="1B906470" w:rsidR="009B585D" w:rsidRDefault="009B585D" w:rsidP="000F3C0D">
      <w:pPr>
        <w:pStyle w:val="FeatureBox"/>
        <w:rPr>
          <w:lang w:eastAsia="zh-CN"/>
        </w:rPr>
      </w:pPr>
      <w:r>
        <w:rPr>
          <w:lang w:eastAsia="zh-CN"/>
        </w:rPr>
        <w:t>Students should already have explored</w:t>
      </w:r>
      <w:r w:rsidR="000F3C0D">
        <w:rPr>
          <w:lang w:eastAsia="zh-CN"/>
        </w:rPr>
        <w:t xml:space="preserve"> </w:t>
      </w:r>
      <w:r w:rsidR="00EF3476">
        <w:rPr>
          <w:lang w:eastAsia="zh-CN"/>
        </w:rPr>
        <w:t>converting fractions into decimals – if there are students who have not been able to draw connections between this concept and converting</w:t>
      </w:r>
      <w:r w:rsidR="003A1743">
        <w:rPr>
          <w:lang w:eastAsia="zh-CN"/>
        </w:rPr>
        <w:t xml:space="preserve"> fractions to decimals to percentages, highlight this </w:t>
      </w:r>
      <w:r w:rsidR="00043371">
        <w:rPr>
          <w:lang w:eastAsia="zh-CN"/>
        </w:rPr>
        <w:t>process through prompting.</w:t>
      </w:r>
    </w:p>
    <w:p w14:paraId="307D6042" w14:textId="4E05E0BD" w:rsidR="00043371" w:rsidRDefault="0012359F" w:rsidP="00043371">
      <w:pPr>
        <w:pStyle w:val="ListNumber"/>
        <w:rPr>
          <w:lang w:eastAsia="zh-CN"/>
        </w:rPr>
      </w:pPr>
      <w:r w:rsidRPr="0040551C">
        <w:rPr>
          <w:lang w:eastAsia="zh-CN"/>
        </w:rPr>
        <w:t xml:space="preserve">Use the </w:t>
      </w:r>
      <w:r w:rsidRPr="0071788E">
        <w:rPr>
          <w:i/>
          <w:lang w:eastAsia="zh-CN"/>
        </w:rPr>
        <w:t>Fractions and decimals and percentages – oh my!</w:t>
      </w:r>
      <w:r w:rsidRPr="0040551C">
        <w:rPr>
          <w:lang w:eastAsia="zh-CN"/>
        </w:rPr>
        <w:t xml:space="preserve"> PowerPoint </w:t>
      </w:r>
      <w:r>
        <w:rPr>
          <w:lang w:eastAsia="zh-CN"/>
        </w:rPr>
        <w:t xml:space="preserve">slides </w:t>
      </w:r>
      <w:r w:rsidR="00036413">
        <w:rPr>
          <w:lang w:eastAsia="zh-CN"/>
        </w:rPr>
        <w:t>19</w:t>
      </w:r>
      <w:r w:rsidR="0029605E">
        <w:rPr>
          <w:lang w:eastAsia="zh-CN"/>
        </w:rPr>
        <w:t>–</w:t>
      </w:r>
      <w:r w:rsidR="00036413">
        <w:rPr>
          <w:lang w:eastAsia="zh-CN"/>
        </w:rPr>
        <w:t>2</w:t>
      </w:r>
      <w:r>
        <w:rPr>
          <w:lang w:eastAsia="zh-CN"/>
        </w:rPr>
        <w:t xml:space="preserve">8 </w:t>
      </w:r>
      <w:r w:rsidRPr="0040551C">
        <w:rPr>
          <w:lang w:eastAsia="zh-CN"/>
        </w:rPr>
        <w:t xml:space="preserve">for explicit teaching of the skills required for </w:t>
      </w:r>
      <w:r>
        <w:rPr>
          <w:lang w:eastAsia="zh-CN"/>
        </w:rPr>
        <w:t>converting percentages into decimals</w:t>
      </w:r>
      <w:r w:rsidRPr="0040551C">
        <w:rPr>
          <w:lang w:eastAsia="zh-CN"/>
        </w:rPr>
        <w:t>.</w:t>
      </w:r>
    </w:p>
    <w:p w14:paraId="41D9D774" w14:textId="1288EA37" w:rsidR="004C042B" w:rsidRDefault="003E27A2" w:rsidP="00043371">
      <w:pPr>
        <w:pStyle w:val="ListNumber"/>
        <w:rPr>
          <w:lang w:eastAsia="zh-CN"/>
        </w:rPr>
      </w:pPr>
      <w:r>
        <w:rPr>
          <w:lang w:eastAsia="zh-CN"/>
        </w:rPr>
        <w:t>S</w:t>
      </w:r>
      <w:r w:rsidR="004C042B">
        <w:rPr>
          <w:lang w:eastAsia="zh-CN"/>
        </w:rPr>
        <w:t xml:space="preserve">tudents return to Appendix A </w:t>
      </w:r>
      <w:r w:rsidR="00875366">
        <w:rPr>
          <w:lang w:eastAsia="zh-CN"/>
        </w:rPr>
        <w:t xml:space="preserve">for </w:t>
      </w:r>
      <w:r w:rsidR="004C042B">
        <w:rPr>
          <w:lang w:eastAsia="zh-CN"/>
        </w:rPr>
        <w:t xml:space="preserve">a final time </w:t>
      </w:r>
      <w:proofErr w:type="gramStart"/>
      <w:r w:rsidR="004C042B">
        <w:rPr>
          <w:lang w:eastAsia="zh-CN"/>
        </w:rPr>
        <w:t>in order to</w:t>
      </w:r>
      <w:proofErr w:type="gramEnd"/>
      <w:r w:rsidR="004C042B">
        <w:rPr>
          <w:lang w:eastAsia="zh-CN"/>
        </w:rPr>
        <w:t xml:space="preserve"> complete </w:t>
      </w:r>
      <w:r w:rsidR="00FB7FC0">
        <w:rPr>
          <w:lang w:eastAsia="zh-CN"/>
        </w:rPr>
        <w:t>any remaining</w:t>
      </w:r>
      <w:r w:rsidR="004C042B">
        <w:rPr>
          <w:lang w:eastAsia="zh-CN"/>
        </w:rPr>
        <w:t xml:space="preserve"> gaps</w:t>
      </w:r>
      <w:r w:rsidR="00FB7FC0">
        <w:rPr>
          <w:lang w:eastAsia="zh-CN"/>
        </w:rPr>
        <w:t>.</w:t>
      </w:r>
    </w:p>
    <w:p w14:paraId="07882C99" w14:textId="1BB7DCD5" w:rsidR="004341AC" w:rsidRPr="00965AAB" w:rsidRDefault="00036413" w:rsidP="00EB4BEF">
      <w:pPr>
        <w:pStyle w:val="ListNumber"/>
      </w:pPr>
      <w:r>
        <w:rPr>
          <w:lang w:eastAsia="zh-CN"/>
        </w:rPr>
        <w:t xml:space="preserve">Bring the students back for a final class discussion and use </w:t>
      </w:r>
      <w:r w:rsidR="00CF1665">
        <w:t xml:space="preserve">Pause-Pose-Pounce-Bounce question strategy ([PDF 200KB] </w:t>
      </w:r>
      <w:hyperlink r:id="rId15" w:tgtFrame="_blank" w:tooltip="https://bit.ly/pausepouncebounce" w:history="1">
        <w:r w:rsidR="00CF1665">
          <w:rPr>
            <w:rStyle w:val="Hyperlink"/>
          </w:rPr>
          <w:t>bit.ly/</w:t>
        </w:r>
        <w:proofErr w:type="spellStart"/>
        <w:r w:rsidR="00CF1665">
          <w:rPr>
            <w:rStyle w:val="Hyperlink"/>
          </w:rPr>
          <w:t>pausepouncebounce</w:t>
        </w:r>
        <w:proofErr w:type="spellEnd"/>
      </w:hyperlink>
      <w:r w:rsidR="00CF1665">
        <w:t>)</w:t>
      </w:r>
      <w:r>
        <w:t>to have students provide and justify the solutions they have managed to produce to complete their table.</w:t>
      </w:r>
    </w:p>
    <w:p w14:paraId="315670BD" w14:textId="7D6ADC08" w:rsidR="00A51D10" w:rsidRDefault="00A51D10" w:rsidP="00A51D10">
      <w:pPr>
        <w:pStyle w:val="Heading3"/>
      </w:pPr>
      <w:r>
        <w:t>Summarise</w:t>
      </w:r>
    </w:p>
    <w:p w14:paraId="3D98D1B1" w14:textId="44F96D3E" w:rsidR="0032307C" w:rsidRPr="0032307C" w:rsidRDefault="0032307C" w:rsidP="0032307C">
      <w:pPr>
        <w:pStyle w:val="FeatureBox"/>
      </w:pPr>
      <w:r>
        <w:t xml:space="preserve">The experiment below can be completed using the </w:t>
      </w:r>
      <w:r w:rsidR="00007992">
        <w:t xml:space="preserve">Desmos </w:t>
      </w:r>
      <w:r w:rsidR="00CC0243">
        <w:t xml:space="preserve">classroom </w:t>
      </w:r>
      <w:r w:rsidR="00007992">
        <w:t xml:space="preserve">activity </w:t>
      </w:r>
      <w:r w:rsidR="002E052C" w:rsidRPr="00C20AC1">
        <w:t>‘</w:t>
      </w:r>
      <w:r w:rsidR="00DE64ED" w:rsidRPr="00C20AC1">
        <w:t xml:space="preserve">Fractions, </w:t>
      </w:r>
      <w:proofErr w:type="gramStart"/>
      <w:r w:rsidR="00DE64ED" w:rsidRPr="00C20AC1">
        <w:t>decimals</w:t>
      </w:r>
      <w:proofErr w:type="gramEnd"/>
      <w:r w:rsidR="00DE64ED" w:rsidRPr="00C20AC1">
        <w:t xml:space="preserve"> and percentages</w:t>
      </w:r>
      <w:r w:rsidR="002E052C" w:rsidRPr="00C20AC1">
        <w:t>’</w:t>
      </w:r>
      <w:r w:rsidR="00DE64ED">
        <w:t xml:space="preserve"> </w:t>
      </w:r>
      <w:r w:rsidR="00007992">
        <w:t>(</w:t>
      </w:r>
      <w:hyperlink r:id="rId16" w:history="1">
        <w:r w:rsidR="00007992">
          <w:rPr>
            <w:rStyle w:val="Hyperlink"/>
          </w:rPr>
          <w:t>bit.ly/</w:t>
        </w:r>
        <w:proofErr w:type="spellStart"/>
        <w:r w:rsidR="00007992">
          <w:rPr>
            <w:rStyle w:val="Hyperlink"/>
          </w:rPr>
          <w:t>FDPDesmosActivity</w:t>
        </w:r>
        <w:proofErr w:type="spellEnd"/>
      </w:hyperlink>
      <w:r w:rsidR="00007992">
        <w:t xml:space="preserve">). </w:t>
      </w:r>
    </w:p>
    <w:p w14:paraId="43A8644E" w14:textId="082409CF" w:rsidR="004341AC" w:rsidRDefault="004341AC" w:rsidP="004341AC">
      <w:pPr>
        <w:pStyle w:val="Heading4"/>
      </w:pPr>
      <w:r>
        <w:t>Equipment</w:t>
      </w:r>
    </w:p>
    <w:p w14:paraId="2E681A97" w14:textId="7BB428A6" w:rsidR="004341AC" w:rsidRPr="00B576AD" w:rsidRDefault="00B043BA" w:rsidP="004341AC">
      <w:pPr>
        <w:pStyle w:val="ListBullet"/>
      </w:pPr>
      <w:r>
        <w:t>Class set of cards from Appendix B</w:t>
      </w:r>
      <w:r w:rsidR="00966FE8" w:rsidRPr="00966FE8">
        <w:rPr>
          <w:i/>
          <w:iCs/>
        </w:rPr>
        <w:t xml:space="preserve"> </w:t>
      </w:r>
      <w:r w:rsidR="00AB7269" w:rsidRPr="00AB7269">
        <w:t>‘</w:t>
      </w:r>
      <w:r w:rsidR="00966FE8" w:rsidRPr="00AB7269">
        <w:t>Fraction, decimal and percentage cards 1</w:t>
      </w:r>
      <w:r w:rsidR="00AB7269" w:rsidRPr="00AB7269">
        <w:t>’</w:t>
      </w:r>
      <w:r w:rsidR="00B576AD">
        <w:rPr>
          <w:i/>
          <w:iCs/>
        </w:rPr>
        <w:t>.</w:t>
      </w:r>
    </w:p>
    <w:p w14:paraId="3F205B69" w14:textId="66F0D1AD" w:rsidR="00AE33F9" w:rsidRDefault="00B576AD" w:rsidP="00252C21">
      <w:pPr>
        <w:pStyle w:val="ListBullet"/>
      </w:pPr>
      <w:r>
        <w:t>Sticky tape</w:t>
      </w:r>
      <w:r w:rsidR="00527D44">
        <w:t xml:space="preserve"> or adhesive putty</w:t>
      </w:r>
      <w:r w:rsidR="00182525">
        <w:t>.</w:t>
      </w:r>
    </w:p>
    <w:p w14:paraId="1A52EC40" w14:textId="711FCB48" w:rsidR="00252C21" w:rsidRDefault="00252C21" w:rsidP="00252C21">
      <w:pPr>
        <w:pStyle w:val="Heading4"/>
      </w:pPr>
      <w:r>
        <w:t>Method</w:t>
      </w:r>
    </w:p>
    <w:p w14:paraId="3AA19F65" w14:textId="78A6F5F7" w:rsidR="00252C21" w:rsidRDefault="00252C21" w:rsidP="00252C21">
      <w:pPr>
        <w:pStyle w:val="ListNumber"/>
        <w:numPr>
          <w:ilvl w:val="0"/>
          <w:numId w:val="30"/>
        </w:numPr>
      </w:pPr>
      <w:r>
        <w:t xml:space="preserve">Hand pairs of students a card each from Appendix </w:t>
      </w:r>
      <w:r w:rsidR="00527D44">
        <w:t>B</w:t>
      </w:r>
      <w:r>
        <w:t xml:space="preserve">. </w:t>
      </w:r>
    </w:p>
    <w:p w14:paraId="377D2137" w14:textId="3A54BB2A" w:rsidR="00252C21" w:rsidRDefault="00E07CA1" w:rsidP="00252C21">
      <w:pPr>
        <w:pStyle w:val="ListNumber"/>
        <w:numPr>
          <w:ilvl w:val="0"/>
          <w:numId w:val="30"/>
        </w:numPr>
      </w:pPr>
      <w:r>
        <w:t xml:space="preserve">Display the Desmos graph </w:t>
      </w:r>
      <w:r w:rsidR="002E052C" w:rsidRPr="00C20AC1">
        <w:t>‘</w:t>
      </w:r>
      <w:r w:rsidRPr="00C20AC1">
        <w:t>Percentage, decimal and fraction lines</w:t>
      </w:r>
      <w:r w:rsidR="002E052C" w:rsidRPr="00C20AC1">
        <w:t>’</w:t>
      </w:r>
      <w:r w:rsidRPr="00C20AC1">
        <w:t xml:space="preserve"> </w:t>
      </w:r>
      <w:r>
        <w:t>(</w:t>
      </w:r>
      <w:hyperlink r:id="rId17" w:history="1">
        <w:r w:rsidR="0032307C">
          <w:rPr>
            <w:rStyle w:val="Hyperlink"/>
          </w:rPr>
          <w:t>bit.ly/</w:t>
        </w:r>
        <w:proofErr w:type="spellStart"/>
        <w:r w:rsidR="0032307C">
          <w:rPr>
            <w:rStyle w:val="Hyperlink"/>
          </w:rPr>
          <w:t>DesmosPDFLines</w:t>
        </w:r>
        <w:proofErr w:type="spellEnd"/>
      </w:hyperlink>
      <w:r>
        <w:t>)</w:t>
      </w:r>
      <w:r w:rsidR="0032307C">
        <w:t xml:space="preserve"> </w:t>
      </w:r>
      <w:r>
        <w:t xml:space="preserve">on the teacher screen. </w:t>
      </w:r>
    </w:p>
    <w:p w14:paraId="067C5456" w14:textId="10603553" w:rsidR="003F6F7B" w:rsidRDefault="003D4BF1" w:rsidP="003D4BF1">
      <w:pPr>
        <w:pStyle w:val="FeatureBox"/>
      </w:pPr>
      <w:r>
        <w:lastRenderedPageBreak/>
        <w:t xml:space="preserve">The number lines available in the Desmos graph can also be displayed without internet access via the </w:t>
      </w:r>
      <w:r w:rsidRPr="00E951EC">
        <w:rPr>
          <w:i/>
          <w:iCs/>
        </w:rPr>
        <w:t>Fractions and decimals and percentages, oh my!</w:t>
      </w:r>
      <w:r w:rsidR="00E13C10">
        <w:t xml:space="preserve"> PowerPoint slides 29</w:t>
      </w:r>
      <w:r w:rsidR="00FD3ECB">
        <w:t>–</w:t>
      </w:r>
      <w:r w:rsidR="00E13C10">
        <w:t>41.</w:t>
      </w:r>
      <w:r w:rsidR="00A00238">
        <w:t xml:space="preserve"> Alternatively, a number line can be drawn on the whiteboard. </w:t>
      </w:r>
    </w:p>
    <w:p w14:paraId="69349BC2" w14:textId="67D4F69F" w:rsidR="00B768BC" w:rsidRDefault="00B768BC" w:rsidP="002D6EED">
      <w:pPr>
        <w:pStyle w:val="ListNumber"/>
        <w:numPr>
          <w:ilvl w:val="0"/>
          <w:numId w:val="30"/>
        </w:numPr>
      </w:pPr>
      <w:r>
        <w:t>Have students with percentage cards approach the board and place the percentages where they believe they belong along the number line</w:t>
      </w:r>
      <w:r w:rsidR="0031009B">
        <w:t xml:space="preserve"> using sticky tape</w:t>
      </w:r>
      <w:r>
        <w:t xml:space="preserve">. </w:t>
      </w:r>
    </w:p>
    <w:p w14:paraId="12299713" w14:textId="1FA1857F" w:rsidR="00B768BC" w:rsidRDefault="00B768BC" w:rsidP="00252C21">
      <w:pPr>
        <w:pStyle w:val="ListNumber"/>
        <w:numPr>
          <w:ilvl w:val="0"/>
          <w:numId w:val="30"/>
        </w:numPr>
      </w:pPr>
      <w:r>
        <w:t xml:space="preserve">Have all students engage in a short </w:t>
      </w:r>
      <w:r w:rsidR="00D151E8">
        <w:t>Think-Pair-Share (</w:t>
      </w:r>
      <w:hyperlink r:id="rId18">
        <w:r w:rsidR="00D151E8" w:rsidRPr="69AA0A1C">
          <w:rPr>
            <w:rStyle w:val="Hyperlink"/>
          </w:rPr>
          <w:t>bit.ly/</w:t>
        </w:r>
        <w:proofErr w:type="spellStart"/>
        <w:r w:rsidR="00D151E8" w:rsidRPr="69AA0A1C">
          <w:rPr>
            <w:rStyle w:val="Hyperlink"/>
          </w:rPr>
          <w:t>thinkpairsharestrategy</w:t>
        </w:r>
        <w:proofErr w:type="spellEnd"/>
      </w:hyperlink>
      <w:r w:rsidR="00D151E8">
        <w:rPr>
          <w:rStyle w:val="Hyperlink"/>
        </w:rPr>
        <w:t>)</w:t>
      </w:r>
      <w:r>
        <w:t xml:space="preserve"> to </w:t>
      </w:r>
      <w:r w:rsidR="003C53D9">
        <w:t xml:space="preserve">consider whether they would change the position of any of the </w:t>
      </w:r>
      <w:r w:rsidR="006E2A24">
        <w:t xml:space="preserve">4 </w:t>
      </w:r>
      <w:r w:rsidR="003C53D9">
        <w:t xml:space="preserve">percentage cards. </w:t>
      </w:r>
    </w:p>
    <w:p w14:paraId="54977926" w14:textId="1666837E" w:rsidR="002D6EED" w:rsidRDefault="003C53D9" w:rsidP="003C53D9">
      <w:pPr>
        <w:pStyle w:val="FeatureBox"/>
      </w:pPr>
      <w:r>
        <w:t xml:space="preserve">The teacher can slowly reveal more information on the number line, using the reveal switch, as shown below. </w:t>
      </w:r>
      <w:r>
        <w:br/>
      </w:r>
      <w:r w:rsidR="002D6EED" w:rsidRPr="002D6EED">
        <w:rPr>
          <w:b/>
          <w:bCs/>
        </w:rPr>
        <w:t xml:space="preserve">Figure 1 – reveal </w:t>
      </w:r>
      <w:proofErr w:type="gramStart"/>
      <w:r w:rsidR="002D6EED" w:rsidRPr="002D6EED">
        <w:rPr>
          <w:b/>
          <w:bCs/>
        </w:rPr>
        <w:t>switch</w:t>
      </w:r>
      <w:proofErr w:type="gramEnd"/>
    </w:p>
    <w:p w14:paraId="479EA803" w14:textId="3184F428" w:rsidR="003C53D9" w:rsidRDefault="003F6F7B" w:rsidP="003C53D9">
      <w:pPr>
        <w:pStyle w:val="FeatureBox"/>
      </w:pPr>
      <w:r>
        <w:rPr>
          <w:noProof/>
        </w:rPr>
        <w:drawing>
          <wp:inline distT="0" distB="0" distL="0" distR="0" wp14:anchorId="2ECC583E" wp14:editId="694B0BAC">
            <wp:extent cx="1809750" cy="428625"/>
            <wp:effectExtent l="19050" t="19050" r="19050" b="28575"/>
            <wp:docPr id="1" name="Picture 1" descr="An image of a slider in Desmos labelled &quot;Reveal&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slider in Desmos labelled &quot;Reveal&quot;. "/>
                    <pic:cNvPicPr/>
                  </pic:nvPicPr>
                  <pic:blipFill>
                    <a:blip r:embed="rId19"/>
                    <a:stretch>
                      <a:fillRect/>
                    </a:stretch>
                  </pic:blipFill>
                  <pic:spPr>
                    <a:xfrm>
                      <a:off x="0" y="0"/>
                      <a:ext cx="1809750" cy="428625"/>
                    </a:xfrm>
                    <a:prstGeom prst="rect">
                      <a:avLst/>
                    </a:prstGeom>
                    <a:ln>
                      <a:solidFill>
                        <a:schemeClr val="tx1"/>
                      </a:solidFill>
                    </a:ln>
                  </pic:spPr>
                </pic:pic>
              </a:graphicData>
            </a:graphic>
          </wp:inline>
        </w:drawing>
      </w:r>
    </w:p>
    <w:p w14:paraId="5758EB2A" w14:textId="77777777" w:rsidR="002D6EED" w:rsidRDefault="00A90137" w:rsidP="00C937B1">
      <w:pPr>
        <w:pStyle w:val="ListNumber"/>
        <w:numPr>
          <w:ilvl w:val="0"/>
          <w:numId w:val="30"/>
        </w:numPr>
      </w:pPr>
      <w:r>
        <w:t>Move the s</w:t>
      </w:r>
      <w:r w:rsidR="00AB472C">
        <w:t>lider</w:t>
      </w:r>
      <w:r>
        <w:t xml:space="preserve"> at the top of the screen to show a </w:t>
      </w:r>
      <w:r w:rsidR="00F330C6">
        <w:t xml:space="preserve">new number line and have students with decimal number cards </w:t>
      </w:r>
      <w:r w:rsidR="0031009B">
        <w:t xml:space="preserve">place them where they belong along the number line with sticky tape. </w:t>
      </w:r>
    </w:p>
    <w:p w14:paraId="00403284" w14:textId="093D926A" w:rsidR="002D6EED" w:rsidRDefault="002D6EED" w:rsidP="002D6EED">
      <w:pPr>
        <w:pStyle w:val="Caption"/>
      </w:pPr>
      <w:r>
        <w:t>Figure 2 – decimal line</w:t>
      </w:r>
    </w:p>
    <w:p w14:paraId="3AD8B120" w14:textId="20850DD2" w:rsidR="006C09A7" w:rsidRDefault="00FC7337" w:rsidP="002D6EED">
      <w:pPr>
        <w:pStyle w:val="ListNumber"/>
        <w:numPr>
          <w:ilvl w:val="0"/>
          <w:numId w:val="0"/>
        </w:numPr>
        <w:ind w:left="567"/>
      </w:pPr>
      <w:r>
        <w:rPr>
          <w:noProof/>
        </w:rPr>
        <w:drawing>
          <wp:inline distT="0" distB="0" distL="0" distR="0" wp14:anchorId="1F9E5000" wp14:editId="778E7EC7">
            <wp:extent cx="1819275" cy="638175"/>
            <wp:effectExtent l="19050" t="19050" r="28575" b="28575"/>
            <wp:docPr id="2" name="Picture 2" descr="An image of a slider in Desmos labelled &quot;Decimal lin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slider in Desmos labelled &quot;Decimal line&quot;, "/>
                    <pic:cNvPicPr/>
                  </pic:nvPicPr>
                  <pic:blipFill>
                    <a:blip r:embed="rId20"/>
                    <a:stretch>
                      <a:fillRect/>
                    </a:stretch>
                  </pic:blipFill>
                  <pic:spPr>
                    <a:xfrm>
                      <a:off x="0" y="0"/>
                      <a:ext cx="1819275" cy="638175"/>
                    </a:xfrm>
                    <a:prstGeom prst="rect">
                      <a:avLst/>
                    </a:prstGeom>
                    <a:ln>
                      <a:solidFill>
                        <a:schemeClr val="tx1"/>
                      </a:solidFill>
                    </a:ln>
                  </pic:spPr>
                </pic:pic>
              </a:graphicData>
            </a:graphic>
          </wp:inline>
        </w:drawing>
      </w:r>
    </w:p>
    <w:p w14:paraId="5F886D24" w14:textId="53BA61FA" w:rsidR="0031009B" w:rsidRDefault="00A5277F" w:rsidP="00A90137">
      <w:pPr>
        <w:pStyle w:val="ListNumber"/>
        <w:numPr>
          <w:ilvl w:val="0"/>
          <w:numId w:val="30"/>
        </w:numPr>
      </w:pPr>
      <w:r>
        <w:t xml:space="preserve">Have students again engage in a </w:t>
      </w:r>
      <w:r w:rsidR="00D151E8">
        <w:t>Think-Pair-Share (</w:t>
      </w:r>
      <w:hyperlink r:id="rId21">
        <w:r w:rsidR="00D151E8" w:rsidRPr="69AA0A1C">
          <w:rPr>
            <w:rStyle w:val="Hyperlink"/>
          </w:rPr>
          <w:t>bit.ly/</w:t>
        </w:r>
        <w:proofErr w:type="spellStart"/>
        <w:r w:rsidR="00D151E8" w:rsidRPr="69AA0A1C">
          <w:rPr>
            <w:rStyle w:val="Hyperlink"/>
          </w:rPr>
          <w:t>thinkpairsharestrategy</w:t>
        </w:r>
        <w:proofErr w:type="spellEnd"/>
      </w:hyperlink>
      <w:r w:rsidR="00D151E8">
        <w:rPr>
          <w:rStyle w:val="Hyperlink"/>
        </w:rPr>
        <w:t>)</w:t>
      </w:r>
      <w:r>
        <w:t xml:space="preserve"> about </w:t>
      </w:r>
      <w:r w:rsidR="00C909B3">
        <w:t xml:space="preserve">which cards they agree with the location and which they would move. Use the reveal switch again to show more information about the decimal number line. </w:t>
      </w:r>
    </w:p>
    <w:p w14:paraId="2B8C38BD" w14:textId="5015400E" w:rsidR="00C909B3" w:rsidRDefault="00C909B3" w:rsidP="00A90137">
      <w:pPr>
        <w:pStyle w:val="ListNumber"/>
        <w:numPr>
          <w:ilvl w:val="0"/>
          <w:numId w:val="30"/>
        </w:numPr>
      </w:pPr>
      <w:r>
        <w:t xml:space="preserve">Finally </w:t>
      </w:r>
      <w:r w:rsidR="00AB472C">
        <w:t xml:space="preserve">move the slider to show the fraction number line and have students with fraction cards approach the board and place these cards where they believe they go. </w:t>
      </w:r>
    </w:p>
    <w:p w14:paraId="7AEC2393" w14:textId="3BE30DB3" w:rsidR="00AB472C" w:rsidRDefault="00AD5503" w:rsidP="00A90137">
      <w:pPr>
        <w:pStyle w:val="ListNumber"/>
        <w:numPr>
          <w:ilvl w:val="0"/>
          <w:numId w:val="30"/>
        </w:numPr>
      </w:pPr>
      <w:r>
        <w:t xml:space="preserve">Students again discuss what they believe is correct and what they would move. </w:t>
      </w:r>
    </w:p>
    <w:p w14:paraId="35AFFF4E" w14:textId="3F4BC4AE" w:rsidR="00AD5503" w:rsidRDefault="00C31D69" w:rsidP="00A90137">
      <w:pPr>
        <w:pStyle w:val="ListNumber"/>
        <w:numPr>
          <w:ilvl w:val="0"/>
          <w:numId w:val="30"/>
        </w:numPr>
      </w:pPr>
      <w:r>
        <w:t xml:space="preserve">Move the slider to show all </w:t>
      </w:r>
      <w:r w:rsidR="006E2A24">
        <w:t xml:space="preserve">3 </w:t>
      </w:r>
      <w:r>
        <w:t xml:space="preserve">number lines and have students </w:t>
      </w:r>
      <w:r w:rsidR="00966FE8">
        <w:t xml:space="preserve">individually write one number they would move and why. </w:t>
      </w:r>
    </w:p>
    <w:p w14:paraId="3CA3114B" w14:textId="16203572" w:rsidR="00966FE8" w:rsidRDefault="00966FE8" w:rsidP="00A90137">
      <w:pPr>
        <w:pStyle w:val="ListNumber"/>
        <w:numPr>
          <w:ilvl w:val="0"/>
          <w:numId w:val="30"/>
        </w:numPr>
      </w:pPr>
      <w:r>
        <w:lastRenderedPageBreak/>
        <w:t xml:space="preserve">If space permits, hand pairs of </w:t>
      </w:r>
      <w:proofErr w:type="gramStart"/>
      <w:r>
        <w:t>students</w:t>
      </w:r>
      <w:proofErr w:type="gramEnd"/>
      <w:r>
        <w:t xml:space="preserve"> number cards from Appendix C </w:t>
      </w:r>
      <w:r w:rsidR="003674B8">
        <w:t>‘</w:t>
      </w:r>
      <w:r w:rsidRPr="003674B8">
        <w:t>Fraction, decimal and percentage cards 2</w:t>
      </w:r>
      <w:r w:rsidR="003674B8">
        <w:t>’</w:t>
      </w:r>
      <w:r>
        <w:t xml:space="preserve"> and have them place them on the wall with sticky tape either side of the board, extending the number line. </w:t>
      </w:r>
    </w:p>
    <w:p w14:paraId="0718AF95" w14:textId="77777777" w:rsidR="009F7F2E" w:rsidRDefault="009F7F2E" w:rsidP="009F7F2E">
      <w:pPr>
        <w:pStyle w:val="Heading3"/>
      </w:pPr>
      <w:r>
        <w:t>Apply</w:t>
      </w:r>
    </w:p>
    <w:p w14:paraId="795D39C7" w14:textId="03057DF3" w:rsidR="00F65F6E" w:rsidRPr="00F65F6E" w:rsidRDefault="009F7F2E" w:rsidP="00DE40B1">
      <w:pPr>
        <w:pStyle w:val="ListNumber"/>
        <w:numPr>
          <w:ilvl w:val="0"/>
          <w:numId w:val="11"/>
        </w:numPr>
        <w:rPr>
          <w:rStyle w:val="Hyperlink"/>
          <w:color w:val="auto"/>
          <w:u w:val="none"/>
        </w:rPr>
      </w:pPr>
      <w:r>
        <w:t xml:space="preserve">Have the students play </w:t>
      </w:r>
      <w:r w:rsidR="00F65F6E">
        <w:t xml:space="preserve">through the </w:t>
      </w:r>
      <w:r>
        <w:t>game</w:t>
      </w:r>
      <w:r w:rsidR="00F65F6E">
        <w:t>s</w:t>
      </w:r>
      <w:r>
        <w:t xml:space="preserve"> of matching pairs from the NRICH activity </w:t>
      </w:r>
      <w:hyperlink r:id="rId22" w:history="1">
        <w:r>
          <w:rPr>
            <w:rStyle w:val="Hyperlink"/>
          </w:rPr>
          <w:t>https://nrich.maths.org/1249</w:t>
        </w:r>
      </w:hyperlink>
      <w:r w:rsidR="00F65F6E">
        <w:rPr>
          <w:rStyle w:val="Hyperlink"/>
        </w:rPr>
        <w:t>.</w:t>
      </w:r>
    </w:p>
    <w:p w14:paraId="55943DC8" w14:textId="750ACCB6" w:rsidR="009F7F2E" w:rsidRDefault="00F65F6E" w:rsidP="00753C53">
      <w:pPr>
        <w:pStyle w:val="FeatureBox"/>
      </w:pPr>
      <w:r>
        <w:t xml:space="preserve">This site has the option to play using a digital </w:t>
      </w:r>
      <w:r w:rsidR="00753C53">
        <w:t>interface or by printing out cards for students to use. Each level has an increasing level of complexity and provides opportunities for differentiation to better meet the needs of your students.</w:t>
      </w:r>
    </w:p>
    <w:p w14:paraId="2205C094" w14:textId="77777777" w:rsidR="00D84542" w:rsidRDefault="00D84542">
      <w:pPr>
        <w:spacing w:line="276" w:lineRule="auto"/>
        <w:rPr>
          <w:rFonts w:eastAsiaTheme="majorEastAsia"/>
          <w:b/>
          <w:bCs/>
          <w:color w:val="002664"/>
          <w:sz w:val="48"/>
          <w:szCs w:val="48"/>
        </w:rPr>
      </w:pPr>
      <w:r>
        <w:br w:type="page"/>
      </w:r>
    </w:p>
    <w:p w14:paraId="140858F5" w14:textId="7E69EF5D" w:rsidR="00D042D0" w:rsidRPr="002206A9" w:rsidRDefault="00D042D0" w:rsidP="00DA237B">
      <w:pPr>
        <w:pStyle w:val="Heading2"/>
        <w:rPr>
          <w:highlight w:val="yellow"/>
        </w:rPr>
      </w:pPr>
      <w:r>
        <w:lastRenderedPageBreak/>
        <w:t xml:space="preserve">Assessment and </w:t>
      </w:r>
      <w:r w:rsidR="00E951EC">
        <w:t>d</w:t>
      </w:r>
      <w:r>
        <w:t>ifferentiation</w:t>
      </w:r>
    </w:p>
    <w:p w14:paraId="4DB505EA" w14:textId="2479CF4E" w:rsidR="008F0F10" w:rsidRPr="00DD0300" w:rsidRDefault="008F0F10" w:rsidP="00DD0300">
      <w:pPr>
        <w:pStyle w:val="Heading3"/>
      </w:pPr>
      <w:r w:rsidRPr="00DD0300">
        <w:t>Suggest</w:t>
      </w:r>
      <w:r w:rsidR="0058079F" w:rsidRPr="00DD0300">
        <w:t xml:space="preserve">ed opportunities for </w:t>
      </w:r>
      <w:proofErr w:type="gramStart"/>
      <w:r w:rsidR="0058079F" w:rsidRPr="00DD0300">
        <w:t>differentiation</w:t>
      </w:r>
      <w:proofErr w:type="gramEnd"/>
    </w:p>
    <w:p w14:paraId="328503CF" w14:textId="4EEBCA01" w:rsidR="00626D96" w:rsidRPr="00146EBE" w:rsidRDefault="00626D96" w:rsidP="00C251BE">
      <w:pPr>
        <w:rPr>
          <w:rStyle w:val="Strong"/>
        </w:rPr>
      </w:pPr>
      <w:r>
        <w:rPr>
          <w:rStyle w:val="Strong"/>
        </w:rPr>
        <w:t>Explore</w:t>
      </w:r>
    </w:p>
    <w:p w14:paraId="63F3C541" w14:textId="6CDA4562" w:rsidR="00D734DD" w:rsidRPr="00D734DD" w:rsidRDefault="00D734DD" w:rsidP="00C251BE">
      <w:pPr>
        <w:pStyle w:val="ListBullet"/>
      </w:pPr>
      <w:r>
        <w:t xml:space="preserve">By working in groups and pairs, students </w:t>
      </w:r>
      <w:proofErr w:type="gramStart"/>
      <w:r>
        <w:t>have the opportunity to</w:t>
      </w:r>
      <w:proofErr w:type="gramEnd"/>
      <w:r>
        <w:t xml:space="preserve"> learn facts and strategies from their peers as they work to complete the table in Appendix A. </w:t>
      </w:r>
    </w:p>
    <w:p w14:paraId="6A8F79C2" w14:textId="6888A712" w:rsidR="005E23FA" w:rsidRDefault="00D734DD" w:rsidP="00C251BE">
      <w:pPr>
        <w:pStyle w:val="ListBullet"/>
      </w:pPr>
      <w:r w:rsidRPr="00D734DD">
        <w:t xml:space="preserve">Challenge students </w:t>
      </w:r>
      <w:r>
        <w:t xml:space="preserve">to use the </w:t>
      </w:r>
      <w:r w:rsidR="00EA0B68">
        <w:t xml:space="preserve">percentage and decimal representations of the unit fractions in Appendix A to construct a number line with any fraction represented in all </w:t>
      </w:r>
      <w:r w:rsidR="006E2A24">
        <w:t xml:space="preserve">3 </w:t>
      </w:r>
      <w:r w:rsidR="00EA0B68">
        <w:t>forms.</w:t>
      </w:r>
    </w:p>
    <w:p w14:paraId="0762E37F" w14:textId="5063DCB4" w:rsidR="00576E6A" w:rsidRPr="00D734DD" w:rsidRDefault="00576E6A" w:rsidP="00C251BE">
      <w:pPr>
        <w:pStyle w:val="ListBullet"/>
      </w:pPr>
      <w:r>
        <w:t xml:space="preserve">Students who are not comfortable </w:t>
      </w:r>
      <w:r w:rsidR="00EA1EA2">
        <w:t>with basic number operations should be encouraged to convert smaller numbers that can be represented with physical or virtual models.</w:t>
      </w:r>
    </w:p>
    <w:p w14:paraId="30D74B49" w14:textId="7B3CE7A4" w:rsidR="00626D96" w:rsidRPr="00146EBE" w:rsidRDefault="00626D96" w:rsidP="00C251BE">
      <w:pPr>
        <w:rPr>
          <w:rStyle w:val="Strong"/>
        </w:rPr>
      </w:pPr>
      <w:r>
        <w:rPr>
          <w:rStyle w:val="Strong"/>
        </w:rPr>
        <w:t>Summarise</w:t>
      </w:r>
    </w:p>
    <w:p w14:paraId="538188EC" w14:textId="11584607" w:rsidR="00BB13ED" w:rsidRDefault="00C93AB4" w:rsidP="00C251BE">
      <w:pPr>
        <w:pStyle w:val="ListBullet"/>
      </w:pPr>
      <w:r w:rsidRPr="00C93AB4">
        <w:t xml:space="preserve">Students exhibiting less confidence </w:t>
      </w:r>
      <w:r>
        <w:t>placing fractions, decimals or percentages</w:t>
      </w:r>
      <w:r w:rsidR="00233A08">
        <w:t xml:space="preserve"> along</w:t>
      </w:r>
      <w:r>
        <w:t xml:space="preserve"> number lines can </w:t>
      </w:r>
      <w:r w:rsidR="00AF4361">
        <w:t xml:space="preserve">be given the opportunity to wait until partitions are shown on the number line before placing any numbers. Alternatively, students could be asked to reflect </w:t>
      </w:r>
      <w:r w:rsidR="00A00238">
        <w:t xml:space="preserve">on already placed numbers rather than placing the numbers on themselves. </w:t>
      </w:r>
    </w:p>
    <w:p w14:paraId="132EA754" w14:textId="14543BCB" w:rsidR="00436A6B" w:rsidRPr="00C93AB4" w:rsidRDefault="00436A6B" w:rsidP="00C251BE">
      <w:pPr>
        <w:pStyle w:val="ListBullet"/>
      </w:pPr>
      <w:r>
        <w:t xml:space="preserve">Challenge students to use reference points from all </w:t>
      </w:r>
      <w:r w:rsidR="006E2A24">
        <w:t xml:space="preserve">3 </w:t>
      </w:r>
      <w:r>
        <w:t xml:space="preserve">lines when justifying moving a number. </w:t>
      </w:r>
    </w:p>
    <w:p w14:paraId="780665DF" w14:textId="03FE72AA" w:rsidR="00626D96" w:rsidRPr="00146EBE" w:rsidRDefault="00626D96" w:rsidP="00C251BE">
      <w:pPr>
        <w:rPr>
          <w:rStyle w:val="Strong"/>
        </w:rPr>
      </w:pPr>
      <w:r>
        <w:rPr>
          <w:rStyle w:val="Strong"/>
        </w:rPr>
        <w:t>Apply</w:t>
      </w:r>
    </w:p>
    <w:p w14:paraId="64B9789F" w14:textId="5EC13D34" w:rsidR="005A3373" w:rsidRDefault="00606F8E" w:rsidP="00C251BE">
      <w:pPr>
        <w:pStyle w:val="ListBullet"/>
      </w:pPr>
      <w:bookmarkStart w:id="0" w:name="_Appendix_A"/>
      <w:bookmarkEnd w:id="0"/>
      <w:r>
        <w:t xml:space="preserve">The NRICH activity </w:t>
      </w:r>
      <w:r w:rsidR="002364A1">
        <w:t xml:space="preserve">allows teachers to select between multiple levels of difficulty, depending on the needs of their students. </w:t>
      </w:r>
    </w:p>
    <w:p w14:paraId="70F9B535" w14:textId="026D9444" w:rsidR="0058079F" w:rsidRPr="00DD0300" w:rsidRDefault="0058079F" w:rsidP="00DD0300">
      <w:pPr>
        <w:pStyle w:val="Heading3"/>
      </w:pPr>
      <w:r w:rsidRPr="00DD0300">
        <w:t xml:space="preserve">Suggested opportunities for </w:t>
      </w:r>
      <w:proofErr w:type="gramStart"/>
      <w:r w:rsidRPr="00DD0300">
        <w:t>assessment</w:t>
      </w:r>
      <w:proofErr w:type="gramEnd"/>
    </w:p>
    <w:p w14:paraId="024DACA5" w14:textId="7A64E60B" w:rsidR="00626D96" w:rsidRPr="00146EBE" w:rsidRDefault="00626D96" w:rsidP="00C251BE">
      <w:pPr>
        <w:rPr>
          <w:rStyle w:val="Strong"/>
        </w:rPr>
      </w:pPr>
      <w:r>
        <w:rPr>
          <w:rStyle w:val="Strong"/>
        </w:rPr>
        <w:t>Explore</w:t>
      </w:r>
    </w:p>
    <w:p w14:paraId="2132A279" w14:textId="3713BC5C" w:rsidR="005E23FA" w:rsidRPr="005E23FA" w:rsidRDefault="009267B5" w:rsidP="00C251BE">
      <w:pPr>
        <w:pStyle w:val="ListBullet"/>
      </w:pPr>
      <w:r>
        <w:t xml:space="preserve">Teachers should allow students to complete as much of </w:t>
      </w:r>
      <w:r w:rsidR="00F01763">
        <w:t xml:space="preserve">the table in Appendix A as possible without assistance to gather information about what methods students are already fluent in. </w:t>
      </w:r>
    </w:p>
    <w:p w14:paraId="40EA9436" w14:textId="07E41EED" w:rsidR="00626D96" w:rsidRPr="00146EBE" w:rsidRDefault="00626D96" w:rsidP="00C251BE">
      <w:pPr>
        <w:rPr>
          <w:rStyle w:val="Strong"/>
        </w:rPr>
      </w:pPr>
      <w:r>
        <w:rPr>
          <w:rStyle w:val="Strong"/>
        </w:rPr>
        <w:lastRenderedPageBreak/>
        <w:t>Summarise</w:t>
      </w:r>
    </w:p>
    <w:p w14:paraId="1DCA55DF" w14:textId="4110D1C0" w:rsidR="005E23FA" w:rsidRDefault="005E23FA" w:rsidP="00C251BE">
      <w:pPr>
        <w:pStyle w:val="ListBullet"/>
      </w:pPr>
      <w:r>
        <w:t>The Desmos activity</w:t>
      </w:r>
      <w:r w:rsidR="00A2521B">
        <w:t xml:space="preserve"> </w:t>
      </w:r>
      <w:r w:rsidR="00C20AC1">
        <w:t>‘</w:t>
      </w:r>
      <w:r w:rsidR="00A2521B" w:rsidRPr="00C20AC1">
        <w:t>Fractions, decimals and percentages</w:t>
      </w:r>
      <w:r w:rsidR="00C20AC1">
        <w:t xml:space="preserve">’ </w:t>
      </w:r>
      <w:r>
        <w:t xml:space="preserve">collects student responses and reflections about </w:t>
      </w:r>
      <w:r w:rsidR="005A3373">
        <w:t xml:space="preserve">placing fractions, decimals and percentages on number lines and comparing across the </w:t>
      </w:r>
      <w:r w:rsidR="006E2A24">
        <w:t xml:space="preserve">3 </w:t>
      </w:r>
      <w:r w:rsidR="005A3373">
        <w:t xml:space="preserve">forms. </w:t>
      </w:r>
    </w:p>
    <w:p w14:paraId="69AEC648" w14:textId="5C327220" w:rsidR="0058079F" w:rsidRPr="005A3373" w:rsidRDefault="00377B36" w:rsidP="00C251BE">
      <w:pPr>
        <w:pStyle w:val="ListBullet"/>
      </w:pPr>
      <w:r>
        <w:t xml:space="preserve">Students should submit written reflections, including reasoning behind why they would make a </w:t>
      </w:r>
      <w:r w:rsidR="00BB13ED">
        <w:t xml:space="preserve">possible movement of a fraction, decimal or percentage on the number lines. Comparisons between values should be a key reason used. </w:t>
      </w:r>
    </w:p>
    <w:p w14:paraId="094B7399" w14:textId="77777777" w:rsidR="000138CC" w:rsidRDefault="000138CC">
      <w:pPr>
        <w:spacing w:line="276" w:lineRule="auto"/>
        <w:rPr>
          <w:rStyle w:val="Heading2Char"/>
        </w:rPr>
      </w:pPr>
      <w:r>
        <w:rPr>
          <w:rStyle w:val="Heading2Char"/>
          <w:b w:val="0"/>
          <w:bCs w:val="0"/>
        </w:rPr>
        <w:br w:type="page"/>
      </w:r>
    </w:p>
    <w:p w14:paraId="5D604F03" w14:textId="165656C5" w:rsidR="00DA237B" w:rsidRDefault="009F3735" w:rsidP="00AE424C">
      <w:pPr>
        <w:pStyle w:val="Heading2"/>
        <w:rPr>
          <w:rStyle w:val="Heading2Char"/>
          <w:b/>
          <w:bCs/>
        </w:rPr>
      </w:pPr>
      <w:r>
        <w:rPr>
          <w:rStyle w:val="Heading2Char"/>
          <w:b/>
          <w:bCs/>
        </w:rPr>
        <w:lastRenderedPageBreak/>
        <w:t>Appendix A</w:t>
      </w:r>
    </w:p>
    <w:p w14:paraId="63E1DC7A" w14:textId="36FAC2F2" w:rsidR="00F06597" w:rsidRPr="00F06597" w:rsidRDefault="009939EF" w:rsidP="00F06597">
      <w:pPr>
        <w:pStyle w:val="Heading3"/>
      </w:pPr>
      <w:r>
        <w:t>Equivalent Values Table</w:t>
      </w:r>
    </w:p>
    <w:tbl>
      <w:tblPr>
        <w:tblStyle w:val="Tableheader"/>
        <w:tblW w:w="0" w:type="auto"/>
        <w:tblLook w:val="04A0" w:firstRow="1" w:lastRow="0" w:firstColumn="1" w:lastColumn="0" w:noHBand="0" w:noVBand="1"/>
        <w:tblDescription w:val="An incomplete Equivalent Values Table with fractions, percentages and decimals."/>
      </w:tblPr>
      <w:tblGrid>
        <w:gridCol w:w="3207"/>
        <w:gridCol w:w="3207"/>
        <w:gridCol w:w="3208"/>
      </w:tblGrid>
      <w:tr w:rsidR="00734D80" w14:paraId="5499F336" w14:textId="77777777" w:rsidTr="00D62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3E44B034" w14:textId="4510434C" w:rsidR="00734D80" w:rsidRDefault="00734D80" w:rsidP="00D62341">
            <w:pPr>
              <w:jc w:val="center"/>
            </w:pPr>
            <w:r>
              <w:t>Fraction</w:t>
            </w:r>
          </w:p>
        </w:tc>
        <w:tc>
          <w:tcPr>
            <w:tcW w:w="3207" w:type="dxa"/>
            <w:vAlign w:val="center"/>
          </w:tcPr>
          <w:p w14:paraId="6C287E8C" w14:textId="188B8E7D" w:rsidR="00734D80" w:rsidRDefault="00734D80" w:rsidP="00D62341">
            <w:pPr>
              <w:jc w:val="center"/>
              <w:cnfStyle w:val="100000000000" w:firstRow="1" w:lastRow="0" w:firstColumn="0" w:lastColumn="0" w:oddVBand="0" w:evenVBand="0" w:oddHBand="0" w:evenHBand="0" w:firstRowFirstColumn="0" w:firstRowLastColumn="0" w:lastRowFirstColumn="0" w:lastRowLastColumn="0"/>
            </w:pPr>
            <w:r>
              <w:t>Percentage</w:t>
            </w:r>
          </w:p>
        </w:tc>
        <w:tc>
          <w:tcPr>
            <w:tcW w:w="3208" w:type="dxa"/>
            <w:vAlign w:val="center"/>
          </w:tcPr>
          <w:p w14:paraId="688BC1E2" w14:textId="43993EC2" w:rsidR="00734D80" w:rsidRDefault="00734D80" w:rsidP="00D62341">
            <w:pPr>
              <w:jc w:val="center"/>
              <w:cnfStyle w:val="100000000000" w:firstRow="1" w:lastRow="0" w:firstColumn="0" w:lastColumn="0" w:oddVBand="0" w:evenVBand="0" w:oddHBand="0" w:evenHBand="0" w:firstRowFirstColumn="0" w:firstRowLastColumn="0" w:lastRowFirstColumn="0" w:lastRowLastColumn="0"/>
            </w:pPr>
            <w:r>
              <w:t>Decimal</w:t>
            </w:r>
          </w:p>
        </w:tc>
      </w:tr>
      <w:tr w:rsidR="00734D80" w14:paraId="3B0BFF87" w14:textId="77777777" w:rsidTr="00D62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31143EFA" w14:textId="701490B2"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1</m:t>
                  </m:r>
                </m:den>
              </m:f>
            </m:oMath>
            <w:r w:rsidR="00E157A7">
              <w:rPr>
                <w:rFonts w:eastAsiaTheme="minorEastAsia"/>
                <w:b w:val="0"/>
              </w:rPr>
              <w:t xml:space="preserve"> </w:t>
            </w:r>
          </w:p>
        </w:tc>
        <w:tc>
          <w:tcPr>
            <w:tcW w:w="3207" w:type="dxa"/>
            <w:vAlign w:val="center"/>
          </w:tcPr>
          <w:p w14:paraId="70C0C6EC" w14:textId="0960CF59" w:rsidR="00734D80" w:rsidRDefault="00D62341" w:rsidP="00D62341">
            <w:pPr>
              <w:jc w:val="center"/>
              <w:cnfStyle w:val="000000100000" w:firstRow="0" w:lastRow="0" w:firstColumn="0" w:lastColumn="0" w:oddVBand="0" w:evenVBand="0" w:oddHBand="1" w:evenHBand="0" w:firstRowFirstColumn="0" w:firstRowLastColumn="0" w:lastRowFirstColumn="0" w:lastRowLastColumn="0"/>
            </w:pPr>
            <w:r>
              <w:t>100%</w:t>
            </w:r>
          </w:p>
        </w:tc>
        <w:tc>
          <w:tcPr>
            <w:tcW w:w="3208" w:type="dxa"/>
            <w:vAlign w:val="center"/>
          </w:tcPr>
          <w:p w14:paraId="2E9C3E3A" w14:textId="26A81CCA" w:rsidR="00734D80" w:rsidRDefault="00D62341" w:rsidP="00D62341">
            <w:pPr>
              <w:jc w:val="center"/>
              <w:cnfStyle w:val="000000100000" w:firstRow="0" w:lastRow="0" w:firstColumn="0" w:lastColumn="0" w:oddVBand="0" w:evenVBand="0" w:oddHBand="1" w:evenHBand="0" w:firstRowFirstColumn="0" w:firstRowLastColumn="0" w:lastRowFirstColumn="0" w:lastRowLastColumn="0"/>
            </w:pPr>
            <w:r>
              <w:t>1</w:t>
            </w:r>
            <w:r w:rsidR="00E157A7">
              <w:t>.0</w:t>
            </w:r>
          </w:p>
        </w:tc>
      </w:tr>
      <w:tr w:rsidR="00734D80" w14:paraId="17D8AE51" w14:textId="77777777" w:rsidTr="00D62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656AA52" w14:textId="6F32099A"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w:r w:rsidR="00E157A7">
              <w:rPr>
                <w:rFonts w:eastAsiaTheme="minorEastAsia"/>
                <w:b w:val="0"/>
              </w:rPr>
              <w:t xml:space="preserve"> </w:t>
            </w:r>
          </w:p>
        </w:tc>
        <w:tc>
          <w:tcPr>
            <w:tcW w:w="3207" w:type="dxa"/>
            <w:vAlign w:val="center"/>
          </w:tcPr>
          <w:p w14:paraId="55D0E22E" w14:textId="243EA7AB" w:rsidR="00734D80" w:rsidRDefault="005C7026" w:rsidP="00D62341">
            <w:pPr>
              <w:jc w:val="center"/>
              <w:cnfStyle w:val="000000010000" w:firstRow="0" w:lastRow="0" w:firstColumn="0" w:lastColumn="0" w:oddVBand="0" w:evenVBand="0" w:oddHBand="0" w:evenHBand="1" w:firstRowFirstColumn="0" w:firstRowLastColumn="0" w:lastRowFirstColumn="0" w:lastRowLastColumn="0"/>
            </w:pPr>
            <w:r>
              <w:t>50%</w:t>
            </w:r>
          </w:p>
        </w:tc>
        <w:tc>
          <w:tcPr>
            <w:tcW w:w="3208" w:type="dxa"/>
            <w:vAlign w:val="center"/>
          </w:tcPr>
          <w:p w14:paraId="4981E91C"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r>
      <w:tr w:rsidR="00734D80" w14:paraId="42B99DBC" w14:textId="77777777" w:rsidTr="00D62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6EA4166A" w14:textId="35AFB05B"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3</m:t>
                  </m:r>
                </m:den>
              </m:f>
            </m:oMath>
            <w:r w:rsidR="00E157A7">
              <w:rPr>
                <w:rFonts w:eastAsiaTheme="minorEastAsia"/>
                <w:b w:val="0"/>
              </w:rPr>
              <w:t xml:space="preserve"> </w:t>
            </w:r>
          </w:p>
        </w:tc>
        <w:tc>
          <w:tcPr>
            <w:tcW w:w="3207" w:type="dxa"/>
            <w:vAlign w:val="center"/>
          </w:tcPr>
          <w:p w14:paraId="27FCDB2B"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c>
          <w:tcPr>
            <w:tcW w:w="3208" w:type="dxa"/>
            <w:vAlign w:val="center"/>
          </w:tcPr>
          <w:p w14:paraId="2A70C170"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r>
      <w:tr w:rsidR="00734D80" w14:paraId="050D9180" w14:textId="77777777" w:rsidTr="00D62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65E50A0A" w14:textId="0A7CCEBE"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w:r w:rsidR="005C7026">
              <w:rPr>
                <w:rFonts w:eastAsiaTheme="minorEastAsia"/>
                <w:b w:val="0"/>
              </w:rPr>
              <w:t xml:space="preserve"> </w:t>
            </w:r>
          </w:p>
        </w:tc>
        <w:tc>
          <w:tcPr>
            <w:tcW w:w="3207" w:type="dxa"/>
            <w:vAlign w:val="center"/>
          </w:tcPr>
          <w:p w14:paraId="1EBF0C2F"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224325CB"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r>
      <w:tr w:rsidR="00734D80" w14:paraId="21C20940" w14:textId="77777777" w:rsidTr="00D62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4938A2D" w14:textId="2A657B02"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5</m:t>
                  </m:r>
                </m:den>
              </m:f>
            </m:oMath>
            <w:r w:rsidR="005C7026">
              <w:rPr>
                <w:rFonts w:eastAsiaTheme="minorEastAsia"/>
                <w:b w:val="0"/>
              </w:rPr>
              <w:t xml:space="preserve"> </w:t>
            </w:r>
          </w:p>
        </w:tc>
        <w:tc>
          <w:tcPr>
            <w:tcW w:w="3207" w:type="dxa"/>
            <w:vAlign w:val="center"/>
          </w:tcPr>
          <w:p w14:paraId="5B28E6C5"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c>
          <w:tcPr>
            <w:tcW w:w="3208" w:type="dxa"/>
            <w:vAlign w:val="center"/>
          </w:tcPr>
          <w:p w14:paraId="4B29E84F"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r>
      <w:tr w:rsidR="00734D80" w14:paraId="470B58A6" w14:textId="77777777" w:rsidTr="00D62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2BE99AF7" w14:textId="57DFA8D6"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6</m:t>
                  </m:r>
                </m:den>
              </m:f>
            </m:oMath>
            <w:r w:rsidR="005C7026">
              <w:rPr>
                <w:rFonts w:eastAsiaTheme="minorEastAsia"/>
                <w:b w:val="0"/>
              </w:rPr>
              <w:t xml:space="preserve"> </w:t>
            </w:r>
          </w:p>
        </w:tc>
        <w:tc>
          <w:tcPr>
            <w:tcW w:w="3207" w:type="dxa"/>
            <w:vAlign w:val="center"/>
          </w:tcPr>
          <w:p w14:paraId="3BEAD0D8"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3A5AC383"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r>
      <w:tr w:rsidR="00734D80" w14:paraId="29A2B021" w14:textId="77777777" w:rsidTr="00D62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1954ACE7" w14:textId="23F2E064"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7</m:t>
                  </m:r>
                </m:den>
              </m:f>
            </m:oMath>
            <w:r w:rsidR="005C7026">
              <w:rPr>
                <w:rFonts w:eastAsiaTheme="minorEastAsia"/>
                <w:b w:val="0"/>
              </w:rPr>
              <w:t xml:space="preserve"> </w:t>
            </w:r>
          </w:p>
        </w:tc>
        <w:tc>
          <w:tcPr>
            <w:tcW w:w="3207" w:type="dxa"/>
            <w:vAlign w:val="center"/>
          </w:tcPr>
          <w:p w14:paraId="6079D02A"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c>
          <w:tcPr>
            <w:tcW w:w="3208" w:type="dxa"/>
            <w:vAlign w:val="center"/>
          </w:tcPr>
          <w:p w14:paraId="3C33C894"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r>
      <w:tr w:rsidR="00734D80" w14:paraId="23F3597B" w14:textId="77777777" w:rsidTr="00D62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3B720DCD" w14:textId="39F29BC0"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8</m:t>
                  </m:r>
                </m:den>
              </m:f>
            </m:oMath>
            <w:r w:rsidR="005C7026">
              <w:rPr>
                <w:rFonts w:eastAsiaTheme="minorEastAsia"/>
                <w:b w:val="0"/>
              </w:rPr>
              <w:t xml:space="preserve"> </w:t>
            </w:r>
          </w:p>
        </w:tc>
        <w:tc>
          <w:tcPr>
            <w:tcW w:w="3207" w:type="dxa"/>
            <w:vAlign w:val="center"/>
          </w:tcPr>
          <w:p w14:paraId="2188428C"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036DBCDF"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r>
      <w:tr w:rsidR="00734D80" w14:paraId="4F6790FC" w14:textId="77777777" w:rsidTr="00D62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9BC8C70" w14:textId="652646CA"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9</m:t>
                  </m:r>
                </m:den>
              </m:f>
            </m:oMath>
            <w:r w:rsidR="005C7026">
              <w:rPr>
                <w:rFonts w:eastAsiaTheme="minorEastAsia"/>
                <w:b w:val="0"/>
              </w:rPr>
              <w:t xml:space="preserve"> </w:t>
            </w:r>
          </w:p>
        </w:tc>
        <w:tc>
          <w:tcPr>
            <w:tcW w:w="3207" w:type="dxa"/>
            <w:vAlign w:val="center"/>
          </w:tcPr>
          <w:p w14:paraId="61648CD6"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c>
          <w:tcPr>
            <w:tcW w:w="3208" w:type="dxa"/>
            <w:vAlign w:val="center"/>
          </w:tcPr>
          <w:p w14:paraId="697BDA03" w14:textId="77777777" w:rsidR="00734D80" w:rsidRDefault="00734D80" w:rsidP="00D62341">
            <w:pPr>
              <w:jc w:val="center"/>
              <w:cnfStyle w:val="000000100000" w:firstRow="0" w:lastRow="0" w:firstColumn="0" w:lastColumn="0" w:oddVBand="0" w:evenVBand="0" w:oddHBand="1" w:evenHBand="0" w:firstRowFirstColumn="0" w:firstRowLastColumn="0" w:lastRowFirstColumn="0" w:lastRowLastColumn="0"/>
            </w:pPr>
          </w:p>
        </w:tc>
      </w:tr>
      <w:tr w:rsidR="00734D80" w14:paraId="7A0F70ED" w14:textId="77777777" w:rsidTr="00D62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33202F7" w14:textId="0D4DFCA2" w:rsidR="00734D80" w:rsidRDefault="00000000" w:rsidP="00D62341">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10</m:t>
                  </m:r>
                </m:den>
              </m:f>
            </m:oMath>
            <w:r w:rsidR="005C7026">
              <w:rPr>
                <w:rFonts w:eastAsiaTheme="minorEastAsia"/>
                <w:b w:val="0"/>
              </w:rPr>
              <w:t xml:space="preserve"> </w:t>
            </w:r>
          </w:p>
        </w:tc>
        <w:tc>
          <w:tcPr>
            <w:tcW w:w="3207" w:type="dxa"/>
            <w:vAlign w:val="center"/>
          </w:tcPr>
          <w:p w14:paraId="40A89B64"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1F5E271E" w14:textId="77777777" w:rsidR="00734D80" w:rsidRDefault="00734D80" w:rsidP="00D62341">
            <w:pPr>
              <w:jc w:val="center"/>
              <w:cnfStyle w:val="000000010000" w:firstRow="0" w:lastRow="0" w:firstColumn="0" w:lastColumn="0" w:oddVBand="0" w:evenVBand="0" w:oddHBand="0" w:evenHBand="1" w:firstRowFirstColumn="0" w:firstRowLastColumn="0" w:lastRowFirstColumn="0" w:lastRowLastColumn="0"/>
            </w:pPr>
          </w:p>
        </w:tc>
      </w:tr>
    </w:tbl>
    <w:p w14:paraId="7B7164D2" w14:textId="77777777" w:rsidR="009A20E7" w:rsidRDefault="009A20E7">
      <w:pPr>
        <w:spacing w:line="276" w:lineRule="auto"/>
        <w:rPr>
          <w:rStyle w:val="Heading2Char"/>
        </w:rPr>
      </w:pPr>
      <w:r>
        <w:rPr>
          <w:rStyle w:val="Heading2Char"/>
          <w:b w:val="0"/>
          <w:bCs w:val="0"/>
        </w:rPr>
        <w:br w:type="page"/>
      </w:r>
    </w:p>
    <w:p w14:paraId="181CA174" w14:textId="75BF9F62" w:rsidR="00F0399F" w:rsidRPr="00F0399F" w:rsidRDefault="00684DC4" w:rsidP="00F0399F">
      <w:pPr>
        <w:pStyle w:val="Heading2"/>
        <w:rPr>
          <w:rStyle w:val="Heading2Char"/>
          <w:b/>
          <w:bCs/>
        </w:rPr>
      </w:pPr>
      <w:r w:rsidRPr="00F0399F">
        <w:rPr>
          <w:rStyle w:val="Heading2Char"/>
          <w:b/>
          <w:bCs/>
        </w:rPr>
        <w:lastRenderedPageBreak/>
        <w:t xml:space="preserve">Appendix </w:t>
      </w:r>
      <w:r w:rsidR="000F0A84">
        <w:rPr>
          <w:rStyle w:val="Heading2Char"/>
          <w:b/>
          <w:bCs/>
        </w:rPr>
        <w:t>B</w:t>
      </w:r>
    </w:p>
    <w:p w14:paraId="46192EE9" w14:textId="6591500D" w:rsidR="00684DC4" w:rsidRPr="00DD0300" w:rsidRDefault="009A20E7" w:rsidP="00DD0300">
      <w:pPr>
        <w:pStyle w:val="Heading3"/>
      </w:pPr>
      <w:r w:rsidRPr="00DD0300">
        <w:t xml:space="preserve">Fraction, decimal and percentage </w:t>
      </w:r>
      <w:r w:rsidR="000338F5" w:rsidRPr="00DD0300">
        <w:t>cards</w:t>
      </w:r>
      <w:r w:rsidR="00090FA3" w:rsidRPr="00DD0300">
        <w:t xml:space="preserve"> 1</w:t>
      </w:r>
    </w:p>
    <w:p w14:paraId="5D5B42A6" w14:textId="71310007" w:rsidR="000C3303" w:rsidRPr="000C3303" w:rsidRDefault="000C3303" w:rsidP="000C3303">
      <w:r>
        <w:rPr>
          <w:noProof/>
        </w:rPr>
        <w:drawing>
          <wp:inline distT="0" distB="0" distL="0" distR="0" wp14:anchorId="7FDAF630" wp14:editId="21E48246">
            <wp:extent cx="5952396" cy="7601447"/>
            <wp:effectExtent l="0" t="0" r="0" b="0"/>
            <wp:docPr id="4" name="Picture 4" descr="An image of a table containing cards with decimals, fractions and percentages. The numbers include 95%, 0.7, one eighth, 0.75, 12.5%, 3 tenths, 26%, one quarter, 0.19, 4 fifths, 0.31 and 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table containing cards with decimals, fractions and percentages. The numbers include 95%, 0.7, one eighth, 0.75, 12.5%, 3 tenths, 26%, one quarter, 0.19, 4 fifths, 0.31 and 79%. "/>
                    <pic:cNvPicPr/>
                  </pic:nvPicPr>
                  <pic:blipFill>
                    <a:blip r:embed="rId23"/>
                    <a:stretch>
                      <a:fillRect/>
                    </a:stretch>
                  </pic:blipFill>
                  <pic:spPr>
                    <a:xfrm>
                      <a:off x="0" y="0"/>
                      <a:ext cx="5969602" cy="7623419"/>
                    </a:xfrm>
                    <a:prstGeom prst="rect">
                      <a:avLst/>
                    </a:prstGeom>
                  </pic:spPr>
                </pic:pic>
              </a:graphicData>
            </a:graphic>
          </wp:inline>
        </w:drawing>
      </w:r>
    </w:p>
    <w:p w14:paraId="041646B1" w14:textId="1C8CA047" w:rsidR="00684DC4" w:rsidRPr="00F0399F" w:rsidRDefault="00684DC4" w:rsidP="00F0399F">
      <w:pPr>
        <w:pStyle w:val="Heading2"/>
        <w:rPr>
          <w:rStyle w:val="Heading2Char"/>
          <w:b/>
          <w:bCs/>
        </w:rPr>
      </w:pPr>
      <w:r w:rsidRPr="00F0399F">
        <w:rPr>
          <w:rStyle w:val="Heading2Char"/>
          <w:b/>
          <w:bCs/>
        </w:rPr>
        <w:lastRenderedPageBreak/>
        <w:t xml:space="preserve">Appendix </w:t>
      </w:r>
      <w:r w:rsidR="000F0A84">
        <w:rPr>
          <w:rStyle w:val="Heading2Char"/>
          <w:b/>
          <w:bCs/>
        </w:rPr>
        <w:t>C</w:t>
      </w:r>
    </w:p>
    <w:p w14:paraId="40A2F929" w14:textId="6C6526EF" w:rsidR="00090FA3" w:rsidRPr="00DD0300" w:rsidRDefault="00090FA3" w:rsidP="00DD0300">
      <w:pPr>
        <w:pStyle w:val="Heading3"/>
      </w:pPr>
      <w:r w:rsidRPr="00DD0300">
        <w:t>Fraction, decimal and percentage cards 2</w:t>
      </w:r>
    </w:p>
    <w:p w14:paraId="14AD2BEC" w14:textId="29531BDF" w:rsidR="000E03E5" w:rsidRPr="000E03E5" w:rsidRDefault="000E03E5" w:rsidP="000E03E5">
      <w:r>
        <w:rPr>
          <w:noProof/>
        </w:rPr>
        <w:drawing>
          <wp:inline distT="0" distB="0" distL="0" distR="0" wp14:anchorId="74610B4E" wp14:editId="480FE2DC">
            <wp:extent cx="5899868" cy="7574307"/>
            <wp:effectExtent l="0" t="0" r="5715" b="7620"/>
            <wp:docPr id="3" name="Picture 3" descr="An image of a table containing cards with decimals, fractions and percentages. The numbers include 105%, 1.1, one and 2 fifths, 2.25, 150%, 12 tenths, 210%, 5 halves, 1.48, negative one fifth, negative 0.14 and negative 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a table containing cards with decimals, fractions and percentages. The numbers include 105%, 1.1, one and 2 fifths, 2.25, 150%, 12 tenths, 210%, 5 halves, 1.48, negative one fifth, negative 0.14 and negative 25%. "/>
                    <pic:cNvPicPr/>
                  </pic:nvPicPr>
                  <pic:blipFill>
                    <a:blip r:embed="rId24"/>
                    <a:stretch>
                      <a:fillRect/>
                    </a:stretch>
                  </pic:blipFill>
                  <pic:spPr>
                    <a:xfrm>
                      <a:off x="0" y="0"/>
                      <a:ext cx="5916309" cy="7595414"/>
                    </a:xfrm>
                    <a:prstGeom prst="rect">
                      <a:avLst/>
                    </a:prstGeom>
                  </pic:spPr>
                </pic:pic>
              </a:graphicData>
            </a:graphic>
          </wp:inline>
        </w:drawing>
      </w:r>
    </w:p>
    <w:p w14:paraId="6E68CB09" w14:textId="77777777" w:rsidR="00720262" w:rsidRDefault="00720262" w:rsidP="00720262">
      <w:pPr>
        <w:pStyle w:val="Heading2"/>
      </w:pPr>
      <w:r>
        <w:lastRenderedPageBreak/>
        <w:t>Sample solutions</w:t>
      </w:r>
    </w:p>
    <w:p w14:paraId="0F509E25" w14:textId="230C5103" w:rsidR="00720262" w:rsidRPr="00720262" w:rsidRDefault="00720262" w:rsidP="00720262">
      <w:pPr>
        <w:pStyle w:val="Heading3"/>
      </w:pPr>
      <w:r w:rsidRPr="00720262">
        <w:rPr>
          <w:rStyle w:val="Heading2Char"/>
          <w:rFonts w:eastAsiaTheme="minorHAnsi"/>
          <w:b/>
          <w:bCs/>
          <w:sz w:val="40"/>
          <w:szCs w:val="40"/>
        </w:rPr>
        <w:t xml:space="preserve">Appendix A </w:t>
      </w:r>
      <w:r w:rsidR="00F5296A">
        <w:rPr>
          <w:rStyle w:val="Heading2Char"/>
          <w:rFonts w:eastAsiaTheme="minorHAnsi"/>
          <w:b/>
          <w:bCs/>
          <w:sz w:val="40"/>
          <w:szCs w:val="40"/>
        </w:rPr>
        <w:t>–</w:t>
      </w:r>
      <w:r w:rsidRPr="00720262">
        <w:rPr>
          <w:rStyle w:val="Heading2Char"/>
          <w:rFonts w:eastAsiaTheme="minorHAnsi"/>
          <w:b/>
          <w:bCs/>
          <w:sz w:val="40"/>
          <w:szCs w:val="40"/>
        </w:rPr>
        <w:t xml:space="preserve"> </w:t>
      </w:r>
      <w:r w:rsidRPr="00720262">
        <w:t>Equivalent Values Table</w:t>
      </w:r>
    </w:p>
    <w:tbl>
      <w:tblPr>
        <w:tblStyle w:val="Tableheader"/>
        <w:tblW w:w="0" w:type="auto"/>
        <w:tblLook w:val="04A0" w:firstRow="1" w:lastRow="0" w:firstColumn="1" w:lastColumn="0" w:noHBand="0" w:noVBand="1"/>
        <w:tblDescription w:val="A completed Equivalent Values Table including fractions, percentages and decimals."/>
      </w:tblPr>
      <w:tblGrid>
        <w:gridCol w:w="3207"/>
        <w:gridCol w:w="3207"/>
        <w:gridCol w:w="3208"/>
      </w:tblGrid>
      <w:tr w:rsidR="00720262" w14:paraId="1B9A62E2" w14:textId="77777777" w:rsidTr="00622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22CFA764" w14:textId="77777777" w:rsidR="00720262" w:rsidRDefault="00720262" w:rsidP="006222AB">
            <w:pPr>
              <w:jc w:val="center"/>
            </w:pPr>
            <w:r>
              <w:t>Fraction</w:t>
            </w:r>
          </w:p>
        </w:tc>
        <w:tc>
          <w:tcPr>
            <w:tcW w:w="3207" w:type="dxa"/>
            <w:vAlign w:val="center"/>
          </w:tcPr>
          <w:p w14:paraId="135578C7" w14:textId="77777777" w:rsidR="00720262" w:rsidRDefault="00720262" w:rsidP="006222AB">
            <w:pPr>
              <w:jc w:val="center"/>
              <w:cnfStyle w:val="100000000000" w:firstRow="1" w:lastRow="0" w:firstColumn="0" w:lastColumn="0" w:oddVBand="0" w:evenVBand="0" w:oddHBand="0" w:evenHBand="0" w:firstRowFirstColumn="0" w:firstRowLastColumn="0" w:lastRowFirstColumn="0" w:lastRowLastColumn="0"/>
            </w:pPr>
            <w:r>
              <w:t>Percentage</w:t>
            </w:r>
          </w:p>
        </w:tc>
        <w:tc>
          <w:tcPr>
            <w:tcW w:w="3208" w:type="dxa"/>
            <w:vAlign w:val="center"/>
          </w:tcPr>
          <w:p w14:paraId="51072EC7" w14:textId="77777777" w:rsidR="00720262" w:rsidRDefault="00720262" w:rsidP="006222AB">
            <w:pPr>
              <w:jc w:val="center"/>
              <w:cnfStyle w:val="100000000000" w:firstRow="1" w:lastRow="0" w:firstColumn="0" w:lastColumn="0" w:oddVBand="0" w:evenVBand="0" w:oddHBand="0" w:evenHBand="0" w:firstRowFirstColumn="0" w:firstRowLastColumn="0" w:lastRowFirstColumn="0" w:lastRowLastColumn="0"/>
            </w:pPr>
            <w:r>
              <w:t>Decimal</w:t>
            </w:r>
          </w:p>
        </w:tc>
      </w:tr>
      <w:tr w:rsidR="00720262" w14:paraId="0E628426" w14:textId="77777777" w:rsidTr="00622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0CD042BC"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1</m:t>
                  </m:r>
                </m:den>
              </m:f>
            </m:oMath>
            <w:r w:rsidR="00720262">
              <w:rPr>
                <w:rFonts w:eastAsiaTheme="minorEastAsia"/>
                <w:b w:val="0"/>
              </w:rPr>
              <w:t xml:space="preserve"> </w:t>
            </w:r>
          </w:p>
        </w:tc>
        <w:tc>
          <w:tcPr>
            <w:tcW w:w="3207" w:type="dxa"/>
            <w:vAlign w:val="center"/>
          </w:tcPr>
          <w:p w14:paraId="2C9CD67A" w14:textId="77777777" w:rsidR="00720262" w:rsidRDefault="00720262" w:rsidP="006222AB">
            <w:pPr>
              <w:jc w:val="center"/>
              <w:cnfStyle w:val="000000100000" w:firstRow="0" w:lastRow="0" w:firstColumn="0" w:lastColumn="0" w:oddVBand="0" w:evenVBand="0" w:oddHBand="1" w:evenHBand="0" w:firstRowFirstColumn="0" w:firstRowLastColumn="0" w:lastRowFirstColumn="0" w:lastRowLastColumn="0"/>
            </w:pPr>
            <w:r>
              <w:t>100%</w:t>
            </w:r>
          </w:p>
        </w:tc>
        <w:tc>
          <w:tcPr>
            <w:tcW w:w="3208" w:type="dxa"/>
            <w:vAlign w:val="center"/>
          </w:tcPr>
          <w:p w14:paraId="17DCD84B" w14:textId="77777777" w:rsidR="00720262" w:rsidRDefault="00720262" w:rsidP="006222AB">
            <w:pPr>
              <w:jc w:val="center"/>
              <w:cnfStyle w:val="000000100000" w:firstRow="0" w:lastRow="0" w:firstColumn="0" w:lastColumn="0" w:oddVBand="0" w:evenVBand="0" w:oddHBand="1" w:evenHBand="0" w:firstRowFirstColumn="0" w:firstRowLastColumn="0" w:lastRowFirstColumn="0" w:lastRowLastColumn="0"/>
            </w:pPr>
            <w:r>
              <w:t>1.0</w:t>
            </w:r>
          </w:p>
        </w:tc>
      </w:tr>
      <w:tr w:rsidR="00720262" w14:paraId="3C6505A8" w14:textId="77777777" w:rsidTr="00622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474638B"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2</m:t>
                  </m:r>
                </m:den>
              </m:f>
            </m:oMath>
            <w:r w:rsidR="00720262">
              <w:rPr>
                <w:rFonts w:eastAsiaTheme="minorEastAsia"/>
                <w:b w:val="0"/>
              </w:rPr>
              <w:t xml:space="preserve"> </w:t>
            </w:r>
          </w:p>
        </w:tc>
        <w:tc>
          <w:tcPr>
            <w:tcW w:w="3207" w:type="dxa"/>
            <w:vAlign w:val="center"/>
          </w:tcPr>
          <w:p w14:paraId="301BBF1D" w14:textId="77777777" w:rsidR="00720262" w:rsidRDefault="00720262" w:rsidP="006222AB">
            <w:pPr>
              <w:jc w:val="center"/>
              <w:cnfStyle w:val="000000010000" w:firstRow="0" w:lastRow="0" w:firstColumn="0" w:lastColumn="0" w:oddVBand="0" w:evenVBand="0" w:oddHBand="0" w:evenHBand="1" w:firstRowFirstColumn="0" w:firstRowLastColumn="0" w:lastRowFirstColumn="0" w:lastRowLastColumn="0"/>
            </w:pPr>
            <w:r>
              <w:t>50%</w:t>
            </w:r>
          </w:p>
        </w:tc>
        <w:tc>
          <w:tcPr>
            <w:tcW w:w="3208" w:type="dxa"/>
            <w:vAlign w:val="center"/>
          </w:tcPr>
          <w:p w14:paraId="337F7980" w14:textId="26B6D54C" w:rsidR="00720262" w:rsidRDefault="00720262" w:rsidP="006222AB">
            <w:pPr>
              <w:jc w:val="center"/>
              <w:cnfStyle w:val="000000010000" w:firstRow="0" w:lastRow="0" w:firstColumn="0" w:lastColumn="0" w:oddVBand="0" w:evenVBand="0" w:oddHBand="0" w:evenHBand="1" w:firstRowFirstColumn="0" w:firstRowLastColumn="0" w:lastRowFirstColumn="0" w:lastRowLastColumn="0"/>
            </w:pPr>
            <w:r>
              <w:t>0.5</w:t>
            </w:r>
          </w:p>
        </w:tc>
      </w:tr>
      <w:tr w:rsidR="00720262" w14:paraId="6ED285AE" w14:textId="77777777" w:rsidTr="00622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0A96D5ED"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3</m:t>
                  </m:r>
                </m:den>
              </m:f>
            </m:oMath>
            <w:r w:rsidR="00720262">
              <w:rPr>
                <w:rFonts w:eastAsiaTheme="minorEastAsia"/>
                <w:b w:val="0"/>
              </w:rPr>
              <w:t xml:space="preserve"> </w:t>
            </w:r>
          </w:p>
        </w:tc>
        <w:tc>
          <w:tcPr>
            <w:tcW w:w="3207" w:type="dxa"/>
            <w:vAlign w:val="center"/>
          </w:tcPr>
          <w:p w14:paraId="57999B0B" w14:textId="7B4D0776" w:rsidR="00720262" w:rsidRDefault="0011697A" w:rsidP="006222AB">
            <w:pPr>
              <w:jc w:val="center"/>
              <w:cnfStyle w:val="000000100000" w:firstRow="0" w:lastRow="0" w:firstColumn="0" w:lastColumn="0" w:oddVBand="0" w:evenVBand="0" w:oddHBand="1" w:evenHBand="0" w:firstRowFirstColumn="0" w:firstRowLastColumn="0" w:lastRowFirstColumn="0" w:lastRowLastColumn="0"/>
            </w:pPr>
            <w:r>
              <w:t>33.33%</w:t>
            </w:r>
          </w:p>
        </w:tc>
        <w:tc>
          <w:tcPr>
            <w:tcW w:w="3208" w:type="dxa"/>
            <w:vAlign w:val="center"/>
          </w:tcPr>
          <w:p w14:paraId="3ADDECCF" w14:textId="3EB17A39" w:rsidR="00720262" w:rsidRDefault="00720262" w:rsidP="006222AB">
            <w:pPr>
              <w:jc w:val="center"/>
              <w:cnfStyle w:val="000000100000" w:firstRow="0" w:lastRow="0" w:firstColumn="0" w:lastColumn="0" w:oddVBand="0" w:evenVBand="0" w:oddHBand="1" w:evenHBand="0" w:firstRowFirstColumn="0" w:firstRowLastColumn="0" w:lastRowFirstColumn="0" w:lastRowLastColumn="0"/>
            </w:pPr>
            <w:r>
              <w:t>0.333…</w:t>
            </w:r>
          </w:p>
        </w:tc>
      </w:tr>
      <w:tr w:rsidR="00720262" w14:paraId="3A1C8D97" w14:textId="77777777" w:rsidTr="00622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1D5F652A"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4</m:t>
                  </m:r>
                </m:den>
              </m:f>
            </m:oMath>
            <w:r w:rsidR="00720262">
              <w:rPr>
                <w:rFonts w:eastAsiaTheme="minorEastAsia"/>
                <w:b w:val="0"/>
              </w:rPr>
              <w:t xml:space="preserve"> </w:t>
            </w:r>
          </w:p>
        </w:tc>
        <w:tc>
          <w:tcPr>
            <w:tcW w:w="3207" w:type="dxa"/>
            <w:vAlign w:val="center"/>
          </w:tcPr>
          <w:p w14:paraId="6FB8C6F5" w14:textId="4B5FB836" w:rsidR="00720262" w:rsidRDefault="0011697A" w:rsidP="006222AB">
            <w:pPr>
              <w:jc w:val="center"/>
              <w:cnfStyle w:val="000000010000" w:firstRow="0" w:lastRow="0" w:firstColumn="0" w:lastColumn="0" w:oddVBand="0" w:evenVBand="0" w:oddHBand="0" w:evenHBand="1" w:firstRowFirstColumn="0" w:firstRowLastColumn="0" w:lastRowFirstColumn="0" w:lastRowLastColumn="0"/>
            </w:pPr>
            <w:r>
              <w:t>25%</w:t>
            </w:r>
          </w:p>
        </w:tc>
        <w:tc>
          <w:tcPr>
            <w:tcW w:w="3208" w:type="dxa"/>
            <w:vAlign w:val="center"/>
          </w:tcPr>
          <w:p w14:paraId="1EB5A8E1" w14:textId="75B21E86" w:rsidR="00720262" w:rsidRDefault="00720262" w:rsidP="006222AB">
            <w:pPr>
              <w:jc w:val="center"/>
              <w:cnfStyle w:val="000000010000" w:firstRow="0" w:lastRow="0" w:firstColumn="0" w:lastColumn="0" w:oddVBand="0" w:evenVBand="0" w:oddHBand="0" w:evenHBand="1" w:firstRowFirstColumn="0" w:firstRowLastColumn="0" w:lastRowFirstColumn="0" w:lastRowLastColumn="0"/>
            </w:pPr>
            <w:r>
              <w:t>0.25</w:t>
            </w:r>
          </w:p>
        </w:tc>
      </w:tr>
      <w:tr w:rsidR="00720262" w14:paraId="4B74815B" w14:textId="77777777" w:rsidTr="00622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470A920"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5</m:t>
                  </m:r>
                </m:den>
              </m:f>
            </m:oMath>
            <w:r w:rsidR="00720262">
              <w:rPr>
                <w:rFonts w:eastAsiaTheme="minorEastAsia"/>
                <w:b w:val="0"/>
              </w:rPr>
              <w:t xml:space="preserve"> </w:t>
            </w:r>
          </w:p>
        </w:tc>
        <w:tc>
          <w:tcPr>
            <w:tcW w:w="3207" w:type="dxa"/>
            <w:vAlign w:val="center"/>
          </w:tcPr>
          <w:p w14:paraId="21153793" w14:textId="1F8420B4" w:rsidR="00720262" w:rsidRDefault="0011697A" w:rsidP="006222AB">
            <w:pPr>
              <w:jc w:val="center"/>
              <w:cnfStyle w:val="000000100000" w:firstRow="0" w:lastRow="0" w:firstColumn="0" w:lastColumn="0" w:oddVBand="0" w:evenVBand="0" w:oddHBand="1" w:evenHBand="0" w:firstRowFirstColumn="0" w:firstRowLastColumn="0" w:lastRowFirstColumn="0" w:lastRowLastColumn="0"/>
            </w:pPr>
            <w:r>
              <w:t>20%</w:t>
            </w:r>
          </w:p>
        </w:tc>
        <w:tc>
          <w:tcPr>
            <w:tcW w:w="3208" w:type="dxa"/>
            <w:vAlign w:val="center"/>
          </w:tcPr>
          <w:p w14:paraId="4601BB1F" w14:textId="3BA24536" w:rsidR="00720262" w:rsidRDefault="00720262" w:rsidP="006222AB">
            <w:pPr>
              <w:jc w:val="center"/>
              <w:cnfStyle w:val="000000100000" w:firstRow="0" w:lastRow="0" w:firstColumn="0" w:lastColumn="0" w:oddVBand="0" w:evenVBand="0" w:oddHBand="1" w:evenHBand="0" w:firstRowFirstColumn="0" w:firstRowLastColumn="0" w:lastRowFirstColumn="0" w:lastRowLastColumn="0"/>
            </w:pPr>
            <w:r>
              <w:t>0.2</w:t>
            </w:r>
          </w:p>
        </w:tc>
      </w:tr>
      <w:tr w:rsidR="00720262" w14:paraId="7A66DDC1" w14:textId="77777777" w:rsidTr="00622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F936BE1"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6</m:t>
                  </m:r>
                </m:den>
              </m:f>
            </m:oMath>
            <w:r w:rsidR="00720262">
              <w:rPr>
                <w:rFonts w:eastAsiaTheme="minorEastAsia"/>
                <w:b w:val="0"/>
              </w:rPr>
              <w:t xml:space="preserve"> </w:t>
            </w:r>
          </w:p>
        </w:tc>
        <w:tc>
          <w:tcPr>
            <w:tcW w:w="3207" w:type="dxa"/>
            <w:vAlign w:val="center"/>
          </w:tcPr>
          <w:p w14:paraId="659E7F30" w14:textId="68D951EA" w:rsidR="00720262" w:rsidRDefault="0011697A" w:rsidP="006222AB">
            <w:pPr>
              <w:jc w:val="center"/>
              <w:cnfStyle w:val="000000010000" w:firstRow="0" w:lastRow="0" w:firstColumn="0" w:lastColumn="0" w:oddVBand="0" w:evenVBand="0" w:oddHBand="0" w:evenHBand="1" w:firstRowFirstColumn="0" w:firstRowLastColumn="0" w:lastRowFirstColumn="0" w:lastRowLastColumn="0"/>
            </w:pPr>
            <w:r>
              <w:t>16.67%</w:t>
            </w:r>
          </w:p>
        </w:tc>
        <w:tc>
          <w:tcPr>
            <w:tcW w:w="3208" w:type="dxa"/>
            <w:vAlign w:val="center"/>
          </w:tcPr>
          <w:p w14:paraId="0C823639" w14:textId="733925F5" w:rsidR="00720262" w:rsidRDefault="00720262" w:rsidP="006222AB">
            <w:pPr>
              <w:jc w:val="center"/>
              <w:cnfStyle w:val="000000010000" w:firstRow="0" w:lastRow="0" w:firstColumn="0" w:lastColumn="0" w:oddVBand="0" w:evenVBand="0" w:oddHBand="0" w:evenHBand="1" w:firstRowFirstColumn="0" w:firstRowLastColumn="0" w:lastRowFirstColumn="0" w:lastRowLastColumn="0"/>
            </w:pPr>
            <w:r>
              <w:t>0.</w:t>
            </w:r>
            <w:r w:rsidR="00971C5A">
              <w:t>166…</w:t>
            </w:r>
          </w:p>
        </w:tc>
      </w:tr>
      <w:tr w:rsidR="00720262" w14:paraId="6FBD0EB5" w14:textId="77777777" w:rsidTr="00622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7562607"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7</m:t>
                  </m:r>
                </m:den>
              </m:f>
            </m:oMath>
            <w:r w:rsidR="00720262">
              <w:rPr>
                <w:rFonts w:eastAsiaTheme="minorEastAsia"/>
                <w:b w:val="0"/>
              </w:rPr>
              <w:t xml:space="preserve"> </w:t>
            </w:r>
          </w:p>
        </w:tc>
        <w:tc>
          <w:tcPr>
            <w:tcW w:w="3207" w:type="dxa"/>
            <w:vAlign w:val="center"/>
          </w:tcPr>
          <w:p w14:paraId="1EFDD08F" w14:textId="2B182BA1" w:rsidR="00720262" w:rsidRDefault="0011697A" w:rsidP="006222AB">
            <w:pPr>
              <w:jc w:val="center"/>
              <w:cnfStyle w:val="000000100000" w:firstRow="0" w:lastRow="0" w:firstColumn="0" w:lastColumn="0" w:oddVBand="0" w:evenVBand="0" w:oddHBand="1" w:evenHBand="0" w:firstRowFirstColumn="0" w:firstRowLastColumn="0" w:lastRowFirstColumn="0" w:lastRowLastColumn="0"/>
            </w:pPr>
            <w:r>
              <w:t>14.29%</w:t>
            </w:r>
          </w:p>
        </w:tc>
        <w:tc>
          <w:tcPr>
            <w:tcW w:w="3208" w:type="dxa"/>
            <w:vAlign w:val="center"/>
          </w:tcPr>
          <w:p w14:paraId="0A36B4A7" w14:textId="300E1E42" w:rsidR="00720262" w:rsidRDefault="00C1054C" w:rsidP="006222AB">
            <w:pPr>
              <w:jc w:val="center"/>
              <w:cnfStyle w:val="000000100000" w:firstRow="0" w:lastRow="0" w:firstColumn="0" w:lastColumn="0" w:oddVBand="0" w:evenVBand="0" w:oddHBand="1" w:evenHBand="0" w:firstRowFirstColumn="0" w:firstRowLastColumn="0" w:lastRowFirstColumn="0" w:lastRowLastColumn="0"/>
            </w:pPr>
            <w:r>
              <w:t>0.1428514…</w:t>
            </w:r>
          </w:p>
        </w:tc>
      </w:tr>
      <w:tr w:rsidR="00720262" w14:paraId="6A8D7FE4" w14:textId="77777777" w:rsidTr="00622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2EA1DC1"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8</m:t>
                  </m:r>
                </m:den>
              </m:f>
            </m:oMath>
            <w:r w:rsidR="00720262">
              <w:rPr>
                <w:rFonts w:eastAsiaTheme="minorEastAsia"/>
                <w:b w:val="0"/>
              </w:rPr>
              <w:t xml:space="preserve"> </w:t>
            </w:r>
          </w:p>
        </w:tc>
        <w:tc>
          <w:tcPr>
            <w:tcW w:w="3207" w:type="dxa"/>
            <w:vAlign w:val="center"/>
          </w:tcPr>
          <w:p w14:paraId="2A845373" w14:textId="2B5917E4" w:rsidR="00720262" w:rsidRDefault="00C1054C" w:rsidP="006222AB">
            <w:pPr>
              <w:jc w:val="center"/>
              <w:cnfStyle w:val="000000010000" w:firstRow="0" w:lastRow="0" w:firstColumn="0" w:lastColumn="0" w:oddVBand="0" w:evenVBand="0" w:oddHBand="0" w:evenHBand="1" w:firstRowFirstColumn="0" w:firstRowLastColumn="0" w:lastRowFirstColumn="0" w:lastRowLastColumn="0"/>
            </w:pPr>
            <w:r>
              <w:t>12.5%</w:t>
            </w:r>
          </w:p>
        </w:tc>
        <w:tc>
          <w:tcPr>
            <w:tcW w:w="3208" w:type="dxa"/>
            <w:vAlign w:val="center"/>
          </w:tcPr>
          <w:p w14:paraId="3182308E" w14:textId="2384FE32" w:rsidR="00720262" w:rsidRDefault="00C1054C" w:rsidP="006222AB">
            <w:pPr>
              <w:jc w:val="center"/>
              <w:cnfStyle w:val="000000010000" w:firstRow="0" w:lastRow="0" w:firstColumn="0" w:lastColumn="0" w:oddVBand="0" w:evenVBand="0" w:oddHBand="0" w:evenHBand="1" w:firstRowFirstColumn="0" w:firstRowLastColumn="0" w:lastRowFirstColumn="0" w:lastRowLastColumn="0"/>
            </w:pPr>
            <w:r>
              <w:t>0.125</w:t>
            </w:r>
          </w:p>
        </w:tc>
      </w:tr>
      <w:tr w:rsidR="00720262" w14:paraId="20860758" w14:textId="77777777" w:rsidTr="00622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1703288"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9</m:t>
                  </m:r>
                </m:den>
              </m:f>
            </m:oMath>
            <w:r w:rsidR="00720262">
              <w:rPr>
                <w:rFonts w:eastAsiaTheme="minorEastAsia"/>
                <w:b w:val="0"/>
              </w:rPr>
              <w:t xml:space="preserve"> </w:t>
            </w:r>
          </w:p>
        </w:tc>
        <w:tc>
          <w:tcPr>
            <w:tcW w:w="3207" w:type="dxa"/>
            <w:vAlign w:val="center"/>
          </w:tcPr>
          <w:p w14:paraId="584F6A0A" w14:textId="742865EE" w:rsidR="00720262" w:rsidRDefault="00C1054C" w:rsidP="006222AB">
            <w:pPr>
              <w:jc w:val="center"/>
              <w:cnfStyle w:val="000000100000" w:firstRow="0" w:lastRow="0" w:firstColumn="0" w:lastColumn="0" w:oddVBand="0" w:evenVBand="0" w:oddHBand="1" w:evenHBand="0" w:firstRowFirstColumn="0" w:firstRowLastColumn="0" w:lastRowFirstColumn="0" w:lastRowLastColumn="0"/>
            </w:pPr>
            <w:r>
              <w:t>11.1</w:t>
            </w:r>
            <w:r w:rsidR="0011697A">
              <w:t>1</w:t>
            </w:r>
            <w:r>
              <w:t>%</w:t>
            </w:r>
          </w:p>
        </w:tc>
        <w:tc>
          <w:tcPr>
            <w:tcW w:w="3208" w:type="dxa"/>
            <w:vAlign w:val="center"/>
          </w:tcPr>
          <w:p w14:paraId="79A3EB47" w14:textId="44CEE81F" w:rsidR="00720262" w:rsidRDefault="00C1054C" w:rsidP="006222AB">
            <w:pPr>
              <w:jc w:val="center"/>
              <w:cnfStyle w:val="000000100000" w:firstRow="0" w:lastRow="0" w:firstColumn="0" w:lastColumn="0" w:oddVBand="0" w:evenVBand="0" w:oddHBand="1" w:evenHBand="0" w:firstRowFirstColumn="0" w:firstRowLastColumn="0" w:lastRowFirstColumn="0" w:lastRowLastColumn="0"/>
            </w:pPr>
            <w:r>
              <w:t>0.1111…</w:t>
            </w:r>
          </w:p>
        </w:tc>
      </w:tr>
      <w:tr w:rsidR="00720262" w14:paraId="640E757D" w14:textId="77777777" w:rsidTr="00622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0D47AE2" w14:textId="77777777" w:rsidR="00720262" w:rsidRDefault="00000000" w:rsidP="006222AB">
            <w:pPr>
              <w:jc w:val="center"/>
            </w:pPr>
            <m:oMath>
              <m:f>
                <m:fPr>
                  <m:ctrlPr>
                    <w:rPr>
                      <w:rFonts w:ascii="Cambria Math" w:hAnsi="Cambria Math"/>
                      <w:b w:val="0"/>
                      <w:i/>
                    </w:rPr>
                  </m:ctrlPr>
                </m:fPr>
                <m:num>
                  <m:r>
                    <m:rPr>
                      <m:sty m:val="bi"/>
                    </m:rPr>
                    <w:rPr>
                      <w:rFonts w:ascii="Cambria Math" w:hAnsi="Cambria Math"/>
                    </w:rPr>
                    <m:t>1</m:t>
                  </m:r>
                  <m:ctrlPr>
                    <w:rPr>
                      <w:rFonts w:ascii="Cambria Math" w:hAnsi="Cambria Math"/>
                      <w:i/>
                    </w:rPr>
                  </m:ctrlPr>
                </m:num>
                <m:den>
                  <m:r>
                    <m:rPr>
                      <m:sty m:val="bi"/>
                    </m:rPr>
                    <w:rPr>
                      <w:rFonts w:ascii="Cambria Math" w:hAnsi="Cambria Math"/>
                    </w:rPr>
                    <m:t>10</m:t>
                  </m:r>
                </m:den>
              </m:f>
            </m:oMath>
            <w:r w:rsidR="00720262">
              <w:rPr>
                <w:rFonts w:eastAsiaTheme="minorEastAsia"/>
                <w:b w:val="0"/>
              </w:rPr>
              <w:t xml:space="preserve"> </w:t>
            </w:r>
          </w:p>
        </w:tc>
        <w:tc>
          <w:tcPr>
            <w:tcW w:w="3207" w:type="dxa"/>
            <w:vAlign w:val="center"/>
          </w:tcPr>
          <w:p w14:paraId="027B079F" w14:textId="6D6CAE5F" w:rsidR="00720262" w:rsidRDefault="00C1054C" w:rsidP="006222AB">
            <w:pPr>
              <w:jc w:val="center"/>
              <w:cnfStyle w:val="000000010000" w:firstRow="0" w:lastRow="0" w:firstColumn="0" w:lastColumn="0" w:oddVBand="0" w:evenVBand="0" w:oddHBand="0" w:evenHBand="1" w:firstRowFirstColumn="0" w:firstRowLastColumn="0" w:lastRowFirstColumn="0" w:lastRowLastColumn="0"/>
            </w:pPr>
            <w:r>
              <w:t>10%</w:t>
            </w:r>
          </w:p>
        </w:tc>
        <w:tc>
          <w:tcPr>
            <w:tcW w:w="3208" w:type="dxa"/>
            <w:vAlign w:val="center"/>
          </w:tcPr>
          <w:p w14:paraId="44E0183B" w14:textId="1CAC8A1F" w:rsidR="00720262" w:rsidRDefault="00C1054C" w:rsidP="006222AB">
            <w:pPr>
              <w:jc w:val="center"/>
              <w:cnfStyle w:val="000000010000" w:firstRow="0" w:lastRow="0" w:firstColumn="0" w:lastColumn="0" w:oddVBand="0" w:evenVBand="0" w:oddHBand="0" w:evenHBand="1" w:firstRowFirstColumn="0" w:firstRowLastColumn="0" w:lastRowFirstColumn="0" w:lastRowLastColumn="0"/>
            </w:pPr>
            <w:r>
              <w:t>0.1</w:t>
            </w:r>
          </w:p>
        </w:tc>
      </w:tr>
    </w:tbl>
    <w:p w14:paraId="47AFE0AE" w14:textId="1400667F" w:rsidR="00720262" w:rsidRPr="00720262" w:rsidRDefault="00720262" w:rsidP="00720262">
      <w:pPr>
        <w:sectPr w:rsidR="00720262" w:rsidRPr="00720262" w:rsidSect="003A34C6">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cols w:space="708"/>
          <w:titlePg/>
          <w:docGrid w:linePitch="360"/>
        </w:sectPr>
      </w:pPr>
    </w:p>
    <w:p w14:paraId="616532AC" w14:textId="54BE2142" w:rsidR="003055E2" w:rsidRPr="00A27912" w:rsidRDefault="003055E2" w:rsidP="00A27912">
      <w:pPr>
        <w:pStyle w:val="Heading3"/>
      </w:pPr>
      <w:r w:rsidRPr="00A27912">
        <w:lastRenderedPageBreak/>
        <w:t>Appendix B – Fraction, decimal and percentage cards 1</w:t>
      </w:r>
    </w:p>
    <w:p w14:paraId="25D5E025" w14:textId="3EE6B589" w:rsidR="003055E2" w:rsidRDefault="003055E2" w:rsidP="003055E2">
      <w:r>
        <w:rPr>
          <w:noProof/>
        </w:rPr>
        <w:drawing>
          <wp:inline distT="0" distB="0" distL="0" distR="0" wp14:anchorId="33CF2D40" wp14:editId="5B6D4DFD">
            <wp:extent cx="6120130" cy="3270885"/>
            <wp:effectExtent l="0" t="0" r="0" b="5715"/>
            <wp:docPr id="5" name="Picture 5" descr="An image taken from Desmos, showing the numbers from Appendix B displayed on three horizontal number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taken from Desmos, showing the numbers from Appendix B displayed on three horizontal number lines. "/>
                    <pic:cNvPicPr/>
                  </pic:nvPicPr>
                  <pic:blipFill>
                    <a:blip r:embed="rId30"/>
                    <a:stretch>
                      <a:fillRect/>
                    </a:stretch>
                  </pic:blipFill>
                  <pic:spPr>
                    <a:xfrm>
                      <a:off x="0" y="0"/>
                      <a:ext cx="6120130" cy="3270885"/>
                    </a:xfrm>
                    <a:prstGeom prst="rect">
                      <a:avLst/>
                    </a:prstGeom>
                  </pic:spPr>
                </pic:pic>
              </a:graphicData>
            </a:graphic>
          </wp:inline>
        </w:drawing>
      </w:r>
    </w:p>
    <w:p w14:paraId="7E77BB67" w14:textId="77777777" w:rsidR="00A27912" w:rsidRDefault="00A27912">
      <w:pPr>
        <w:spacing w:line="276" w:lineRule="auto"/>
        <w:rPr>
          <w:b/>
          <w:bCs/>
          <w:color w:val="002664"/>
          <w:sz w:val="40"/>
          <w:szCs w:val="40"/>
        </w:rPr>
      </w:pPr>
      <w:r>
        <w:br w:type="page"/>
      </w:r>
    </w:p>
    <w:p w14:paraId="4B15021E" w14:textId="4F1547FE" w:rsidR="003055E2" w:rsidRPr="00A27912" w:rsidRDefault="00730E0D" w:rsidP="00A27912">
      <w:pPr>
        <w:pStyle w:val="Heading3"/>
      </w:pPr>
      <w:r w:rsidRPr="00A27912">
        <w:lastRenderedPageBreak/>
        <w:t xml:space="preserve">Appendix </w:t>
      </w:r>
      <w:r w:rsidR="00CA7641" w:rsidRPr="00A27912">
        <w:t>C</w:t>
      </w:r>
      <w:r w:rsidRPr="00A27912">
        <w:t xml:space="preserve"> – Fraction, decimal and percentage cards 2</w:t>
      </w:r>
    </w:p>
    <w:p w14:paraId="68B477EB" w14:textId="49DF745F" w:rsidR="00E12F12" w:rsidRPr="003055E2" w:rsidRDefault="00A07BD4" w:rsidP="003055E2">
      <w:r>
        <w:rPr>
          <w:noProof/>
        </w:rPr>
        <w:drawing>
          <wp:inline distT="0" distB="0" distL="0" distR="0" wp14:anchorId="1C8031F6" wp14:editId="7630FFE6">
            <wp:extent cx="6120130" cy="1398270"/>
            <wp:effectExtent l="0" t="0" r="0" b="0"/>
            <wp:docPr id="6" name="Picture 6" descr="An image taken from Desmos, showing the numbers from Appendix C displayed on three horizontal number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taken from Desmos, showing the numbers from Appendix C displayed on three horizontal number lines. "/>
                    <pic:cNvPicPr/>
                  </pic:nvPicPr>
                  <pic:blipFill>
                    <a:blip r:embed="rId31"/>
                    <a:stretch>
                      <a:fillRect/>
                    </a:stretch>
                  </pic:blipFill>
                  <pic:spPr>
                    <a:xfrm>
                      <a:off x="0" y="0"/>
                      <a:ext cx="6120130" cy="1398270"/>
                    </a:xfrm>
                    <a:prstGeom prst="rect">
                      <a:avLst/>
                    </a:prstGeom>
                  </pic:spPr>
                </pic:pic>
              </a:graphicData>
            </a:graphic>
          </wp:inline>
        </w:drawing>
      </w:r>
    </w:p>
    <w:p w14:paraId="3EDC0CAC" w14:textId="77777777" w:rsidR="00CA7641" w:rsidRDefault="00CA7641">
      <w:pPr>
        <w:spacing w:line="276" w:lineRule="auto"/>
        <w:rPr>
          <w:rStyle w:val="Strong"/>
          <w:sz w:val="28"/>
          <w:szCs w:val="28"/>
        </w:rPr>
      </w:pPr>
      <w:r>
        <w:rPr>
          <w:rStyle w:val="Strong"/>
          <w:sz w:val="28"/>
          <w:szCs w:val="28"/>
        </w:rPr>
        <w:br w:type="page"/>
      </w:r>
    </w:p>
    <w:p w14:paraId="1FEBE273" w14:textId="77777777" w:rsidR="00A27912" w:rsidRDefault="00A27912" w:rsidP="00A27912">
      <w:pPr>
        <w:pStyle w:val="Heading2"/>
      </w:pPr>
      <w:r w:rsidRPr="00C41110">
        <w:lastRenderedPageBreak/>
        <w:t>References</w:t>
      </w:r>
    </w:p>
    <w:p w14:paraId="375B1039" w14:textId="77777777" w:rsidR="00A27912" w:rsidRPr="00AE7FE3" w:rsidRDefault="00A27912" w:rsidP="00A27912">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B8A2842" w14:textId="77777777" w:rsidR="00A27912" w:rsidRPr="00AE7FE3" w:rsidRDefault="00A27912" w:rsidP="00A27912">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3E3745BE" w14:textId="77777777" w:rsidR="00A27912" w:rsidRDefault="00A27912" w:rsidP="00A27912">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https://curriculum.nsw.edu.au/home</w:t>
        </w:r>
      </w:hyperlink>
      <w:r w:rsidRPr="00AE7FE3">
        <w:t>.</w:t>
      </w:r>
    </w:p>
    <w:p w14:paraId="61247C20" w14:textId="4FBAC039" w:rsidR="00BF2E07" w:rsidRPr="00BF2E07" w:rsidRDefault="00000000" w:rsidP="00BF2E07">
      <w:hyperlink r:id="rId35" w:history="1">
        <w:r w:rsidR="00BF2E07">
          <w:rPr>
            <w:rStyle w:val="Hyperlink"/>
          </w:rPr>
          <w:t>Mathematics K–10 Syllabus</w:t>
        </w:r>
      </w:hyperlink>
      <w:r w:rsidR="00BF2E07">
        <w:t xml:space="preserve"> © NSW Education Standards Authority (NESA) for and on behalf of the Crown in right of the State of New South Wales, 2022.</w:t>
      </w:r>
    </w:p>
    <w:p w14:paraId="02F5C808" w14:textId="697B54BA" w:rsidR="0093281F" w:rsidRDefault="0093281F" w:rsidP="003102C3">
      <w:pPr>
        <w:rPr>
          <w:rStyle w:val="Strong"/>
          <w:sz w:val="28"/>
          <w:szCs w:val="28"/>
        </w:rPr>
        <w:sectPr w:rsidR="0093281F" w:rsidSect="0093281F">
          <w:headerReference w:type="default" r:id="rId36"/>
          <w:footerReference w:type="even" r:id="rId37"/>
          <w:footerReference w:type="default" r:id="rId38"/>
          <w:footerReference w:type="first" r:id="rId39"/>
          <w:pgSz w:w="11906" w:h="16838"/>
          <w:pgMar w:top="426" w:right="1134" w:bottom="1134" w:left="1134" w:header="709" w:footer="709" w:gutter="0"/>
          <w:cols w:space="708"/>
          <w:docGrid w:linePitch="360"/>
        </w:sectPr>
      </w:pPr>
    </w:p>
    <w:p w14:paraId="6AAF89FB" w14:textId="50D60DCB" w:rsidR="003102C3" w:rsidRPr="00EF7698" w:rsidRDefault="003102C3" w:rsidP="002D6EED">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2D6EED">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2D6EED">
      <w:pPr>
        <w:rPr>
          <w:lang w:eastAsia="en-AU"/>
        </w:rPr>
      </w:pPr>
      <w:r w:rsidRPr="000F46D1">
        <w:rPr>
          <w:lang w:eastAsia="en-AU"/>
        </w:rPr>
        <w:t xml:space="preserve">Copyright material available in this resource and owned by the NSW Department of Education is licensed under a </w:t>
      </w:r>
      <w:hyperlink r:id="rId40" w:history="1">
        <w:r w:rsidRPr="005F2331">
          <w:rPr>
            <w:rStyle w:val="Hyperlink"/>
          </w:rPr>
          <w:t>Creative Commons Attribution 4.0 International (CC BY 4.0) licence</w:t>
        </w:r>
      </w:hyperlink>
      <w:r w:rsidRPr="005F2331">
        <w:t>.</w:t>
      </w:r>
    </w:p>
    <w:p w14:paraId="08623791" w14:textId="77777777" w:rsidR="003102C3" w:rsidRPr="000F46D1" w:rsidRDefault="003102C3" w:rsidP="002D6EED">
      <w:pPr>
        <w:rPr>
          <w:lang w:eastAsia="en-AU"/>
        </w:rPr>
      </w:pPr>
      <w:r>
        <w:rPr>
          <w:noProof/>
        </w:rPr>
        <w:drawing>
          <wp:inline distT="0" distB="0" distL="0" distR="0" wp14:anchorId="4D2BE93C" wp14:editId="338CB1BD">
            <wp:extent cx="1228725" cy="428625"/>
            <wp:effectExtent l="0" t="0" r="9525" b="9525"/>
            <wp:docPr id="32" name="Picture 32" descr="Creative Commons Attribution licenc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2D6EED">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2D6EED">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2D6EED">
      <w:pPr>
        <w:rPr>
          <w:lang w:eastAsia="en-AU"/>
        </w:rPr>
      </w:pPr>
      <w:r w:rsidRPr="000F46D1">
        <w:rPr>
          <w:lang w:eastAsia="en-AU"/>
        </w:rPr>
        <w:t>Material in this resource not available under a Creative Commons licence:</w:t>
      </w:r>
    </w:p>
    <w:p w14:paraId="2841B1F9" w14:textId="77777777" w:rsidR="003102C3" w:rsidRPr="002D6EED" w:rsidRDefault="003102C3" w:rsidP="002D6EED">
      <w:pPr>
        <w:pStyle w:val="ListBullet"/>
      </w:pPr>
      <w:r w:rsidRPr="002D6EED">
        <w:t xml:space="preserve">the NSW Department of Education logo, other </w:t>
      </w:r>
      <w:proofErr w:type="gramStart"/>
      <w:r w:rsidRPr="002D6EED">
        <w:t>logos</w:t>
      </w:r>
      <w:proofErr w:type="gramEnd"/>
      <w:r w:rsidRPr="002D6EED">
        <w:t xml:space="preserve"> and trademark-protected material</w:t>
      </w:r>
    </w:p>
    <w:p w14:paraId="7B555EA4" w14:textId="77777777" w:rsidR="003102C3" w:rsidRPr="002D6EED" w:rsidRDefault="003102C3" w:rsidP="002D6EED">
      <w:pPr>
        <w:pStyle w:val="ListBullet"/>
      </w:pPr>
      <w:r w:rsidRPr="002D6EED">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93281F">
      <w:headerReference w:type="default" r:id="rId42"/>
      <w:footerReference w:type="default" r:id="rId43"/>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8DD5" w14:textId="77777777" w:rsidR="00216F96" w:rsidRDefault="00216F96">
      <w:r>
        <w:separator/>
      </w:r>
    </w:p>
    <w:p w14:paraId="06E9E186" w14:textId="77777777" w:rsidR="00216F96" w:rsidRDefault="00216F96"/>
  </w:endnote>
  <w:endnote w:type="continuationSeparator" w:id="0">
    <w:p w14:paraId="4CAC12B8" w14:textId="77777777" w:rsidR="00216F96" w:rsidRDefault="00216F96">
      <w:r>
        <w:continuationSeparator/>
      </w:r>
    </w:p>
    <w:p w14:paraId="0056F50A" w14:textId="77777777" w:rsidR="00216F96" w:rsidRDefault="00216F96"/>
  </w:endnote>
  <w:endnote w:type="continuationNotice" w:id="1">
    <w:p w14:paraId="4BBF55AF" w14:textId="77777777" w:rsidR="00216F96" w:rsidRDefault="00216F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C4A2099"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30563">
      <w:rPr>
        <w:noProof/>
      </w:rPr>
      <w:t>Jun-23</w:t>
    </w:r>
    <w:r w:rsidRPr="00E56264">
      <w:fldChar w:fldCharType="end"/>
    </w:r>
    <w:r>
      <w:ptab w:relativeTo="margin" w:alignment="right" w:leader="none"/>
    </w:r>
    <w:r>
      <w:rPr>
        <w:b/>
        <w:bCs/>
        <w:noProof/>
        <w:sz w:val="28"/>
        <w:szCs w:val="28"/>
      </w:rPr>
      <w:drawing>
        <wp:inline distT="0" distB="0" distL="0" distR="0" wp14:anchorId="286AD4E7" wp14:editId="3D104B5B">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44FF" w14:textId="299EC6F8" w:rsidR="00150D98" w:rsidRDefault="005C5E78" w:rsidP="005C5E7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D6AA680" wp14:editId="6F824028">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C7CC869" w:rsidR="00753C53" w:rsidRPr="00E56264" w:rsidRDefault="003102C3" w:rsidP="00753C5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3056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753C53" w:rsidRDefault="00753C53" w:rsidP="00753C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0ADCC9AD" w:rsidR="00753C53" w:rsidRDefault="0093281F" w:rsidP="0093281F">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30563">
      <w:rPr>
        <w:noProof/>
      </w:rPr>
      <w:t>Jun-23</w:t>
    </w:r>
    <w:r w:rsidRPr="00E56264">
      <w:fldChar w:fldCharType="end"/>
    </w:r>
    <w:r>
      <w:ptab w:relativeTo="margin" w:alignment="right" w:leader="none"/>
    </w:r>
    <w:r>
      <w:rPr>
        <w:b/>
        <w:bCs/>
        <w:noProof/>
        <w:sz w:val="28"/>
        <w:szCs w:val="28"/>
      </w:rPr>
      <w:drawing>
        <wp:inline distT="0" distB="0" distL="0" distR="0" wp14:anchorId="2DEDEED8" wp14:editId="1BF0A82B">
          <wp:extent cx="561975" cy="196038"/>
          <wp:effectExtent l="0" t="0" r="0" b="0"/>
          <wp:docPr id="7" name="Picture 7">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753C53" w:rsidRDefault="00753C53" w:rsidP="00753C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9FE9" w14:textId="75734BC5" w:rsidR="0093281F" w:rsidRDefault="0093281F" w:rsidP="0093281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9502" w14:textId="77777777" w:rsidR="00216F96" w:rsidRDefault="00216F96">
      <w:r>
        <w:separator/>
      </w:r>
    </w:p>
    <w:p w14:paraId="459A31B0" w14:textId="77777777" w:rsidR="00216F96" w:rsidRDefault="00216F96"/>
  </w:footnote>
  <w:footnote w:type="continuationSeparator" w:id="0">
    <w:p w14:paraId="54AB02A6" w14:textId="77777777" w:rsidR="00216F96" w:rsidRDefault="00216F96">
      <w:r>
        <w:continuationSeparator/>
      </w:r>
    </w:p>
    <w:p w14:paraId="3F916E3A" w14:textId="77777777" w:rsidR="00216F96" w:rsidRDefault="00216F96"/>
  </w:footnote>
  <w:footnote w:type="continuationNotice" w:id="1">
    <w:p w14:paraId="7AA8618F" w14:textId="77777777" w:rsidR="00216F96" w:rsidRDefault="00216F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0603FCE3" w:rsidR="003102C3" w:rsidRDefault="003102C3" w:rsidP="002D6EED">
    <w:pPr>
      <w:pStyle w:val="Documentname"/>
    </w:pPr>
    <w:r w:rsidRPr="009D6697">
      <w:ptab w:relativeTo="margin" w:alignment="right" w:leader="none"/>
    </w:r>
    <w:r w:rsidR="000A6918">
      <w:t xml:space="preserve">Mathematics Stage 4 </w:t>
    </w:r>
    <w:r w:rsidR="007E3B5E">
      <w:t xml:space="preserve">– </w:t>
    </w:r>
    <w:r w:rsidR="000A4D86">
      <w:t>Fractions</w:t>
    </w:r>
    <w:r w:rsidR="005A50DA">
      <w:t xml:space="preserve"> and decimals</w:t>
    </w:r>
    <w:r w:rsidR="000A4D86">
      <w:t xml:space="preserve"> and percentages</w:t>
    </w:r>
    <w:r w:rsidR="005A50DA">
      <w:t xml:space="preserve"> </w:t>
    </w:r>
    <w:r w:rsidR="007E3B5E">
      <w:t xml:space="preserve">– </w:t>
    </w:r>
    <w:r w:rsidR="000A4D86">
      <w:t>oh my!</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20D0" w14:textId="318BFF7D" w:rsidR="00FA1F26" w:rsidRDefault="0093281F" w:rsidP="003102C3">
    <w:pPr>
      <w:pStyle w:val="Footer"/>
      <w:spacing w:before="0" w:after="240"/>
    </w:pPr>
    <w:r w:rsidRPr="009D6697">
      <w:ptab w:relativeTo="margin" w:alignment="right" w:leader="none"/>
    </w:r>
    <w:r>
      <w:t xml:space="preserve">Mathematics Stage 4 – </w:t>
    </w:r>
    <w:r w:rsidR="00BB24C4">
      <w:t>Fractions</w:t>
    </w:r>
    <w:r w:rsidR="00FB4ACF">
      <w:t xml:space="preserve"> and</w:t>
    </w:r>
    <w:r w:rsidR="00BB24C4">
      <w:t xml:space="preserve"> decimals and percentages</w:t>
    </w:r>
    <w:r w:rsidR="00FB4ACF">
      <w:t xml:space="preserve"> –</w:t>
    </w:r>
    <w:r w:rsidR="00BB24C4">
      <w:t xml:space="preserve">oh my! </w:t>
    </w:r>
    <w:r>
      <w:t xml:space="preserve">| </w:t>
    </w:r>
    <w:r w:rsidRPr="009D6697">
      <w:fldChar w:fldCharType="begin"/>
    </w:r>
    <w:r w:rsidRPr="009D6697">
      <w:instrText xml:space="preserve"> PAGE   \* MERGEFORMAT </w:instrText>
    </w:r>
    <w:r w:rsidRPr="009D6697">
      <w:fldChar w:fldCharType="separate"/>
    </w:r>
    <w:r>
      <w:t>13</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3975" w14:textId="40E63985" w:rsidR="0093281F" w:rsidRDefault="0093281F" w:rsidP="003102C3">
    <w:pPr>
      <w:pStyle w:val="Footer"/>
      <w:spacing w:before="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532751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E463E5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326F0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136D3F"/>
    <w:multiLevelType w:val="hybridMultilevel"/>
    <w:tmpl w:val="D0AE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4776390">
    <w:abstractNumId w:val="7"/>
  </w:num>
  <w:num w:numId="2" w16cid:durableId="334848040">
    <w:abstractNumId w:val="5"/>
  </w:num>
  <w:num w:numId="3" w16cid:durableId="175270668">
    <w:abstractNumId w:val="5"/>
  </w:num>
  <w:num w:numId="4" w16cid:durableId="730810984">
    <w:abstractNumId w:val="3"/>
  </w:num>
  <w:num w:numId="5" w16cid:durableId="175828682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9"/>
  </w:num>
  <w:num w:numId="7" w16cid:durableId="778531806">
    <w:abstractNumId w:val="4"/>
  </w:num>
  <w:num w:numId="8" w16cid:durableId="1694382681">
    <w:abstractNumId w:val="3"/>
  </w:num>
  <w:num w:numId="9" w16cid:durableId="318657095">
    <w:abstractNumId w:val="2"/>
  </w:num>
  <w:num w:numId="10" w16cid:durableId="1732580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768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821967">
    <w:abstractNumId w:val="1"/>
  </w:num>
  <w:num w:numId="13" w16cid:durableId="442379802">
    <w:abstractNumId w:val="1"/>
  </w:num>
  <w:num w:numId="14" w16cid:durableId="1198665149">
    <w:abstractNumId w:val="1"/>
  </w:num>
  <w:num w:numId="15" w16cid:durableId="1106846227">
    <w:abstractNumId w:val="1"/>
  </w:num>
  <w:num w:numId="16" w16cid:durableId="18147162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7610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454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8904978">
    <w:abstractNumId w:val="1"/>
  </w:num>
  <w:num w:numId="20" w16cid:durableId="315500584">
    <w:abstractNumId w:val="0"/>
  </w:num>
  <w:num w:numId="21" w16cid:durableId="1379167640">
    <w:abstractNumId w:val="1"/>
  </w:num>
  <w:num w:numId="22" w16cid:durableId="1083910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4801498">
    <w:abstractNumId w:val="1"/>
  </w:num>
  <w:num w:numId="24" w16cid:durableId="503083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9442733">
    <w:abstractNumId w:val="1"/>
  </w:num>
  <w:num w:numId="26" w16cid:durableId="838468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4580700">
    <w:abstractNumId w:val="0"/>
  </w:num>
  <w:num w:numId="28" w16cid:durableId="1032266408">
    <w:abstractNumId w:val="1"/>
  </w:num>
  <w:num w:numId="29" w16cid:durableId="1903371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7006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837458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330986262">
    <w:abstractNumId w:val="3"/>
  </w:num>
  <w:num w:numId="33" w16cid:durableId="1800493353">
    <w:abstractNumId w:val="9"/>
  </w:num>
  <w:num w:numId="34" w16cid:durableId="811755166">
    <w:abstractNumId w:val="4"/>
  </w:num>
  <w:num w:numId="35" w16cid:durableId="2089838906">
    <w:abstractNumId w:val="3"/>
  </w:num>
  <w:num w:numId="36" w16cid:durableId="33233763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777674345">
    <w:abstractNumId w:val="3"/>
  </w:num>
  <w:num w:numId="38" w16cid:durableId="241257005">
    <w:abstractNumId w:val="9"/>
  </w:num>
  <w:num w:numId="39" w16cid:durableId="1383023595">
    <w:abstractNumId w:val="4"/>
  </w:num>
  <w:num w:numId="40" w16cid:durableId="1624535471">
    <w:abstractNumId w:val="3"/>
  </w:num>
  <w:num w:numId="41" w16cid:durableId="89276669">
    <w:abstractNumId w:val="8"/>
  </w:num>
  <w:num w:numId="42" w16cid:durableId="959049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700"/>
    <w:rsid w:val="00001945"/>
    <w:rsid w:val="00001C08"/>
    <w:rsid w:val="00002BF1"/>
    <w:rsid w:val="00004461"/>
    <w:rsid w:val="000054D9"/>
    <w:rsid w:val="00006220"/>
    <w:rsid w:val="00006CD7"/>
    <w:rsid w:val="00007992"/>
    <w:rsid w:val="000103FC"/>
    <w:rsid w:val="00010746"/>
    <w:rsid w:val="000138CC"/>
    <w:rsid w:val="000143DF"/>
    <w:rsid w:val="000151F8"/>
    <w:rsid w:val="00015D43"/>
    <w:rsid w:val="00016801"/>
    <w:rsid w:val="00021171"/>
    <w:rsid w:val="00022914"/>
    <w:rsid w:val="00023790"/>
    <w:rsid w:val="00024602"/>
    <w:rsid w:val="000252FF"/>
    <w:rsid w:val="000253AE"/>
    <w:rsid w:val="00025EBF"/>
    <w:rsid w:val="00030EBC"/>
    <w:rsid w:val="000324B3"/>
    <w:rsid w:val="000331B6"/>
    <w:rsid w:val="000338F5"/>
    <w:rsid w:val="00034F5E"/>
    <w:rsid w:val="0003541F"/>
    <w:rsid w:val="00036413"/>
    <w:rsid w:val="00040BF3"/>
    <w:rsid w:val="000423E3"/>
    <w:rsid w:val="0004292D"/>
    <w:rsid w:val="00042D30"/>
    <w:rsid w:val="00043371"/>
    <w:rsid w:val="00043FA0"/>
    <w:rsid w:val="00044C5D"/>
    <w:rsid w:val="00044D23"/>
    <w:rsid w:val="00044EAD"/>
    <w:rsid w:val="00045D82"/>
    <w:rsid w:val="00046473"/>
    <w:rsid w:val="000470B7"/>
    <w:rsid w:val="000500EE"/>
    <w:rsid w:val="0005069B"/>
    <w:rsid w:val="000507E6"/>
    <w:rsid w:val="00051390"/>
    <w:rsid w:val="0005163D"/>
    <w:rsid w:val="00051BC4"/>
    <w:rsid w:val="00051BF0"/>
    <w:rsid w:val="000534F4"/>
    <w:rsid w:val="000535B7"/>
    <w:rsid w:val="00053726"/>
    <w:rsid w:val="000548BF"/>
    <w:rsid w:val="00054B05"/>
    <w:rsid w:val="000562A7"/>
    <w:rsid w:val="000564F8"/>
    <w:rsid w:val="00057376"/>
    <w:rsid w:val="00057BC8"/>
    <w:rsid w:val="00057FA4"/>
    <w:rsid w:val="000604B9"/>
    <w:rsid w:val="00061232"/>
    <w:rsid w:val="000613C4"/>
    <w:rsid w:val="0006142A"/>
    <w:rsid w:val="000620E8"/>
    <w:rsid w:val="00062708"/>
    <w:rsid w:val="0006421C"/>
    <w:rsid w:val="00065A16"/>
    <w:rsid w:val="0006611E"/>
    <w:rsid w:val="000703C5"/>
    <w:rsid w:val="00070416"/>
    <w:rsid w:val="0007120D"/>
    <w:rsid w:val="00071310"/>
    <w:rsid w:val="00071D06"/>
    <w:rsid w:val="0007214A"/>
    <w:rsid w:val="00072B6E"/>
    <w:rsid w:val="00072DFB"/>
    <w:rsid w:val="00075B4E"/>
    <w:rsid w:val="00077A7C"/>
    <w:rsid w:val="00077EAF"/>
    <w:rsid w:val="00082E53"/>
    <w:rsid w:val="000844F9"/>
    <w:rsid w:val="00084628"/>
    <w:rsid w:val="00084830"/>
    <w:rsid w:val="00085A29"/>
    <w:rsid w:val="0008606A"/>
    <w:rsid w:val="000862F1"/>
    <w:rsid w:val="00086656"/>
    <w:rsid w:val="00086734"/>
    <w:rsid w:val="00086D87"/>
    <w:rsid w:val="000872D6"/>
    <w:rsid w:val="00090628"/>
    <w:rsid w:val="00090FA3"/>
    <w:rsid w:val="00091443"/>
    <w:rsid w:val="000919BC"/>
    <w:rsid w:val="00092F78"/>
    <w:rsid w:val="0009452F"/>
    <w:rsid w:val="000946D2"/>
    <w:rsid w:val="00096701"/>
    <w:rsid w:val="00096FE2"/>
    <w:rsid w:val="000A0C05"/>
    <w:rsid w:val="000A33D4"/>
    <w:rsid w:val="000A41E7"/>
    <w:rsid w:val="000A451E"/>
    <w:rsid w:val="000A4D86"/>
    <w:rsid w:val="000A6918"/>
    <w:rsid w:val="000A6D4F"/>
    <w:rsid w:val="000A796C"/>
    <w:rsid w:val="000A7A61"/>
    <w:rsid w:val="000A7B41"/>
    <w:rsid w:val="000B09C8"/>
    <w:rsid w:val="000B1FC2"/>
    <w:rsid w:val="000B2801"/>
    <w:rsid w:val="000B2886"/>
    <w:rsid w:val="000B30E1"/>
    <w:rsid w:val="000B3279"/>
    <w:rsid w:val="000B4F65"/>
    <w:rsid w:val="000B51D8"/>
    <w:rsid w:val="000B70DD"/>
    <w:rsid w:val="000B75CB"/>
    <w:rsid w:val="000B7D49"/>
    <w:rsid w:val="000C07B7"/>
    <w:rsid w:val="000C08DE"/>
    <w:rsid w:val="000C0FB5"/>
    <w:rsid w:val="000C1078"/>
    <w:rsid w:val="000C16A7"/>
    <w:rsid w:val="000C1BCD"/>
    <w:rsid w:val="000C250C"/>
    <w:rsid w:val="000C3303"/>
    <w:rsid w:val="000C3618"/>
    <w:rsid w:val="000C3704"/>
    <w:rsid w:val="000C43DF"/>
    <w:rsid w:val="000C575E"/>
    <w:rsid w:val="000C61FB"/>
    <w:rsid w:val="000C6F89"/>
    <w:rsid w:val="000C7D4F"/>
    <w:rsid w:val="000D2063"/>
    <w:rsid w:val="000D24EC"/>
    <w:rsid w:val="000D2C3A"/>
    <w:rsid w:val="000D48A8"/>
    <w:rsid w:val="000D48AA"/>
    <w:rsid w:val="000D4B5A"/>
    <w:rsid w:val="000D55B1"/>
    <w:rsid w:val="000D64D8"/>
    <w:rsid w:val="000D6FBB"/>
    <w:rsid w:val="000D77B7"/>
    <w:rsid w:val="000E03E5"/>
    <w:rsid w:val="000E06F7"/>
    <w:rsid w:val="000E1EBB"/>
    <w:rsid w:val="000E2949"/>
    <w:rsid w:val="000E3800"/>
    <w:rsid w:val="000E3C1C"/>
    <w:rsid w:val="000E41B7"/>
    <w:rsid w:val="000E6BA0"/>
    <w:rsid w:val="000F0A84"/>
    <w:rsid w:val="000F174A"/>
    <w:rsid w:val="000F2606"/>
    <w:rsid w:val="000F2824"/>
    <w:rsid w:val="000F3C0D"/>
    <w:rsid w:val="000F4869"/>
    <w:rsid w:val="000F59A7"/>
    <w:rsid w:val="000F7960"/>
    <w:rsid w:val="00100B59"/>
    <w:rsid w:val="00100DC5"/>
    <w:rsid w:val="00100E27"/>
    <w:rsid w:val="00100E5A"/>
    <w:rsid w:val="00101135"/>
    <w:rsid w:val="0010259B"/>
    <w:rsid w:val="00102D25"/>
    <w:rsid w:val="00103D80"/>
    <w:rsid w:val="00104A05"/>
    <w:rsid w:val="00106009"/>
    <w:rsid w:val="001061F9"/>
    <w:rsid w:val="00106643"/>
    <w:rsid w:val="001068B3"/>
    <w:rsid w:val="00106A3B"/>
    <w:rsid w:val="001113CC"/>
    <w:rsid w:val="00113727"/>
    <w:rsid w:val="00113763"/>
    <w:rsid w:val="00114B7D"/>
    <w:rsid w:val="0011697A"/>
    <w:rsid w:val="001177C4"/>
    <w:rsid w:val="00117B7D"/>
    <w:rsid w:val="00117FF3"/>
    <w:rsid w:val="0012093E"/>
    <w:rsid w:val="001231F0"/>
    <w:rsid w:val="0012359F"/>
    <w:rsid w:val="00125C6C"/>
    <w:rsid w:val="00125F57"/>
    <w:rsid w:val="00127648"/>
    <w:rsid w:val="0013032B"/>
    <w:rsid w:val="001305EA"/>
    <w:rsid w:val="00130B61"/>
    <w:rsid w:val="001324C3"/>
    <w:rsid w:val="001328FA"/>
    <w:rsid w:val="0013419A"/>
    <w:rsid w:val="00134700"/>
    <w:rsid w:val="00134E23"/>
    <w:rsid w:val="0013568E"/>
    <w:rsid w:val="00135E80"/>
    <w:rsid w:val="00137BAA"/>
    <w:rsid w:val="00140753"/>
    <w:rsid w:val="00140ACE"/>
    <w:rsid w:val="00140CA3"/>
    <w:rsid w:val="0014131B"/>
    <w:rsid w:val="001417FA"/>
    <w:rsid w:val="00141AFE"/>
    <w:rsid w:val="0014239C"/>
    <w:rsid w:val="00143921"/>
    <w:rsid w:val="0014664C"/>
    <w:rsid w:val="00146EBE"/>
    <w:rsid w:val="00146F04"/>
    <w:rsid w:val="00147E93"/>
    <w:rsid w:val="001501F8"/>
    <w:rsid w:val="00150D98"/>
    <w:rsid w:val="00150EBC"/>
    <w:rsid w:val="001520B0"/>
    <w:rsid w:val="00153E8B"/>
    <w:rsid w:val="0015446A"/>
    <w:rsid w:val="001545D4"/>
    <w:rsid w:val="0015487C"/>
    <w:rsid w:val="00154EE4"/>
    <w:rsid w:val="00155144"/>
    <w:rsid w:val="001554E5"/>
    <w:rsid w:val="00156956"/>
    <w:rsid w:val="0015712E"/>
    <w:rsid w:val="00161A3D"/>
    <w:rsid w:val="00162C3A"/>
    <w:rsid w:val="00165B83"/>
    <w:rsid w:val="00165FF0"/>
    <w:rsid w:val="00167251"/>
    <w:rsid w:val="00167A83"/>
    <w:rsid w:val="0017075C"/>
    <w:rsid w:val="00170CB5"/>
    <w:rsid w:val="0017142F"/>
    <w:rsid w:val="00171601"/>
    <w:rsid w:val="00172EC4"/>
    <w:rsid w:val="00174183"/>
    <w:rsid w:val="00174DFA"/>
    <w:rsid w:val="00176C65"/>
    <w:rsid w:val="0018036C"/>
    <w:rsid w:val="00180A15"/>
    <w:rsid w:val="001810F4"/>
    <w:rsid w:val="00181128"/>
    <w:rsid w:val="0018179E"/>
    <w:rsid w:val="00182525"/>
    <w:rsid w:val="00182B46"/>
    <w:rsid w:val="001839C3"/>
    <w:rsid w:val="00183B80"/>
    <w:rsid w:val="00183DB2"/>
    <w:rsid w:val="00183E9C"/>
    <w:rsid w:val="001841F1"/>
    <w:rsid w:val="0018571A"/>
    <w:rsid w:val="001859B6"/>
    <w:rsid w:val="00185A5E"/>
    <w:rsid w:val="00187FFC"/>
    <w:rsid w:val="00191D2F"/>
    <w:rsid w:val="00191F45"/>
    <w:rsid w:val="00192E10"/>
    <w:rsid w:val="00193503"/>
    <w:rsid w:val="001939CA"/>
    <w:rsid w:val="00193B82"/>
    <w:rsid w:val="0019600C"/>
    <w:rsid w:val="00196CF1"/>
    <w:rsid w:val="00197B41"/>
    <w:rsid w:val="00197E3B"/>
    <w:rsid w:val="001A03EA"/>
    <w:rsid w:val="001A04E4"/>
    <w:rsid w:val="001A0AF7"/>
    <w:rsid w:val="001A1B04"/>
    <w:rsid w:val="001A25AF"/>
    <w:rsid w:val="001A3627"/>
    <w:rsid w:val="001A3F6B"/>
    <w:rsid w:val="001A6EF1"/>
    <w:rsid w:val="001A799F"/>
    <w:rsid w:val="001B3065"/>
    <w:rsid w:val="001B33C0"/>
    <w:rsid w:val="001B34F7"/>
    <w:rsid w:val="001B43DC"/>
    <w:rsid w:val="001B4A46"/>
    <w:rsid w:val="001B5E34"/>
    <w:rsid w:val="001B68DA"/>
    <w:rsid w:val="001C2860"/>
    <w:rsid w:val="001C2997"/>
    <w:rsid w:val="001C4DB7"/>
    <w:rsid w:val="001C53F4"/>
    <w:rsid w:val="001C6C9B"/>
    <w:rsid w:val="001C7DB0"/>
    <w:rsid w:val="001D10B2"/>
    <w:rsid w:val="001D1E38"/>
    <w:rsid w:val="001D3092"/>
    <w:rsid w:val="001D4CD1"/>
    <w:rsid w:val="001D5BA2"/>
    <w:rsid w:val="001D63C9"/>
    <w:rsid w:val="001D666F"/>
    <w:rsid w:val="001D66C2"/>
    <w:rsid w:val="001D6877"/>
    <w:rsid w:val="001E0FFC"/>
    <w:rsid w:val="001E1F93"/>
    <w:rsid w:val="001E24CF"/>
    <w:rsid w:val="001E3097"/>
    <w:rsid w:val="001E4B06"/>
    <w:rsid w:val="001E5F98"/>
    <w:rsid w:val="001E7AF5"/>
    <w:rsid w:val="001F01F4"/>
    <w:rsid w:val="001F0F26"/>
    <w:rsid w:val="001F19BF"/>
    <w:rsid w:val="001F2232"/>
    <w:rsid w:val="001F3A52"/>
    <w:rsid w:val="001F5B7B"/>
    <w:rsid w:val="001F64BE"/>
    <w:rsid w:val="001F6D7B"/>
    <w:rsid w:val="001F7070"/>
    <w:rsid w:val="001F7807"/>
    <w:rsid w:val="002007C8"/>
    <w:rsid w:val="00200AD3"/>
    <w:rsid w:val="00200EF2"/>
    <w:rsid w:val="002016B9"/>
    <w:rsid w:val="00201825"/>
    <w:rsid w:val="00201C5B"/>
    <w:rsid w:val="00201CB2"/>
    <w:rsid w:val="00202266"/>
    <w:rsid w:val="00202563"/>
    <w:rsid w:val="002046F7"/>
    <w:rsid w:val="0020478D"/>
    <w:rsid w:val="002054D0"/>
    <w:rsid w:val="00206EFD"/>
    <w:rsid w:val="0020756A"/>
    <w:rsid w:val="00210D95"/>
    <w:rsid w:val="00212B5D"/>
    <w:rsid w:val="002136B3"/>
    <w:rsid w:val="0021465F"/>
    <w:rsid w:val="002155BD"/>
    <w:rsid w:val="00215F2E"/>
    <w:rsid w:val="0021660A"/>
    <w:rsid w:val="00216957"/>
    <w:rsid w:val="00216F96"/>
    <w:rsid w:val="00217731"/>
    <w:rsid w:val="00217AE6"/>
    <w:rsid w:val="00220B90"/>
    <w:rsid w:val="00220F5D"/>
    <w:rsid w:val="00221777"/>
    <w:rsid w:val="00221998"/>
    <w:rsid w:val="00221E1A"/>
    <w:rsid w:val="00221F4B"/>
    <w:rsid w:val="002228E3"/>
    <w:rsid w:val="00224261"/>
    <w:rsid w:val="00224B16"/>
    <w:rsid w:val="00224D61"/>
    <w:rsid w:val="002265BD"/>
    <w:rsid w:val="002270CC"/>
    <w:rsid w:val="00227421"/>
    <w:rsid w:val="00227894"/>
    <w:rsid w:val="0022791F"/>
    <w:rsid w:val="00227C15"/>
    <w:rsid w:val="00231E53"/>
    <w:rsid w:val="00233A08"/>
    <w:rsid w:val="00234830"/>
    <w:rsid w:val="002364A1"/>
    <w:rsid w:val="002368C7"/>
    <w:rsid w:val="00236DDB"/>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18B"/>
    <w:rsid w:val="00251349"/>
    <w:rsid w:val="00252C21"/>
    <w:rsid w:val="00253532"/>
    <w:rsid w:val="002540D3"/>
    <w:rsid w:val="002546FC"/>
    <w:rsid w:val="00254B2A"/>
    <w:rsid w:val="0025504B"/>
    <w:rsid w:val="0025547F"/>
    <w:rsid w:val="002556DB"/>
    <w:rsid w:val="00256D4F"/>
    <w:rsid w:val="00260EE8"/>
    <w:rsid w:val="00260F28"/>
    <w:rsid w:val="0026131D"/>
    <w:rsid w:val="00263542"/>
    <w:rsid w:val="002637A6"/>
    <w:rsid w:val="00263809"/>
    <w:rsid w:val="00264919"/>
    <w:rsid w:val="00266272"/>
    <w:rsid w:val="00266738"/>
    <w:rsid w:val="0026691A"/>
    <w:rsid w:val="00266CDE"/>
    <w:rsid w:val="00266D0C"/>
    <w:rsid w:val="002671E8"/>
    <w:rsid w:val="00270C02"/>
    <w:rsid w:val="002717AE"/>
    <w:rsid w:val="00272065"/>
    <w:rsid w:val="00272D3B"/>
    <w:rsid w:val="00273F94"/>
    <w:rsid w:val="002760B7"/>
    <w:rsid w:val="0027707D"/>
    <w:rsid w:val="00280058"/>
    <w:rsid w:val="00280B14"/>
    <w:rsid w:val="002810D3"/>
    <w:rsid w:val="002827A5"/>
    <w:rsid w:val="002847AE"/>
    <w:rsid w:val="002870F2"/>
    <w:rsid w:val="002874DF"/>
    <w:rsid w:val="00287650"/>
    <w:rsid w:val="00287796"/>
    <w:rsid w:val="0029008E"/>
    <w:rsid w:val="00290154"/>
    <w:rsid w:val="00294F88"/>
    <w:rsid w:val="00294FCC"/>
    <w:rsid w:val="00295516"/>
    <w:rsid w:val="00295906"/>
    <w:rsid w:val="0029605E"/>
    <w:rsid w:val="0029733C"/>
    <w:rsid w:val="002A0D7D"/>
    <w:rsid w:val="002A10A1"/>
    <w:rsid w:val="002A12C5"/>
    <w:rsid w:val="002A3161"/>
    <w:rsid w:val="002A3410"/>
    <w:rsid w:val="002A44D1"/>
    <w:rsid w:val="002A4631"/>
    <w:rsid w:val="002A5BA6"/>
    <w:rsid w:val="002A6EA6"/>
    <w:rsid w:val="002B047E"/>
    <w:rsid w:val="002B108B"/>
    <w:rsid w:val="002B12DE"/>
    <w:rsid w:val="002B270D"/>
    <w:rsid w:val="002B2FF4"/>
    <w:rsid w:val="002B3375"/>
    <w:rsid w:val="002B4745"/>
    <w:rsid w:val="002B47AD"/>
    <w:rsid w:val="002B480D"/>
    <w:rsid w:val="002B4845"/>
    <w:rsid w:val="002B4AC3"/>
    <w:rsid w:val="002B7744"/>
    <w:rsid w:val="002C05AC"/>
    <w:rsid w:val="002C05B3"/>
    <w:rsid w:val="002C092F"/>
    <w:rsid w:val="002C136F"/>
    <w:rsid w:val="002C3953"/>
    <w:rsid w:val="002C4194"/>
    <w:rsid w:val="002C56A0"/>
    <w:rsid w:val="002C7496"/>
    <w:rsid w:val="002D07A1"/>
    <w:rsid w:val="002D12FF"/>
    <w:rsid w:val="002D21A5"/>
    <w:rsid w:val="002D27E9"/>
    <w:rsid w:val="002D305F"/>
    <w:rsid w:val="002D3838"/>
    <w:rsid w:val="002D4413"/>
    <w:rsid w:val="002D6EED"/>
    <w:rsid w:val="002D7247"/>
    <w:rsid w:val="002E052C"/>
    <w:rsid w:val="002E08DF"/>
    <w:rsid w:val="002E23E3"/>
    <w:rsid w:val="002E24EC"/>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21D1"/>
    <w:rsid w:val="002F3A6D"/>
    <w:rsid w:val="002F4EBA"/>
    <w:rsid w:val="002F5C99"/>
    <w:rsid w:val="002F5F7D"/>
    <w:rsid w:val="002F7438"/>
    <w:rsid w:val="002F749C"/>
    <w:rsid w:val="00300332"/>
    <w:rsid w:val="00302CC3"/>
    <w:rsid w:val="003037D8"/>
    <w:rsid w:val="00303813"/>
    <w:rsid w:val="00303CF2"/>
    <w:rsid w:val="003055E2"/>
    <w:rsid w:val="00305E3D"/>
    <w:rsid w:val="00306793"/>
    <w:rsid w:val="00306F73"/>
    <w:rsid w:val="0031009B"/>
    <w:rsid w:val="003102C3"/>
    <w:rsid w:val="00310348"/>
    <w:rsid w:val="00310EE6"/>
    <w:rsid w:val="00311628"/>
    <w:rsid w:val="00311860"/>
    <w:rsid w:val="00311E73"/>
    <w:rsid w:val="0031221D"/>
    <w:rsid w:val="003123F7"/>
    <w:rsid w:val="00314330"/>
    <w:rsid w:val="00314A01"/>
    <w:rsid w:val="00314B9D"/>
    <w:rsid w:val="00314DD8"/>
    <w:rsid w:val="003155A3"/>
    <w:rsid w:val="00315B35"/>
    <w:rsid w:val="00316A7F"/>
    <w:rsid w:val="00317B24"/>
    <w:rsid w:val="00317D8E"/>
    <w:rsid w:val="00317E11"/>
    <w:rsid w:val="00317E8F"/>
    <w:rsid w:val="00320752"/>
    <w:rsid w:val="003209E8"/>
    <w:rsid w:val="003211F4"/>
    <w:rsid w:val="0032193F"/>
    <w:rsid w:val="00322186"/>
    <w:rsid w:val="00322962"/>
    <w:rsid w:val="0032307C"/>
    <w:rsid w:val="0032403E"/>
    <w:rsid w:val="00324D73"/>
    <w:rsid w:val="00325B7B"/>
    <w:rsid w:val="00326C9B"/>
    <w:rsid w:val="0033193C"/>
    <w:rsid w:val="00332B30"/>
    <w:rsid w:val="00333278"/>
    <w:rsid w:val="003336CE"/>
    <w:rsid w:val="00334EE8"/>
    <w:rsid w:val="0033532B"/>
    <w:rsid w:val="00336799"/>
    <w:rsid w:val="0033685E"/>
    <w:rsid w:val="00337929"/>
    <w:rsid w:val="00337AD4"/>
    <w:rsid w:val="00340003"/>
    <w:rsid w:val="003429B7"/>
    <w:rsid w:val="00342B92"/>
    <w:rsid w:val="003432D8"/>
    <w:rsid w:val="00343AFC"/>
    <w:rsid w:val="00343B23"/>
    <w:rsid w:val="003444A9"/>
    <w:rsid w:val="003445F2"/>
    <w:rsid w:val="00345EB0"/>
    <w:rsid w:val="00346954"/>
    <w:rsid w:val="0034764B"/>
    <w:rsid w:val="0034780A"/>
    <w:rsid w:val="00347BFE"/>
    <w:rsid w:val="00347CBE"/>
    <w:rsid w:val="003503AC"/>
    <w:rsid w:val="00351516"/>
    <w:rsid w:val="00352686"/>
    <w:rsid w:val="003534AD"/>
    <w:rsid w:val="003563B7"/>
    <w:rsid w:val="0035674C"/>
    <w:rsid w:val="00357136"/>
    <w:rsid w:val="003576EB"/>
    <w:rsid w:val="00360C67"/>
    <w:rsid w:val="00360E65"/>
    <w:rsid w:val="00362DCB"/>
    <w:rsid w:val="0036308C"/>
    <w:rsid w:val="00363E8F"/>
    <w:rsid w:val="003645EC"/>
    <w:rsid w:val="00365118"/>
    <w:rsid w:val="00365968"/>
    <w:rsid w:val="00366467"/>
    <w:rsid w:val="00367331"/>
    <w:rsid w:val="003674B8"/>
    <w:rsid w:val="00367B4A"/>
    <w:rsid w:val="00370563"/>
    <w:rsid w:val="0037088C"/>
    <w:rsid w:val="003713D2"/>
    <w:rsid w:val="00371AF4"/>
    <w:rsid w:val="00372A4F"/>
    <w:rsid w:val="00372B9F"/>
    <w:rsid w:val="00373265"/>
    <w:rsid w:val="0037384B"/>
    <w:rsid w:val="00373892"/>
    <w:rsid w:val="003743CE"/>
    <w:rsid w:val="003756A0"/>
    <w:rsid w:val="00375A10"/>
    <w:rsid w:val="00377B36"/>
    <w:rsid w:val="003807AF"/>
    <w:rsid w:val="00380856"/>
    <w:rsid w:val="00380E60"/>
    <w:rsid w:val="00380EAE"/>
    <w:rsid w:val="0038198C"/>
    <w:rsid w:val="003819C3"/>
    <w:rsid w:val="00382A6F"/>
    <w:rsid w:val="00382C57"/>
    <w:rsid w:val="00382EFA"/>
    <w:rsid w:val="00383B5F"/>
    <w:rsid w:val="00384483"/>
    <w:rsid w:val="0038499A"/>
    <w:rsid w:val="00384F53"/>
    <w:rsid w:val="00386D58"/>
    <w:rsid w:val="00387053"/>
    <w:rsid w:val="00393830"/>
    <w:rsid w:val="00395451"/>
    <w:rsid w:val="00395633"/>
    <w:rsid w:val="00395716"/>
    <w:rsid w:val="00395EB2"/>
    <w:rsid w:val="00396B0E"/>
    <w:rsid w:val="0039766F"/>
    <w:rsid w:val="003A01C8"/>
    <w:rsid w:val="003A1238"/>
    <w:rsid w:val="003A1743"/>
    <w:rsid w:val="003A1937"/>
    <w:rsid w:val="003A34C6"/>
    <w:rsid w:val="003A43B0"/>
    <w:rsid w:val="003A4F65"/>
    <w:rsid w:val="003A5964"/>
    <w:rsid w:val="003A5E30"/>
    <w:rsid w:val="003A5ECB"/>
    <w:rsid w:val="003A6344"/>
    <w:rsid w:val="003A6624"/>
    <w:rsid w:val="003A695D"/>
    <w:rsid w:val="003A6A25"/>
    <w:rsid w:val="003A6F6B"/>
    <w:rsid w:val="003B12D7"/>
    <w:rsid w:val="003B225F"/>
    <w:rsid w:val="003B2E1A"/>
    <w:rsid w:val="003B3CB0"/>
    <w:rsid w:val="003B6569"/>
    <w:rsid w:val="003B7BBB"/>
    <w:rsid w:val="003C0FB3"/>
    <w:rsid w:val="003C3990"/>
    <w:rsid w:val="003C434B"/>
    <w:rsid w:val="003C489D"/>
    <w:rsid w:val="003C53D9"/>
    <w:rsid w:val="003C54B8"/>
    <w:rsid w:val="003C5BDD"/>
    <w:rsid w:val="003C687F"/>
    <w:rsid w:val="003C723C"/>
    <w:rsid w:val="003C76E8"/>
    <w:rsid w:val="003D0F7F"/>
    <w:rsid w:val="003D1FA6"/>
    <w:rsid w:val="003D3CF0"/>
    <w:rsid w:val="003D4BF1"/>
    <w:rsid w:val="003D53BF"/>
    <w:rsid w:val="003D5425"/>
    <w:rsid w:val="003D5665"/>
    <w:rsid w:val="003D6445"/>
    <w:rsid w:val="003D6797"/>
    <w:rsid w:val="003D779D"/>
    <w:rsid w:val="003D7846"/>
    <w:rsid w:val="003D78A2"/>
    <w:rsid w:val="003D79CE"/>
    <w:rsid w:val="003E03FD"/>
    <w:rsid w:val="003E15EE"/>
    <w:rsid w:val="003E27A2"/>
    <w:rsid w:val="003E314F"/>
    <w:rsid w:val="003E3852"/>
    <w:rsid w:val="003E5A67"/>
    <w:rsid w:val="003E6AE0"/>
    <w:rsid w:val="003F0971"/>
    <w:rsid w:val="003F0D57"/>
    <w:rsid w:val="003F28DA"/>
    <w:rsid w:val="003F2C2F"/>
    <w:rsid w:val="003F35B8"/>
    <w:rsid w:val="003F3F97"/>
    <w:rsid w:val="003F42CF"/>
    <w:rsid w:val="003F4EA0"/>
    <w:rsid w:val="003F638C"/>
    <w:rsid w:val="003F66AD"/>
    <w:rsid w:val="003F69BE"/>
    <w:rsid w:val="003F6F7B"/>
    <w:rsid w:val="003F7D20"/>
    <w:rsid w:val="0040076C"/>
    <w:rsid w:val="00400EB0"/>
    <w:rsid w:val="004013F6"/>
    <w:rsid w:val="004027F8"/>
    <w:rsid w:val="00402FCF"/>
    <w:rsid w:val="004042F8"/>
    <w:rsid w:val="004048C9"/>
    <w:rsid w:val="004052C4"/>
    <w:rsid w:val="00405801"/>
    <w:rsid w:val="00406C75"/>
    <w:rsid w:val="00407474"/>
    <w:rsid w:val="00407ED4"/>
    <w:rsid w:val="00407F31"/>
    <w:rsid w:val="004125FD"/>
    <w:rsid w:val="004128F0"/>
    <w:rsid w:val="00414D5B"/>
    <w:rsid w:val="0041596A"/>
    <w:rsid w:val="004163AD"/>
    <w:rsid w:val="0041645A"/>
    <w:rsid w:val="0041662D"/>
    <w:rsid w:val="00417BB8"/>
    <w:rsid w:val="00420300"/>
    <w:rsid w:val="004218EB"/>
    <w:rsid w:val="00421CC4"/>
    <w:rsid w:val="0042354D"/>
    <w:rsid w:val="004259A6"/>
    <w:rsid w:val="00425CCF"/>
    <w:rsid w:val="00430B72"/>
    <w:rsid w:val="00430D80"/>
    <w:rsid w:val="004315C8"/>
    <w:rsid w:val="004317B5"/>
    <w:rsid w:val="00431E3D"/>
    <w:rsid w:val="00433174"/>
    <w:rsid w:val="00433DAC"/>
    <w:rsid w:val="004341AC"/>
    <w:rsid w:val="00435259"/>
    <w:rsid w:val="00436457"/>
    <w:rsid w:val="00436A6B"/>
    <w:rsid w:val="00436B23"/>
    <w:rsid w:val="00436C60"/>
    <w:rsid w:val="00436E88"/>
    <w:rsid w:val="00440977"/>
    <w:rsid w:val="0044175B"/>
    <w:rsid w:val="00441C88"/>
    <w:rsid w:val="00442026"/>
    <w:rsid w:val="00442448"/>
    <w:rsid w:val="00443CD4"/>
    <w:rsid w:val="004440BB"/>
    <w:rsid w:val="004450B6"/>
    <w:rsid w:val="00445612"/>
    <w:rsid w:val="004479D8"/>
    <w:rsid w:val="00447C97"/>
    <w:rsid w:val="004504EA"/>
    <w:rsid w:val="00451168"/>
    <w:rsid w:val="00451506"/>
    <w:rsid w:val="00452D84"/>
    <w:rsid w:val="00453047"/>
    <w:rsid w:val="00453739"/>
    <w:rsid w:val="004541FC"/>
    <w:rsid w:val="00454850"/>
    <w:rsid w:val="0045627B"/>
    <w:rsid w:val="00456C90"/>
    <w:rsid w:val="00457160"/>
    <w:rsid w:val="004578CC"/>
    <w:rsid w:val="00462F9E"/>
    <w:rsid w:val="00463630"/>
    <w:rsid w:val="004636BD"/>
    <w:rsid w:val="00463BFC"/>
    <w:rsid w:val="004657D6"/>
    <w:rsid w:val="0046794C"/>
    <w:rsid w:val="004728AA"/>
    <w:rsid w:val="00473346"/>
    <w:rsid w:val="00476168"/>
    <w:rsid w:val="00476284"/>
    <w:rsid w:val="0047758F"/>
    <w:rsid w:val="0048084F"/>
    <w:rsid w:val="004810BD"/>
    <w:rsid w:val="0048175E"/>
    <w:rsid w:val="00482868"/>
    <w:rsid w:val="00482DED"/>
    <w:rsid w:val="00483B44"/>
    <w:rsid w:val="00483CA9"/>
    <w:rsid w:val="004850B9"/>
    <w:rsid w:val="0048525B"/>
    <w:rsid w:val="00485616"/>
    <w:rsid w:val="00485CCD"/>
    <w:rsid w:val="00485DB5"/>
    <w:rsid w:val="004860C5"/>
    <w:rsid w:val="00486D2B"/>
    <w:rsid w:val="00490D60"/>
    <w:rsid w:val="00493120"/>
    <w:rsid w:val="004949C7"/>
    <w:rsid w:val="00494FDC"/>
    <w:rsid w:val="004A0489"/>
    <w:rsid w:val="004A0EFD"/>
    <w:rsid w:val="004A161B"/>
    <w:rsid w:val="004A3932"/>
    <w:rsid w:val="004A3A90"/>
    <w:rsid w:val="004A4106"/>
    <w:rsid w:val="004A4146"/>
    <w:rsid w:val="004A47DB"/>
    <w:rsid w:val="004A482C"/>
    <w:rsid w:val="004A4F6C"/>
    <w:rsid w:val="004A5580"/>
    <w:rsid w:val="004A5AAE"/>
    <w:rsid w:val="004A6AB7"/>
    <w:rsid w:val="004A7284"/>
    <w:rsid w:val="004A7564"/>
    <w:rsid w:val="004A7771"/>
    <w:rsid w:val="004A7E1A"/>
    <w:rsid w:val="004B0073"/>
    <w:rsid w:val="004B1541"/>
    <w:rsid w:val="004B1942"/>
    <w:rsid w:val="004B2168"/>
    <w:rsid w:val="004B240E"/>
    <w:rsid w:val="004B29F4"/>
    <w:rsid w:val="004B2D87"/>
    <w:rsid w:val="004B4002"/>
    <w:rsid w:val="004B4C27"/>
    <w:rsid w:val="004B5F6F"/>
    <w:rsid w:val="004B6407"/>
    <w:rsid w:val="004B6923"/>
    <w:rsid w:val="004B7240"/>
    <w:rsid w:val="004B7495"/>
    <w:rsid w:val="004B780F"/>
    <w:rsid w:val="004B7B56"/>
    <w:rsid w:val="004B7EE9"/>
    <w:rsid w:val="004C042B"/>
    <w:rsid w:val="004C098E"/>
    <w:rsid w:val="004C0DDD"/>
    <w:rsid w:val="004C20CF"/>
    <w:rsid w:val="004C299C"/>
    <w:rsid w:val="004C2E2E"/>
    <w:rsid w:val="004C3080"/>
    <w:rsid w:val="004C38A9"/>
    <w:rsid w:val="004C4D54"/>
    <w:rsid w:val="004C681E"/>
    <w:rsid w:val="004C7023"/>
    <w:rsid w:val="004C7513"/>
    <w:rsid w:val="004D02AC"/>
    <w:rsid w:val="004D0383"/>
    <w:rsid w:val="004D1F3F"/>
    <w:rsid w:val="004D2D38"/>
    <w:rsid w:val="004D333E"/>
    <w:rsid w:val="004D33DB"/>
    <w:rsid w:val="004D3A72"/>
    <w:rsid w:val="004D3EE2"/>
    <w:rsid w:val="004D5BBA"/>
    <w:rsid w:val="004D6540"/>
    <w:rsid w:val="004D66E9"/>
    <w:rsid w:val="004E1C2A"/>
    <w:rsid w:val="004E2ACB"/>
    <w:rsid w:val="004E37DB"/>
    <w:rsid w:val="004E38B0"/>
    <w:rsid w:val="004E3C28"/>
    <w:rsid w:val="004E4332"/>
    <w:rsid w:val="004E4E0B"/>
    <w:rsid w:val="004E6856"/>
    <w:rsid w:val="004E6FB4"/>
    <w:rsid w:val="004F0977"/>
    <w:rsid w:val="004F1365"/>
    <w:rsid w:val="004F1408"/>
    <w:rsid w:val="004F4E1D"/>
    <w:rsid w:val="004F5FEB"/>
    <w:rsid w:val="004F6257"/>
    <w:rsid w:val="004F67C3"/>
    <w:rsid w:val="004F6A25"/>
    <w:rsid w:val="004F6AB0"/>
    <w:rsid w:val="004F6B4D"/>
    <w:rsid w:val="004F6F40"/>
    <w:rsid w:val="005000BD"/>
    <w:rsid w:val="005000DD"/>
    <w:rsid w:val="0050380F"/>
    <w:rsid w:val="00503948"/>
    <w:rsid w:val="00503B09"/>
    <w:rsid w:val="00504F5C"/>
    <w:rsid w:val="00505262"/>
    <w:rsid w:val="0050597B"/>
    <w:rsid w:val="00505D85"/>
    <w:rsid w:val="00506DF8"/>
    <w:rsid w:val="00507451"/>
    <w:rsid w:val="005109D8"/>
    <w:rsid w:val="00510B68"/>
    <w:rsid w:val="00511F4D"/>
    <w:rsid w:val="00514C3C"/>
    <w:rsid w:val="00514D6B"/>
    <w:rsid w:val="0051574E"/>
    <w:rsid w:val="005158FD"/>
    <w:rsid w:val="00516630"/>
    <w:rsid w:val="0051725F"/>
    <w:rsid w:val="00520095"/>
    <w:rsid w:val="00520645"/>
    <w:rsid w:val="0052168D"/>
    <w:rsid w:val="00521E22"/>
    <w:rsid w:val="0052396A"/>
    <w:rsid w:val="005246D5"/>
    <w:rsid w:val="0052734E"/>
    <w:rsid w:val="0052782C"/>
    <w:rsid w:val="00527A41"/>
    <w:rsid w:val="00527D44"/>
    <w:rsid w:val="005303A4"/>
    <w:rsid w:val="00530E46"/>
    <w:rsid w:val="005316FB"/>
    <w:rsid w:val="005324EF"/>
    <w:rsid w:val="0053286B"/>
    <w:rsid w:val="00532909"/>
    <w:rsid w:val="00536369"/>
    <w:rsid w:val="005363A7"/>
    <w:rsid w:val="005400FF"/>
    <w:rsid w:val="00540E99"/>
    <w:rsid w:val="00541130"/>
    <w:rsid w:val="00541636"/>
    <w:rsid w:val="00541B43"/>
    <w:rsid w:val="0054308C"/>
    <w:rsid w:val="00543CDB"/>
    <w:rsid w:val="005447BE"/>
    <w:rsid w:val="00546A8B"/>
    <w:rsid w:val="00546D5E"/>
    <w:rsid w:val="00546F02"/>
    <w:rsid w:val="00547051"/>
    <w:rsid w:val="0054770B"/>
    <w:rsid w:val="00547CD8"/>
    <w:rsid w:val="00550BD7"/>
    <w:rsid w:val="00551073"/>
    <w:rsid w:val="00551DA4"/>
    <w:rsid w:val="0055213A"/>
    <w:rsid w:val="00553EC5"/>
    <w:rsid w:val="00554956"/>
    <w:rsid w:val="00555656"/>
    <w:rsid w:val="00556B29"/>
    <w:rsid w:val="00557BE6"/>
    <w:rsid w:val="005600BC"/>
    <w:rsid w:val="00563104"/>
    <w:rsid w:val="0056398E"/>
    <w:rsid w:val="005646C1"/>
    <w:rsid w:val="005646CC"/>
    <w:rsid w:val="005652E4"/>
    <w:rsid w:val="00565730"/>
    <w:rsid w:val="00566671"/>
    <w:rsid w:val="00567313"/>
    <w:rsid w:val="00567B22"/>
    <w:rsid w:val="0057134C"/>
    <w:rsid w:val="0057177D"/>
    <w:rsid w:val="0057331C"/>
    <w:rsid w:val="00573328"/>
    <w:rsid w:val="00573F07"/>
    <w:rsid w:val="0057478F"/>
    <w:rsid w:val="005747FF"/>
    <w:rsid w:val="00576415"/>
    <w:rsid w:val="00576E6A"/>
    <w:rsid w:val="005776F4"/>
    <w:rsid w:val="0058079F"/>
    <w:rsid w:val="00580D0F"/>
    <w:rsid w:val="00581F3D"/>
    <w:rsid w:val="005824C0"/>
    <w:rsid w:val="00582560"/>
    <w:rsid w:val="00582D11"/>
    <w:rsid w:val="00582FD7"/>
    <w:rsid w:val="005832ED"/>
    <w:rsid w:val="00583524"/>
    <w:rsid w:val="005835A2"/>
    <w:rsid w:val="00583853"/>
    <w:rsid w:val="005857A8"/>
    <w:rsid w:val="0058694B"/>
    <w:rsid w:val="0058713B"/>
    <w:rsid w:val="005876D2"/>
    <w:rsid w:val="0059056C"/>
    <w:rsid w:val="0059130B"/>
    <w:rsid w:val="00594705"/>
    <w:rsid w:val="0059606B"/>
    <w:rsid w:val="00596689"/>
    <w:rsid w:val="00596FFC"/>
    <w:rsid w:val="005A07A3"/>
    <w:rsid w:val="005A16FB"/>
    <w:rsid w:val="005A1A68"/>
    <w:rsid w:val="005A1D50"/>
    <w:rsid w:val="005A2985"/>
    <w:rsid w:val="005A2A5A"/>
    <w:rsid w:val="005A3076"/>
    <w:rsid w:val="005A3373"/>
    <w:rsid w:val="005A39FC"/>
    <w:rsid w:val="005A3B66"/>
    <w:rsid w:val="005A42E3"/>
    <w:rsid w:val="005A50DA"/>
    <w:rsid w:val="005A53BD"/>
    <w:rsid w:val="005A5D68"/>
    <w:rsid w:val="005A5F04"/>
    <w:rsid w:val="005A63A1"/>
    <w:rsid w:val="005A6DC2"/>
    <w:rsid w:val="005B0870"/>
    <w:rsid w:val="005B1086"/>
    <w:rsid w:val="005B1762"/>
    <w:rsid w:val="005B1ECA"/>
    <w:rsid w:val="005B29A4"/>
    <w:rsid w:val="005B4B88"/>
    <w:rsid w:val="005B5605"/>
    <w:rsid w:val="005B5D60"/>
    <w:rsid w:val="005B5E31"/>
    <w:rsid w:val="005B64AE"/>
    <w:rsid w:val="005B6CA5"/>
    <w:rsid w:val="005B6E3D"/>
    <w:rsid w:val="005B7298"/>
    <w:rsid w:val="005C0F46"/>
    <w:rsid w:val="005C0FBD"/>
    <w:rsid w:val="005C1AC9"/>
    <w:rsid w:val="005C1BFC"/>
    <w:rsid w:val="005C3AAC"/>
    <w:rsid w:val="005C5178"/>
    <w:rsid w:val="005C5E78"/>
    <w:rsid w:val="005C7026"/>
    <w:rsid w:val="005C709A"/>
    <w:rsid w:val="005C7B55"/>
    <w:rsid w:val="005C7FA0"/>
    <w:rsid w:val="005D0175"/>
    <w:rsid w:val="005D1338"/>
    <w:rsid w:val="005D1CC4"/>
    <w:rsid w:val="005D2D62"/>
    <w:rsid w:val="005D3AF3"/>
    <w:rsid w:val="005D42CB"/>
    <w:rsid w:val="005D5A78"/>
    <w:rsid w:val="005D5DB0"/>
    <w:rsid w:val="005D616F"/>
    <w:rsid w:val="005D65CC"/>
    <w:rsid w:val="005D7A00"/>
    <w:rsid w:val="005E0B43"/>
    <w:rsid w:val="005E23FA"/>
    <w:rsid w:val="005E437D"/>
    <w:rsid w:val="005E4742"/>
    <w:rsid w:val="005E565D"/>
    <w:rsid w:val="005E6829"/>
    <w:rsid w:val="005F10D4"/>
    <w:rsid w:val="005F26E8"/>
    <w:rsid w:val="005F275A"/>
    <w:rsid w:val="005F2E08"/>
    <w:rsid w:val="005F3D76"/>
    <w:rsid w:val="005F5403"/>
    <w:rsid w:val="005F7834"/>
    <w:rsid w:val="005F78DD"/>
    <w:rsid w:val="005F796C"/>
    <w:rsid w:val="005F7A4D"/>
    <w:rsid w:val="00601136"/>
    <w:rsid w:val="00601B68"/>
    <w:rsid w:val="00602D28"/>
    <w:rsid w:val="0060359B"/>
    <w:rsid w:val="00603F69"/>
    <w:rsid w:val="006040DA"/>
    <w:rsid w:val="006047BD"/>
    <w:rsid w:val="006047C0"/>
    <w:rsid w:val="00606F8E"/>
    <w:rsid w:val="00607675"/>
    <w:rsid w:val="00610F53"/>
    <w:rsid w:val="00612E3F"/>
    <w:rsid w:val="00613208"/>
    <w:rsid w:val="00613354"/>
    <w:rsid w:val="00614BDF"/>
    <w:rsid w:val="00614F20"/>
    <w:rsid w:val="006154A7"/>
    <w:rsid w:val="00615FF5"/>
    <w:rsid w:val="00616767"/>
    <w:rsid w:val="0061698B"/>
    <w:rsid w:val="00616F61"/>
    <w:rsid w:val="00620917"/>
    <w:rsid w:val="0062163D"/>
    <w:rsid w:val="00623821"/>
    <w:rsid w:val="00623857"/>
    <w:rsid w:val="00623A9E"/>
    <w:rsid w:val="00624A20"/>
    <w:rsid w:val="00624C9B"/>
    <w:rsid w:val="006251EB"/>
    <w:rsid w:val="0062541D"/>
    <w:rsid w:val="00626D96"/>
    <w:rsid w:val="00630563"/>
    <w:rsid w:val="00630BB3"/>
    <w:rsid w:val="00632182"/>
    <w:rsid w:val="006328D4"/>
    <w:rsid w:val="006335DF"/>
    <w:rsid w:val="00633B05"/>
    <w:rsid w:val="00634717"/>
    <w:rsid w:val="00634DCE"/>
    <w:rsid w:val="0063670E"/>
    <w:rsid w:val="00637181"/>
    <w:rsid w:val="00637AF8"/>
    <w:rsid w:val="006412BE"/>
    <w:rsid w:val="0064144D"/>
    <w:rsid w:val="00641609"/>
    <w:rsid w:val="0064160E"/>
    <w:rsid w:val="006420EC"/>
    <w:rsid w:val="00642389"/>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2BC6"/>
    <w:rsid w:val="006638B4"/>
    <w:rsid w:val="0066400D"/>
    <w:rsid w:val="006641B3"/>
    <w:rsid w:val="006644C4"/>
    <w:rsid w:val="006653C8"/>
    <w:rsid w:val="00665F1A"/>
    <w:rsid w:val="0066665B"/>
    <w:rsid w:val="00667952"/>
    <w:rsid w:val="00670EE3"/>
    <w:rsid w:val="00672902"/>
    <w:rsid w:val="00672BC7"/>
    <w:rsid w:val="006731FE"/>
    <w:rsid w:val="0067331F"/>
    <w:rsid w:val="006742E8"/>
    <w:rsid w:val="0067482E"/>
    <w:rsid w:val="00675260"/>
    <w:rsid w:val="00677DDB"/>
    <w:rsid w:val="00677EF0"/>
    <w:rsid w:val="006814BF"/>
    <w:rsid w:val="00681DCF"/>
    <w:rsid w:val="00681F32"/>
    <w:rsid w:val="0068338F"/>
    <w:rsid w:val="00683AEC"/>
    <w:rsid w:val="00684375"/>
    <w:rsid w:val="00684672"/>
    <w:rsid w:val="0068481E"/>
    <w:rsid w:val="00684DC4"/>
    <w:rsid w:val="00685617"/>
    <w:rsid w:val="0068666F"/>
    <w:rsid w:val="0068780A"/>
    <w:rsid w:val="00690267"/>
    <w:rsid w:val="006906E7"/>
    <w:rsid w:val="006931D4"/>
    <w:rsid w:val="00693D9A"/>
    <w:rsid w:val="00694E70"/>
    <w:rsid w:val="006954D4"/>
    <w:rsid w:val="0069598B"/>
    <w:rsid w:val="00695AF0"/>
    <w:rsid w:val="0069757D"/>
    <w:rsid w:val="006A1A8E"/>
    <w:rsid w:val="006A1CF6"/>
    <w:rsid w:val="006A2D9E"/>
    <w:rsid w:val="006A36DB"/>
    <w:rsid w:val="006A3EF2"/>
    <w:rsid w:val="006A42DB"/>
    <w:rsid w:val="006A44A7"/>
    <w:rsid w:val="006A44D0"/>
    <w:rsid w:val="006A48C1"/>
    <w:rsid w:val="006A510D"/>
    <w:rsid w:val="006A51A4"/>
    <w:rsid w:val="006B0291"/>
    <w:rsid w:val="006B044C"/>
    <w:rsid w:val="006B06B2"/>
    <w:rsid w:val="006B1FFA"/>
    <w:rsid w:val="006B3564"/>
    <w:rsid w:val="006B37E6"/>
    <w:rsid w:val="006B3D8F"/>
    <w:rsid w:val="006B3F24"/>
    <w:rsid w:val="006B42E3"/>
    <w:rsid w:val="006B44E9"/>
    <w:rsid w:val="006B462E"/>
    <w:rsid w:val="006B4E5C"/>
    <w:rsid w:val="006B5A59"/>
    <w:rsid w:val="006B73E5"/>
    <w:rsid w:val="006C00A3"/>
    <w:rsid w:val="006C09A7"/>
    <w:rsid w:val="006C10FC"/>
    <w:rsid w:val="006C22FB"/>
    <w:rsid w:val="006C30BA"/>
    <w:rsid w:val="006C4B47"/>
    <w:rsid w:val="006C4FEE"/>
    <w:rsid w:val="006C507D"/>
    <w:rsid w:val="006C60C6"/>
    <w:rsid w:val="006C615D"/>
    <w:rsid w:val="006C7AB5"/>
    <w:rsid w:val="006C7CD5"/>
    <w:rsid w:val="006D062E"/>
    <w:rsid w:val="006D0691"/>
    <w:rsid w:val="006D0817"/>
    <w:rsid w:val="006D0996"/>
    <w:rsid w:val="006D2405"/>
    <w:rsid w:val="006D3A0E"/>
    <w:rsid w:val="006D3C2A"/>
    <w:rsid w:val="006D4A39"/>
    <w:rsid w:val="006D53A4"/>
    <w:rsid w:val="006D6748"/>
    <w:rsid w:val="006E08A7"/>
    <w:rsid w:val="006E08C4"/>
    <w:rsid w:val="006E091B"/>
    <w:rsid w:val="006E2549"/>
    <w:rsid w:val="006E2552"/>
    <w:rsid w:val="006E2A24"/>
    <w:rsid w:val="006E3B83"/>
    <w:rsid w:val="006E42C8"/>
    <w:rsid w:val="006E4800"/>
    <w:rsid w:val="006E560F"/>
    <w:rsid w:val="006E5B90"/>
    <w:rsid w:val="006E5DFC"/>
    <w:rsid w:val="006E60D3"/>
    <w:rsid w:val="006E79B6"/>
    <w:rsid w:val="006F054E"/>
    <w:rsid w:val="006F15D8"/>
    <w:rsid w:val="006F1B19"/>
    <w:rsid w:val="006F3613"/>
    <w:rsid w:val="006F3839"/>
    <w:rsid w:val="006F3E03"/>
    <w:rsid w:val="006F4503"/>
    <w:rsid w:val="006F66A2"/>
    <w:rsid w:val="00700048"/>
    <w:rsid w:val="00700346"/>
    <w:rsid w:val="0070044F"/>
    <w:rsid w:val="0070190E"/>
    <w:rsid w:val="00701DAC"/>
    <w:rsid w:val="00703206"/>
    <w:rsid w:val="00704694"/>
    <w:rsid w:val="007058CD"/>
    <w:rsid w:val="00705D75"/>
    <w:rsid w:val="00706293"/>
    <w:rsid w:val="0070723B"/>
    <w:rsid w:val="007124A7"/>
    <w:rsid w:val="00712DA7"/>
    <w:rsid w:val="00714956"/>
    <w:rsid w:val="00714DAF"/>
    <w:rsid w:val="00715F89"/>
    <w:rsid w:val="00716FB7"/>
    <w:rsid w:val="00717179"/>
    <w:rsid w:val="0071788E"/>
    <w:rsid w:val="00717C66"/>
    <w:rsid w:val="00720262"/>
    <w:rsid w:val="00720D91"/>
    <w:rsid w:val="0072144B"/>
    <w:rsid w:val="00721BBA"/>
    <w:rsid w:val="00722D6B"/>
    <w:rsid w:val="007235E4"/>
    <w:rsid w:val="0072360C"/>
    <w:rsid w:val="00723956"/>
    <w:rsid w:val="00724203"/>
    <w:rsid w:val="00725C3B"/>
    <w:rsid w:val="00725D14"/>
    <w:rsid w:val="007266FB"/>
    <w:rsid w:val="007267E9"/>
    <w:rsid w:val="00730E0D"/>
    <w:rsid w:val="00731115"/>
    <w:rsid w:val="0073212B"/>
    <w:rsid w:val="0073364D"/>
    <w:rsid w:val="00733D6A"/>
    <w:rsid w:val="00734065"/>
    <w:rsid w:val="007342A6"/>
    <w:rsid w:val="00734894"/>
    <w:rsid w:val="00734D80"/>
    <w:rsid w:val="00735327"/>
    <w:rsid w:val="00735451"/>
    <w:rsid w:val="00740573"/>
    <w:rsid w:val="00741479"/>
    <w:rsid w:val="007414DA"/>
    <w:rsid w:val="00741ACA"/>
    <w:rsid w:val="007448D2"/>
    <w:rsid w:val="00744A73"/>
    <w:rsid w:val="00744DB8"/>
    <w:rsid w:val="00745230"/>
    <w:rsid w:val="00745C28"/>
    <w:rsid w:val="007460FF"/>
    <w:rsid w:val="007474D4"/>
    <w:rsid w:val="0075322D"/>
    <w:rsid w:val="00753C53"/>
    <w:rsid w:val="00753D56"/>
    <w:rsid w:val="007564AE"/>
    <w:rsid w:val="00757591"/>
    <w:rsid w:val="00757633"/>
    <w:rsid w:val="00757A59"/>
    <w:rsid w:val="00757DD5"/>
    <w:rsid w:val="007617A7"/>
    <w:rsid w:val="00762125"/>
    <w:rsid w:val="007635C3"/>
    <w:rsid w:val="00764796"/>
    <w:rsid w:val="00765E06"/>
    <w:rsid w:val="00765F79"/>
    <w:rsid w:val="00766A1D"/>
    <w:rsid w:val="00766BC2"/>
    <w:rsid w:val="007679D3"/>
    <w:rsid w:val="00770198"/>
    <w:rsid w:val="007706FF"/>
    <w:rsid w:val="00770891"/>
    <w:rsid w:val="00770C61"/>
    <w:rsid w:val="00772BA3"/>
    <w:rsid w:val="00773047"/>
    <w:rsid w:val="00773D6C"/>
    <w:rsid w:val="007763FE"/>
    <w:rsid w:val="00776998"/>
    <w:rsid w:val="00776AC3"/>
    <w:rsid w:val="00777558"/>
    <w:rsid w:val="007776A2"/>
    <w:rsid w:val="00777849"/>
    <w:rsid w:val="0078028A"/>
    <w:rsid w:val="00780A99"/>
    <w:rsid w:val="00781C4F"/>
    <w:rsid w:val="00782487"/>
    <w:rsid w:val="00782A2E"/>
    <w:rsid w:val="00782B11"/>
    <w:rsid w:val="007836C0"/>
    <w:rsid w:val="007836C6"/>
    <w:rsid w:val="00783D18"/>
    <w:rsid w:val="00783F8F"/>
    <w:rsid w:val="00785BE0"/>
    <w:rsid w:val="0078667E"/>
    <w:rsid w:val="0079013B"/>
    <w:rsid w:val="007919DC"/>
    <w:rsid w:val="00791B72"/>
    <w:rsid w:val="00791C7F"/>
    <w:rsid w:val="007936E5"/>
    <w:rsid w:val="00796888"/>
    <w:rsid w:val="007A1326"/>
    <w:rsid w:val="007A2288"/>
    <w:rsid w:val="007A2B7B"/>
    <w:rsid w:val="007A3356"/>
    <w:rsid w:val="007A36F3"/>
    <w:rsid w:val="007A4CEF"/>
    <w:rsid w:val="007A55A8"/>
    <w:rsid w:val="007A5F31"/>
    <w:rsid w:val="007A7FF1"/>
    <w:rsid w:val="007B0EC2"/>
    <w:rsid w:val="007B24C4"/>
    <w:rsid w:val="007B2E41"/>
    <w:rsid w:val="007B3FAD"/>
    <w:rsid w:val="007B50E4"/>
    <w:rsid w:val="007B5236"/>
    <w:rsid w:val="007B6B2F"/>
    <w:rsid w:val="007C057B"/>
    <w:rsid w:val="007C1661"/>
    <w:rsid w:val="007C1A9E"/>
    <w:rsid w:val="007C23F5"/>
    <w:rsid w:val="007C68EE"/>
    <w:rsid w:val="007C6E38"/>
    <w:rsid w:val="007D212E"/>
    <w:rsid w:val="007D3688"/>
    <w:rsid w:val="007D36BF"/>
    <w:rsid w:val="007D458F"/>
    <w:rsid w:val="007D5655"/>
    <w:rsid w:val="007D581D"/>
    <w:rsid w:val="007D5A52"/>
    <w:rsid w:val="007D73C0"/>
    <w:rsid w:val="007D7CF5"/>
    <w:rsid w:val="007D7E58"/>
    <w:rsid w:val="007E1617"/>
    <w:rsid w:val="007E3B5E"/>
    <w:rsid w:val="007E41AD"/>
    <w:rsid w:val="007E497E"/>
    <w:rsid w:val="007E4FF6"/>
    <w:rsid w:val="007E500A"/>
    <w:rsid w:val="007E51F4"/>
    <w:rsid w:val="007E5E9E"/>
    <w:rsid w:val="007E7486"/>
    <w:rsid w:val="007E7851"/>
    <w:rsid w:val="007F05F3"/>
    <w:rsid w:val="007F1493"/>
    <w:rsid w:val="007F15BC"/>
    <w:rsid w:val="007F3524"/>
    <w:rsid w:val="007F4CBE"/>
    <w:rsid w:val="007F576D"/>
    <w:rsid w:val="007F57C3"/>
    <w:rsid w:val="007F60DB"/>
    <w:rsid w:val="007F637A"/>
    <w:rsid w:val="007F66A6"/>
    <w:rsid w:val="007F68BA"/>
    <w:rsid w:val="007F76BF"/>
    <w:rsid w:val="008003CD"/>
    <w:rsid w:val="00800512"/>
    <w:rsid w:val="00801331"/>
    <w:rsid w:val="00801687"/>
    <w:rsid w:val="008019EE"/>
    <w:rsid w:val="00802022"/>
    <w:rsid w:val="0080207C"/>
    <w:rsid w:val="008023E9"/>
    <w:rsid w:val="008028A3"/>
    <w:rsid w:val="0080538D"/>
    <w:rsid w:val="008059C1"/>
    <w:rsid w:val="0080662F"/>
    <w:rsid w:val="00806C91"/>
    <w:rsid w:val="0081065F"/>
    <w:rsid w:val="0081071A"/>
    <w:rsid w:val="00810E72"/>
    <w:rsid w:val="0081179B"/>
    <w:rsid w:val="00812DCB"/>
    <w:rsid w:val="00813FA5"/>
    <w:rsid w:val="0081523F"/>
    <w:rsid w:val="00816151"/>
    <w:rsid w:val="00816348"/>
    <w:rsid w:val="0081697D"/>
    <w:rsid w:val="00817268"/>
    <w:rsid w:val="008203B7"/>
    <w:rsid w:val="00820BB7"/>
    <w:rsid w:val="008212BE"/>
    <w:rsid w:val="008218CF"/>
    <w:rsid w:val="00821C01"/>
    <w:rsid w:val="00822354"/>
    <w:rsid w:val="008238A8"/>
    <w:rsid w:val="008248E7"/>
    <w:rsid w:val="00824F02"/>
    <w:rsid w:val="008254EB"/>
    <w:rsid w:val="00825595"/>
    <w:rsid w:val="008256B0"/>
    <w:rsid w:val="00826BD1"/>
    <w:rsid w:val="00826C4F"/>
    <w:rsid w:val="00827793"/>
    <w:rsid w:val="00830A48"/>
    <w:rsid w:val="00831C89"/>
    <w:rsid w:val="00831E6C"/>
    <w:rsid w:val="008327CE"/>
    <w:rsid w:val="00832DA5"/>
    <w:rsid w:val="00832F4B"/>
    <w:rsid w:val="00833A2E"/>
    <w:rsid w:val="00833EDF"/>
    <w:rsid w:val="00834038"/>
    <w:rsid w:val="008342D6"/>
    <w:rsid w:val="008373C4"/>
    <w:rsid w:val="008377AF"/>
    <w:rsid w:val="00837C98"/>
    <w:rsid w:val="008404C4"/>
    <w:rsid w:val="0084056D"/>
    <w:rsid w:val="00841080"/>
    <w:rsid w:val="008412F7"/>
    <w:rsid w:val="008414BB"/>
    <w:rsid w:val="00841B54"/>
    <w:rsid w:val="00842401"/>
    <w:rsid w:val="0084251D"/>
    <w:rsid w:val="008428E8"/>
    <w:rsid w:val="008434A7"/>
    <w:rsid w:val="00843D21"/>
    <w:rsid w:val="00843ED1"/>
    <w:rsid w:val="008447F4"/>
    <w:rsid w:val="008455DA"/>
    <w:rsid w:val="008466DE"/>
    <w:rsid w:val="008467D0"/>
    <w:rsid w:val="008470D0"/>
    <w:rsid w:val="00847B5D"/>
    <w:rsid w:val="008505DC"/>
    <w:rsid w:val="008509F0"/>
    <w:rsid w:val="00851875"/>
    <w:rsid w:val="00852357"/>
    <w:rsid w:val="00852B7B"/>
    <w:rsid w:val="00854365"/>
    <w:rsid w:val="0085448C"/>
    <w:rsid w:val="00854EC5"/>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7CF"/>
    <w:rsid w:val="00874C1F"/>
    <w:rsid w:val="00875366"/>
    <w:rsid w:val="00876481"/>
    <w:rsid w:val="00876950"/>
    <w:rsid w:val="008773F6"/>
    <w:rsid w:val="0087769A"/>
    <w:rsid w:val="00880A08"/>
    <w:rsid w:val="008813A0"/>
    <w:rsid w:val="0088183C"/>
    <w:rsid w:val="00881B53"/>
    <w:rsid w:val="00882E98"/>
    <w:rsid w:val="00883242"/>
    <w:rsid w:val="00883A53"/>
    <w:rsid w:val="00884CFB"/>
    <w:rsid w:val="0088526C"/>
    <w:rsid w:val="00885C59"/>
    <w:rsid w:val="00885F34"/>
    <w:rsid w:val="008879B9"/>
    <w:rsid w:val="00890623"/>
    <w:rsid w:val="00890C47"/>
    <w:rsid w:val="0089256F"/>
    <w:rsid w:val="00893CDB"/>
    <w:rsid w:val="00893D12"/>
    <w:rsid w:val="0089468F"/>
    <w:rsid w:val="00895105"/>
    <w:rsid w:val="00895316"/>
    <w:rsid w:val="00895861"/>
    <w:rsid w:val="00897B91"/>
    <w:rsid w:val="008A00A0"/>
    <w:rsid w:val="008A0836"/>
    <w:rsid w:val="008A1693"/>
    <w:rsid w:val="008A21F0"/>
    <w:rsid w:val="008A292B"/>
    <w:rsid w:val="008A3590"/>
    <w:rsid w:val="008A569A"/>
    <w:rsid w:val="008A5DE5"/>
    <w:rsid w:val="008B143F"/>
    <w:rsid w:val="008B1B73"/>
    <w:rsid w:val="008B1FDB"/>
    <w:rsid w:val="008B2A5B"/>
    <w:rsid w:val="008B30E5"/>
    <w:rsid w:val="008B367A"/>
    <w:rsid w:val="008B430F"/>
    <w:rsid w:val="008B44C9"/>
    <w:rsid w:val="008B4DA3"/>
    <w:rsid w:val="008B4FF4"/>
    <w:rsid w:val="008B62A0"/>
    <w:rsid w:val="008B6729"/>
    <w:rsid w:val="008B7CA6"/>
    <w:rsid w:val="008B7F83"/>
    <w:rsid w:val="008C085A"/>
    <w:rsid w:val="008C1A20"/>
    <w:rsid w:val="008C2FB5"/>
    <w:rsid w:val="008C302C"/>
    <w:rsid w:val="008C3DFC"/>
    <w:rsid w:val="008C4CAB"/>
    <w:rsid w:val="008C524A"/>
    <w:rsid w:val="008C6461"/>
    <w:rsid w:val="008C6A74"/>
    <w:rsid w:val="008C6BA4"/>
    <w:rsid w:val="008C6F82"/>
    <w:rsid w:val="008C7CBC"/>
    <w:rsid w:val="008D0067"/>
    <w:rsid w:val="008D0B98"/>
    <w:rsid w:val="008D125E"/>
    <w:rsid w:val="008D1894"/>
    <w:rsid w:val="008D3F97"/>
    <w:rsid w:val="008D5308"/>
    <w:rsid w:val="008D55BF"/>
    <w:rsid w:val="008D61E0"/>
    <w:rsid w:val="008D6722"/>
    <w:rsid w:val="008D6E1D"/>
    <w:rsid w:val="008D7AB2"/>
    <w:rsid w:val="008E0259"/>
    <w:rsid w:val="008E131D"/>
    <w:rsid w:val="008E43E0"/>
    <w:rsid w:val="008E4A0E"/>
    <w:rsid w:val="008E4E59"/>
    <w:rsid w:val="008E6D68"/>
    <w:rsid w:val="008E721D"/>
    <w:rsid w:val="008E7656"/>
    <w:rsid w:val="008F0115"/>
    <w:rsid w:val="008F0383"/>
    <w:rsid w:val="008F0F10"/>
    <w:rsid w:val="008F1F6A"/>
    <w:rsid w:val="008F28E7"/>
    <w:rsid w:val="008F3EDF"/>
    <w:rsid w:val="008F56DB"/>
    <w:rsid w:val="008F7252"/>
    <w:rsid w:val="0090053B"/>
    <w:rsid w:val="00900E59"/>
    <w:rsid w:val="00900F28"/>
    <w:rsid w:val="00900FCF"/>
    <w:rsid w:val="00901298"/>
    <w:rsid w:val="009019BB"/>
    <w:rsid w:val="0090239E"/>
    <w:rsid w:val="00902919"/>
    <w:rsid w:val="0090315B"/>
    <w:rsid w:val="009033B0"/>
    <w:rsid w:val="00904185"/>
    <w:rsid w:val="00904350"/>
    <w:rsid w:val="00904D31"/>
    <w:rsid w:val="00905926"/>
    <w:rsid w:val="0090604A"/>
    <w:rsid w:val="0090751C"/>
    <w:rsid w:val="009078AB"/>
    <w:rsid w:val="0091055E"/>
    <w:rsid w:val="00912C5D"/>
    <w:rsid w:val="00912EC7"/>
    <w:rsid w:val="00913D40"/>
    <w:rsid w:val="0091400D"/>
    <w:rsid w:val="00915167"/>
    <w:rsid w:val="00915222"/>
    <w:rsid w:val="009153A2"/>
    <w:rsid w:val="0091542D"/>
    <w:rsid w:val="0091571A"/>
    <w:rsid w:val="00915AC4"/>
    <w:rsid w:val="00917B15"/>
    <w:rsid w:val="00920A1E"/>
    <w:rsid w:val="00920C71"/>
    <w:rsid w:val="00921306"/>
    <w:rsid w:val="009214E8"/>
    <w:rsid w:val="009221AD"/>
    <w:rsid w:val="009227DD"/>
    <w:rsid w:val="00923015"/>
    <w:rsid w:val="009234D0"/>
    <w:rsid w:val="00925013"/>
    <w:rsid w:val="00925024"/>
    <w:rsid w:val="00925655"/>
    <w:rsid w:val="00925733"/>
    <w:rsid w:val="009257A8"/>
    <w:rsid w:val="00925D0D"/>
    <w:rsid w:val="009261C8"/>
    <w:rsid w:val="009267B5"/>
    <w:rsid w:val="0092681E"/>
    <w:rsid w:val="00926D03"/>
    <w:rsid w:val="00926F76"/>
    <w:rsid w:val="0092703B"/>
    <w:rsid w:val="00927DB3"/>
    <w:rsid w:val="00927E08"/>
    <w:rsid w:val="00930D17"/>
    <w:rsid w:val="00930ED6"/>
    <w:rsid w:val="00931206"/>
    <w:rsid w:val="00932077"/>
    <w:rsid w:val="0093281F"/>
    <w:rsid w:val="00932A03"/>
    <w:rsid w:val="0093313E"/>
    <w:rsid w:val="009331F9"/>
    <w:rsid w:val="0093376C"/>
    <w:rsid w:val="00934012"/>
    <w:rsid w:val="0093530F"/>
    <w:rsid w:val="0093592F"/>
    <w:rsid w:val="00935E65"/>
    <w:rsid w:val="009363F0"/>
    <w:rsid w:val="0093688D"/>
    <w:rsid w:val="00936F04"/>
    <w:rsid w:val="0094075C"/>
    <w:rsid w:val="0094165A"/>
    <w:rsid w:val="00942056"/>
    <w:rsid w:val="009429D1"/>
    <w:rsid w:val="00942E67"/>
    <w:rsid w:val="00943299"/>
    <w:rsid w:val="009438A7"/>
    <w:rsid w:val="009458AF"/>
    <w:rsid w:val="00946555"/>
    <w:rsid w:val="00950626"/>
    <w:rsid w:val="00951F32"/>
    <w:rsid w:val="009520A1"/>
    <w:rsid w:val="009522E2"/>
    <w:rsid w:val="0095259D"/>
    <w:rsid w:val="009528C1"/>
    <w:rsid w:val="00952FD4"/>
    <w:rsid w:val="009532C7"/>
    <w:rsid w:val="00953891"/>
    <w:rsid w:val="00953E82"/>
    <w:rsid w:val="00955D6C"/>
    <w:rsid w:val="00957107"/>
    <w:rsid w:val="00960547"/>
    <w:rsid w:val="00960CCA"/>
    <w:rsid w:val="00960E03"/>
    <w:rsid w:val="00961B65"/>
    <w:rsid w:val="009624AB"/>
    <w:rsid w:val="009634F6"/>
    <w:rsid w:val="00963579"/>
    <w:rsid w:val="00963FEC"/>
    <w:rsid w:val="0096422F"/>
    <w:rsid w:val="0096457B"/>
    <w:rsid w:val="00964AE3"/>
    <w:rsid w:val="00965AAB"/>
    <w:rsid w:val="00965F05"/>
    <w:rsid w:val="00966FE8"/>
    <w:rsid w:val="0096720F"/>
    <w:rsid w:val="0097036E"/>
    <w:rsid w:val="00970402"/>
    <w:rsid w:val="00970968"/>
    <w:rsid w:val="00971090"/>
    <w:rsid w:val="009718BF"/>
    <w:rsid w:val="00971C5A"/>
    <w:rsid w:val="009733AC"/>
    <w:rsid w:val="00973DB2"/>
    <w:rsid w:val="00976637"/>
    <w:rsid w:val="009771A9"/>
    <w:rsid w:val="00981475"/>
    <w:rsid w:val="00981668"/>
    <w:rsid w:val="009834FC"/>
    <w:rsid w:val="00984331"/>
    <w:rsid w:val="00984940"/>
    <w:rsid w:val="00984C07"/>
    <w:rsid w:val="00985434"/>
    <w:rsid w:val="00985F69"/>
    <w:rsid w:val="00986E99"/>
    <w:rsid w:val="00987813"/>
    <w:rsid w:val="00990C18"/>
    <w:rsid w:val="00990C46"/>
    <w:rsid w:val="00991DEF"/>
    <w:rsid w:val="009922A4"/>
    <w:rsid w:val="00992659"/>
    <w:rsid w:val="00992E84"/>
    <w:rsid w:val="0099359F"/>
    <w:rsid w:val="0099394C"/>
    <w:rsid w:val="009939EF"/>
    <w:rsid w:val="00993B98"/>
    <w:rsid w:val="00993F37"/>
    <w:rsid w:val="009944F9"/>
    <w:rsid w:val="00995954"/>
    <w:rsid w:val="00995E81"/>
    <w:rsid w:val="00996470"/>
    <w:rsid w:val="00996603"/>
    <w:rsid w:val="009974B3"/>
    <w:rsid w:val="00997F5D"/>
    <w:rsid w:val="009A0220"/>
    <w:rsid w:val="009A09AC"/>
    <w:rsid w:val="009A1123"/>
    <w:rsid w:val="009A1BBC"/>
    <w:rsid w:val="009A2060"/>
    <w:rsid w:val="009A20E7"/>
    <w:rsid w:val="009A2864"/>
    <w:rsid w:val="009A313E"/>
    <w:rsid w:val="009A3EAC"/>
    <w:rsid w:val="009A40D9"/>
    <w:rsid w:val="009B04EE"/>
    <w:rsid w:val="009B08F7"/>
    <w:rsid w:val="009B1346"/>
    <w:rsid w:val="009B165F"/>
    <w:rsid w:val="009B1F53"/>
    <w:rsid w:val="009B2E67"/>
    <w:rsid w:val="009B4053"/>
    <w:rsid w:val="009B417F"/>
    <w:rsid w:val="009B4483"/>
    <w:rsid w:val="009B473D"/>
    <w:rsid w:val="009B57E7"/>
    <w:rsid w:val="009B585D"/>
    <w:rsid w:val="009B5879"/>
    <w:rsid w:val="009B5A96"/>
    <w:rsid w:val="009B6030"/>
    <w:rsid w:val="009B6958"/>
    <w:rsid w:val="009B6B02"/>
    <w:rsid w:val="009C0698"/>
    <w:rsid w:val="009C098A"/>
    <w:rsid w:val="009C0DA0"/>
    <w:rsid w:val="009C139B"/>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4D22"/>
    <w:rsid w:val="009E56EB"/>
    <w:rsid w:val="009E6AB6"/>
    <w:rsid w:val="009E6B21"/>
    <w:rsid w:val="009E6EAE"/>
    <w:rsid w:val="009E7F27"/>
    <w:rsid w:val="009F1A7D"/>
    <w:rsid w:val="009F3431"/>
    <w:rsid w:val="009F3735"/>
    <w:rsid w:val="009F3838"/>
    <w:rsid w:val="009F3ECD"/>
    <w:rsid w:val="009F4B19"/>
    <w:rsid w:val="009F5F05"/>
    <w:rsid w:val="009F7315"/>
    <w:rsid w:val="009F73D1"/>
    <w:rsid w:val="009F7F2E"/>
    <w:rsid w:val="00A00238"/>
    <w:rsid w:val="00A00D40"/>
    <w:rsid w:val="00A020F8"/>
    <w:rsid w:val="00A03240"/>
    <w:rsid w:val="00A04A93"/>
    <w:rsid w:val="00A07569"/>
    <w:rsid w:val="00A07749"/>
    <w:rsid w:val="00A078FB"/>
    <w:rsid w:val="00A07BD4"/>
    <w:rsid w:val="00A10CE1"/>
    <w:rsid w:val="00A10CED"/>
    <w:rsid w:val="00A11A30"/>
    <w:rsid w:val="00A128C6"/>
    <w:rsid w:val="00A1347D"/>
    <w:rsid w:val="00A13707"/>
    <w:rsid w:val="00A143CE"/>
    <w:rsid w:val="00A163D6"/>
    <w:rsid w:val="00A16D9B"/>
    <w:rsid w:val="00A200B2"/>
    <w:rsid w:val="00A21688"/>
    <w:rsid w:val="00A21A49"/>
    <w:rsid w:val="00A231E9"/>
    <w:rsid w:val="00A23647"/>
    <w:rsid w:val="00A2521B"/>
    <w:rsid w:val="00A27912"/>
    <w:rsid w:val="00A30056"/>
    <w:rsid w:val="00A3070B"/>
    <w:rsid w:val="00A307AE"/>
    <w:rsid w:val="00A313CE"/>
    <w:rsid w:val="00A32572"/>
    <w:rsid w:val="00A343C0"/>
    <w:rsid w:val="00A34B40"/>
    <w:rsid w:val="00A350CB"/>
    <w:rsid w:val="00A3511D"/>
    <w:rsid w:val="00A356E6"/>
    <w:rsid w:val="00A35E8B"/>
    <w:rsid w:val="00A361C6"/>
    <w:rsid w:val="00A3669F"/>
    <w:rsid w:val="00A3748A"/>
    <w:rsid w:val="00A37D04"/>
    <w:rsid w:val="00A41A01"/>
    <w:rsid w:val="00A41C12"/>
    <w:rsid w:val="00A429A9"/>
    <w:rsid w:val="00A43CFF"/>
    <w:rsid w:val="00A44F83"/>
    <w:rsid w:val="00A47620"/>
    <w:rsid w:val="00A4768A"/>
    <w:rsid w:val="00A47719"/>
    <w:rsid w:val="00A47EAB"/>
    <w:rsid w:val="00A50510"/>
    <w:rsid w:val="00A5068D"/>
    <w:rsid w:val="00A509B4"/>
    <w:rsid w:val="00A51D10"/>
    <w:rsid w:val="00A5277F"/>
    <w:rsid w:val="00A52E38"/>
    <w:rsid w:val="00A5427A"/>
    <w:rsid w:val="00A54C7B"/>
    <w:rsid w:val="00A54CFD"/>
    <w:rsid w:val="00A5639F"/>
    <w:rsid w:val="00A5675E"/>
    <w:rsid w:val="00A57040"/>
    <w:rsid w:val="00A5758C"/>
    <w:rsid w:val="00A60064"/>
    <w:rsid w:val="00A6044F"/>
    <w:rsid w:val="00A60B41"/>
    <w:rsid w:val="00A626F4"/>
    <w:rsid w:val="00A64F90"/>
    <w:rsid w:val="00A65A2B"/>
    <w:rsid w:val="00A661D1"/>
    <w:rsid w:val="00A67E3E"/>
    <w:rsid w:val="00A70170"/>
    <w:rsid w:val="00A721DD"/>
    <w:rsid w:val="00A726C7"/>
    <w:rsid w:val="00A72B8A"/>
    <w:rsid w:val="00A7409C"/>
    <w:rsid w:val="00A752B5"/>
    <w:rsid w:val="00A774B4"/>
    <w:rsid w:val="00A77927"/>
    <w:rsid w:val="00A81734"/>
    <w:rsid w:val="00A81791"/>
    <w:rsid w:val="00A8195D"/>
    <w:rsid w:val="00A81DC9"/>
    <w:rsid w:val="00A82923"/>
    <w:rsid w:val="00A83203"/>
    <w:rsid w:val="00A8372C"/>
    <w:rsid w:val="00A84454"/>
    <w:rsid w:val="00A855FA"/>
    <w:rsid w:val="00A90137"/>
    <w:rsid w:val="00A905C6"/>
    <w:rsid w:val="00A90A0B"/>
    <w:rsid w:val="00A912FE"/>
    <w:rsid w:val="00A91418"/>
    <w:rsid w:val="00A91A18"/>
    <w:rsid w:val="00A91B40"/>
    <w:rsid w:val="00A9244B"/>
    <w:rsid w:val="00A92CB0"/>
    <w:rsid w:val="00A92D2A"/>
    <w:rsid w:val="00A932DF"/>
    <w:rsid w:val="00A93F16"/>
    <w:rsid w:val="00A947CF"/>
    <w:rsid w:val="00A95F5B"/>
    <w:rsid w:val="00A96CC7"/>
    <w:rsid w:val="00A96D9C"/>
    <w:rsid w:val="00A97222"/>
    <w:rsid w:val="00A9772A"/>
    <w:rsid w:val="00AA18E2"/>
    <w:rsid w:val="00AA22B0"/>
    <w:rsid w:val="00AA2B19"/>
    <w:rsid w:val="00AA355B"/>
    <w:rsid w:val="00AA3617"/>
    <w:rsid w:val="00AA3B89"/>
    <w:rsid w:val="00AA5AE4"/>
    <w:rsid w:val="00AA5E50"/>
    <w:rsid w:val="00AA642B"/>
    <w:rsid w:val="00AA7B80"/>
    <w:rsid w:val="00AB0677"/>
    <w:rsid w:val="00AB0B02"/>
    <w:rsid w:val="00AB1983"/>
    <w:rsid w:val="00AB23C3"/>
    <w:rsid w:val="00AB24DB"/>
    <w:rsid w:val="00AB27AB"/>
    <w:rsid w:val="00AB3496"/>
    <w:rsid w:val="00AB35D0"/>
    <w:rsid w:val="00AB472C"/>
    <w:rsid w:val="00AB6B59"/>
    <w:rsid w:val="00AB7269"/>
    <w:rsid w:val="00AB74BA"/>
    <w:rsid w:val="00AB77E7"/>
    <w:rsid w:val="00AC1DCF"/>
    <w:rsid w:val="00AC23B1"/>
    <w:rsid w:val="00AC260E"/>
    <w:rsid w:val="00AC2AF9"/>
    <w:rsid w:val="00AC2F71"/>
    <w:rsid w:val="00AC47A6"/>
    <w:rsid w:val="00AC60C5"/>
    <w:rsid w:val="00AC67E9"/>
    <w:rsid w:val="00AC78ED"/>
    <w:rsid w:val="00AD02D3"/>
    <w:rsid w:val="00AD3675"/>
    <w:rsid w:val="00AD5503"/>
    <w:rsid w:val="00AD56A9"/>
    <w:rsid w:val="00AD59E7"/>
    <w:rsid w:val="00AD5E3B"/>
    <w:rsid w:val="00AD69C4"/>
    <w:rsid w:val="00AD6A57"/>
    <w:rsid w:val="00AD6F0C"/>
    <w:rsid w:val="00AD720D"/>
    <w:rsid w:val="00AE1C5F"/>
    <w:rsid w:val="00AE23DD"/>
    <w:rsid w:val="00AE33F9"/>
    <w:rsid w:val="00AE3899"/>
    <w:rsid w:val="00AE424C"/>
    <w:rsid w:val="00AE6CD2"/>
    <w:rsid w:val="00AE776A"/>
    <w:rsid w:val="00AF1F68"/>
    <w:rsid w:val="00AF2546"/>
    <w:rsid w:val="00AF27B7"/>
    <w:rsid w:val="00AF28BE"/>
    <w:rsid w:val="00AF2BB2"/>
    <w:rsid w:val="00AF3C5D"/>
    <w:rsid w:val="00AF4361"/>
    <w:rsid w:val="00AF726A"/>
    <w:rsid w:val="00AF7AB4"/>
    <w:rsid w:val="00AF7B91"/>
    <w:rsid w:val="00B00015"/>
    <w:rsid w:val="00B0033A"/>
    <w:rsid w:val="00B043A6"/>
    <w:rsid w:val="00B043BA"/>
    <w:rsid w:val="00B06DE8"/>
    <w:rsid w:val="00B077AD"/>
    <w:rsid w:val="00B07AE1"/>
    <w:rsid w:val="00B07C61"/>
    <w:rsid w:val="00B07D23"/>
    <w:rsid w:val="00B10DE0"/>
    <w:rsid w:val="00B12968"/>
    <w:rsid w:val="00B12981"/>
    <w:rsid w:val="00B12FF9"/>
    <w:rsid w:val="00B131FF"/>
    <w:rsid w:val="00B13498"/>
    <w:rsid w:val="00B13DA2"/>
    <w:rsid w:val="00B14BD8"/>
    <w:rsid w:val="00B15322"/>
    <w:rsid w:val="00B15DF3"/>
    <w:rsid w:val="00B1672A"/>
    <w:rsid w:val="00B16E71"/>
    <w:rsid w:val="00B174BD"/>
    <w:rsid w:val="00B20690"/>
    <w:rsid w:val="00B20B2A"/>
    <w:rsid w:val="00B2129B"/>
    <w:rsid w:val="00B215A8"/>
    <w:rsid w:val="00B22FA7"/>
    <w:rsid w:val="00B239C4"/>
    <w:rsid w:val="00B24726"/>
    <w:rsid w:val="00B24845"/>
    <w:rsid w:val="00B26370"/>
    <w:rsid w:val="00B26423"/>
    <w:rsid w:val="00B27039"/>
    <w:rsid w:val="00B273AC"/>
    <w:rsid w:val="00B27D18"/>
    <w:rsid w:val="00B300DB"/>
    <w:rsid w:val="00B32BEC"/>
    <w:rsid w:val="00B338D5"/>
    <w:rsid w:val="00B35B87"/>
    <w:rsid w:val="00B371BC"/>
    <w:rsid w:val="00B40556"/>
    <w:rsid w:val="00B42B22"/>
    <w:rsid w:val="00B43107"/>
    <w:rsid w:val="00B457E2"/>
    <w:rsid w:val="00B45AC4"/>
    <w:rsid w:val="00B45E0A"/>
    <w:rsid w:val="00B46FCF"/>
    <w:rsid w:val="00B47A18"/>
    <w:rsid w:val="00B51CD5"/>
    <w:rsid w:val="00B53824"/>
    <w:rsid w:val="00B53857"/>
    <w:rsid w:val="00B54009"/>
    <w:rsid w:val="00B54B6C"/>
    <w:rsid w:val="00B550B4"/>
    <w:rsid w:val="00B55A04"/>
    <w:rsid w:val="00B55CEE"/>
    <w:rsid w:val="00B56FB1"/>
    <w:rsid w:val="00B576AD"/>
    <w:rsid w:val="00B60020"/>
    <w:rsid w:val="00B6083F"/>
    <w:rsid w:val="00B61504"/>
    <w:rsid w:val="00B62CC5"/>
    <w:rsid w:val="00B62E95"/>
    <w:rsid w:val="00B63ABC"/>
    <w:rsid w:val="00B64D3D"/>
    <w:rsid w:val="00B64F0A"/>
    <w:rsid w:val="00B6562C"/>
    <w:rsid w:val="00B65AD5"/>
    <w:rsid w:val="00B662C2"/>
    <w:rsid w:val="00B6729E"/>
    <w:rsid w:val="00B672F0"/>
    <w:rsid w:val="00B720C9"/>
    <w:rsid w:val="00B72295"/>
    <w:rsid w:val="00B72BB1"/>
    <w:rsid w:val="00B7391B"/>
    <w:rsid w:val="00B73ACC"/>
    <w:rsid w:val="00B743E7"/>
    <w:rsid w:val="00B74B80"/>
    <w:rsid w:val="00B768A9"/>
    <w:rsid w:val="00B768BC"/>
    <w:rsid w:val="00B76E90"/>
    <w:rsid w:val="00B779AF"/>
    <w:rsid w:val="00B8005C"/>
    <w:rsid w:val="00B82E5F"/>
    <w:rsid w:val="00B83B3F"/>
    <w:rsid w:val="00B8619C"/>
    <w:rsid w:val="00B8666B"/>
    <w:rsid w:val="00B86C64"/>
    <w:rsid w:val="00B904F4"/>
    <w:rsid w:val="00B90BD1"/>
    <w:rsid w:val="00B92536"/>
    <w:rsid w:val="00B9274D"/>
    <w:rsid w:val="00B94207"/>
    <w:rsid w:val="00B94255"/>
    <w:rsid w:val="00B945D4"/>
    <w:rsid w:val="00B947E6"/>
    <w:rsid w:val="00B9506C"/>
    <w:rsid w:val="00B97B50"/>
    <w:rsid w:val="00BA087F"/>
    <w:rsid w:val="00BA2BDD"/>
    <w:rsid w:val="00BA3959"/>
    <w:rsid w:val="00BA436C"/>
    <w:rsid w:val="00BA563D"/>
    <w:rsid w:val="00BA5BCC"/>
    <w:rsid w:val="00BB1234"/>
    <w:rsid w:val="00BB13ED"/>
    <w:rsid w:val="00BB1634"/>
    <w:rsid w:val="00BB1855"/>
    <w:rsid w:val="00BB2332"/>
    <w:rsid w:val="00BB239F"/>
    <w:rsid w:val="00BB2494"/>
    <w:rsid w:val="00BB24C4"/>
    <w:rsid w:val="00BB2522"/>
    <w:rsid w:val="00BB28A3"/>
    <w:rsid w:val="00BB5218"/>
    <w:rsid w:val="00BB72C0"/>
    <w:rsid w:val="00BB7FF3"/>
    <w:rsid w:val="00BC0AF1"/>
    <w:rsid w:val="00BC256C"/>
    <w:rsid w:val="00BC27BE"/>
    <w:rsid w:val="00BC3779"/>
    <w:rsid w:val="00BC41A0"/>
    <w:rsid w:val="00BC43D8"/>
    <w:rsid w:val="00BC5A86"/>
    <w:rsid w:val="00BC78F5"/>
    <w:rsid w:val="00BC7914"/>
    <w:rsid w:val="00BC7AB9"/>
    <w:rsid w:val="00BD0186"/>
    <w:rsid w:val="00BD0C0C"/>
    <w:rsid w:val="00BD0D32"/>
    <w:rsid w:val="00BD1661"/>
    <w:rsid w:val="00BD2AE5"/>
    <w:rsid w:val="00BD32C9"/>
    <w:rsid w:val="00BD4453"/>
    <w:rsid w:val="00BD6178"/>
    <w:rsid w:val="00BD6348"/>
    <w:rsid w:val="00BE02EB"/>
    <w:rsid w:val="00BE04FF"/>
    <w:rsid w:val="00BE124B"/>
    <w:rsid w:val="00BE147F"/>
    <w:rsid w:val="00BE1BBC"/>
    <w:rsid w:val="00BE46B5"/>
    <w:rsid w:val="00BE6663"/>
    <w:rsid w:val="00BE6E42"/>
    <w:rsid w:val="00BE6E4A"/>
    <w:rsid w:val="00BF0917"/>
    <w:rsid w:val="00BF0CD7"/>
    <w:rsid w:val="00BF0E8A"/>
    <w:rsid w:val="00BF0F60"/>
    <w:rsid w:val="00BF1106"/>
    <w:rsid w:val="00BF143E"/>
    <w:rsid w:val="00BF15CE"/>
    <w:rsid w:val="00BF2157"/>
    <w:rsid w:val="00BF23E8"/>
    <w:rsid w:val="00BF2BEE"/>
    <w:rsid w:val="00BF2E07"/>
    <w:rsid w:val="00BF2FC3"/>
    <w:rsid w:val="00BF3551"/>
    <w:rsid w:val="00BF37C3"/>
    <w:rsid w:val="00BF4F07"/>
    <w:rsid w:val="00BF695B"/>
    <w:rsid w:val="00BF6A14"/>
    <w:rsid w:val="00BF71B0"/>
    <w:rsid w:val="00C0161F"/>
    <w:rsid w:val="00C01880"/>
    <w:rsid w:val="00C030BD"/>
    <w:rsid w:val="00C032BE"/>
    <w:rsid w:val="00C036C3"/>
    <w:rsid w:val="00C03CCA"/>
    <w:rsid w:val="00C040E8"/>
    <w:rsid w:val="00C04354"/>
    <w:rsid w:val="00C0499E"/>
    <w:rsid w:val="00C04BB2"/>
    <w:rsid w:val="00C04F4A"/>
    <w:rsid w:val="00C058AF"/>
    <w:rsid w:val="00C06484"/>
    <w:rsid w:val="00C06F9E"/>
    <w:rsid w:val="00C07776"/>
    <w:rsid w:val="00C07C0D"/>
    <w:rsid w:val="00C10210"/>
    <w:rsid w:val="00C1035C"/>
    <w:rsid w:val="00C1054C"/>
    <w:rsid w:val="00C10838"/>
    <w:rsid w:val="00C1140E"/>
    <w:rsid w:val="00C1358F"/>
    <w:rsid w:val="00C13C2A"/>
    <w:rsid w:val="00C13CE8"/>
    <w:rsid w:val="00C14187"/>
    <w:rsid w:val="00C15151"/>
    <w:rsid w:val="00C1663D"/>
    <w:rsid w:val="00C16B6B"/>
    <w:rsid w:val="00C17094"/>
    <w:rsid w:val="00C179BC"/>
    <w:rsid w:val="00C17F8C"/>
    <w:rsid w:val="00C20AC1"/>
    <w:rsid w:val="00C211E6"/>
    <w:rsid w:val="00C217B7"/>
    <w:rsid w:val="00C22446"/>
    <w:rsid w:val="00C22681"/>
    <w:rsid w:val="00C22FB5"/>
    <w:rsid w:val="00C24236"/>
    <w:rsid w:val="00C24CBF"/>
    <w:rsid w:val="00C251BE"/>
    <w:rsid w:val="00C25355"/>
    <w:rsid w:val="00C25C66"/>
    <w:rsid w:val="00C2710B"/>
    <w:rsid w:val="00C27340"/>
    <w:rsid w:val="00C273AD"/>
    <w:rsid w:val="00C279C2"/>
    <w:rsid w:val="00C308D8"/>
    <w:rsid w:val="00C31211"/>
    <w:rsid w:val="00C3183E"/>
    <w:rsid w:val="00C31D69"/>
    <w:rsid w:val="00C33531"/>
    <w:rsid w:val="00C33B9E"/>
    <w:rsid w:val="00C34194"/>
    <w:rsid w:val="00C3578E"/>
    <w:rsid w:val="00C35EF7"/>
    <w:rsid w:val="00C36042"/>
    <w:rsid w:val="00C37BAE"/>
    <w:rsid w:val="00C4043D"/>
    <w:rsid w:val="00C40DAA"/>
    <w:rsid w:val="00C41C84"/>
    <w:rsid w:val="00C41F7E"/>
    <w:rsid w:val="00C4277D"/>
    <w:rsid w:val="00C42A1B"/>
    <w:rsid w:val="00C42B41"/>
    <w:rsid w:val="00C42C1F"/>
    <w:rsid w:val="00C439DA"/>
    <w:rsid w:val="00C442E2"/>
    <w:rsid w:val="00C44A8D"/>
    <w:rsid w:val="00C44CF8"/>
    <w:rsid w:val="00C45B91"/>
    <w:rsid w:val="00C460A1"/>
    <w:rsid w:val="00C467BC"/>
    <w:rsid w:val="00C4789C"/>
    <w:rsid w:val="00C50DC4"/>
    <w:rsid w:val="00C523C4"/>
    <w:rsid w:val="00C52C02"/>
    <w:rsid w:val="00C52C5C"/>
    <w:rsid w:val="00C52DCB"/>
    <w:rsid w:val="00C53807"/>
    <w:rsid w:val="00C54DB3"/>
    <w:rsid w:val="00C57EE8"/>
    <w:rsid w:val="00C61072"/>
    <w:rsid w:val="00C61CFF"/>
    <w:rsid w:val="00C6243C"/>
    <w:rsid w:val="00C62F54"/>
    <w:rsid w:val="00C63AEA"/>
    <w:rsid w:val="00C66799"/>
    <w:rsid w:val="00C6689F"/>
    <w:rsid w:val="00C67BBF"/>
    <w:rsid w:val="00C70168"/>
    <w:rsid w:val="00C71155"/>
    <w:rsid w:val="00C718DD"/>
    <w:rsid w:val="00C71AFB"/>
    <w:rsid w:val="00C71BB7"/>
    <w:rsid w:val="00C72933"/>
    <w:rsid w:val="00C72A4E"/>
    <w:rsid w:val="00C74707"/>
    <w:rsid w:val="00C74F3C"/>
    <w:rsid w:val="00C75930"/>
    <w:rsid w:val="00C76580"/>
    <w:rsid w:val="00C767C7"/>
    <w:rsid w:val="00C779FD"/>
    <w:rsid w:val="00C77D84"/>
    <w:rsid w:val="00C80B9E"/>
    <w:rsid w:val="00C8168E"/>
    <w:rsid w:val="00C841B7"/>
    <w:rsid w:val="00C84521"/>
    <w:rsid w:val="00C84A6C"/>
    <w:rsid w:val="00C8667D"/>
    <w:rsid w:val="00C86967"/>
    <w:rsid w:val="00C909B3"/>
    <w:rsid w:val="00C91281"/>
    <w:rsid w:val="00C928A8"/>
    <w:rsid w:val="00C93044"/>
    <w:rsid w:val="00C93AB4"/>
    <w:rsid w:val="00C95246"/>
    <w:rsid w:val="00CA103E"/>
    <w:rsid w:val="00CA1717"/>
    <w:rsid w:val="00CA1ACC"/>
    <w:rsid w:val="00CA1F2D"/>
    <w:rsid w:val="00CA3AB0"/>
    <w:rsid w:val="00CA6C45"/>
    <w:rsid w:val="00CA6E25"/>
    <w:rsid w:val="00CA7183"/>
    <w:rsid w:val="00CA74F6"/>
    <w:rsid w:val="00CA7603"/>
    <w:rsid w:val="00CA7641"/>
    <w:rsid w:val="00CB2EE2"/>
    <w:rsid w:val="00CB364E"/>
    <w:rsid w:val="00CB37B8"/>
    <w:rsid w:val="00CB38E6"/>
    <w:rsid w:val="00CB3F9F"/>
    <w:rsid w:val="00CB4F1A"/>
    <w:rsid w:val="00CB58B4"/>
    <w:rsid w:val="00CB64DD"/>
    <w:rsid w:val="00CB6577"/>
    <w:rsid w:val="00CB670A"/>
    <w:rsid w:val="00CB6768"/>
    <w:rsid w:val="00CB74C7"/>
    <w:rsid w:val="00CC0243"/>
    <w:rsid w:val="00CC08DA"/>
    <w:rsid w:val="00CC1FE9"/>
    <w:rsid w:val="00CC3B49"/>
    <w:rsid w:val="00CC3D04"/>
    <w:rsid w:val="00CC4AF7"/>
    <w:rsid w:val="00CC54E5"/>
    <w:rsid w:val="00CC6B96"/>
    <w:rsid w:val="00CC6F04"/>
    <w:rsid w:val="00CC6FB7"/>
    <w:rsid w:val="00CC7B94"/>
    <w:rsid w:val="00CD1D32"/>
    <w:rsid w:val="00CD2F02"/>
    <w:rsid w:val="00CD39BC"/>
    <w:rsid w:val="00CD5A94"/>
    <w:rsid w:val="00CD6E8E"/>
    <w:rsid w:val="00CD71FC"/>
    <w:rsid w:val="00CE0340"/>
    <w:rsid w:val="00CE12CB"/>
    <w:rsid w:val="00CE161F"/>
    <w:rsid w:val="00CE2A1B"/>
    <w:rsid w:val="00CE2CC6"/>
    <w:rsid w:val="00CE3529"/>
    <w:rsid w:val="00CE3AB4"/>
    <w:rsid w:val="00CE4320"/>
    <w:rsid w:val="00CE5D9A"/>
    <w:rsid w:val="00CE5E3E"/>
    <w:rsid w:val="00CE76CD"/>
    <w:rsid w:val="00CF0B65"/>
    <w:rsid w:val="00CF1665"/>
    <w:rsid w:val="00CF1C1F"/>
    <w:rsid w:val="00CF3B5E"/>
    <w:rsid w:val="00CF3BA6"/>
    <w:rsid w:val="00CF3D8C"/>
    <w:rsid w:val="00CF4D6D"/>
    <w:rsid w:val="00CF4E8C"/>
    <w:rsid w:val="00CF5CF6"/>
    <w:rsid w:val="00CF67FE"/>
    <w:rsid w:val="00CF6913"/>
    <w:rsid w:val="00CF7AA7"/>
    <w:rsid w:val="00D006CF"/>
    <w:rsid w:val="00D007DF"/>
    <w:rsid w:val="00D008A6"/>
    <w:rsid w:val="00D00960"/>
    <w:rsid w:val="00D00B74"/>
    <w:rsid w:val="00D00DB3"/>
    <w:rsid w:val="00D015F0"/>
    <w:rsid w:val="00D01CAE"/>
    <w:rsid w:val="00D042D0"/>
    <w:rsid w:val="00D0447B"/>
    <w:rsid w:val="00D04894"/>
    <w:rsid w:val="00D048A2"/>
    <w:rsid w:val="00D053CE"/>
    <w:rsid w:val="00D055EB"/>
    <w:rsid w:val="00D056FE"/>
    <w:rsid w:val="00D05B56"/>
    <w:rsid w:val="00D05D60"/>
    <w:rsid w:val="00D1118E"/>
    <w:rsid w:val="00D114B2"/>
    <w:rsid w:val="00D11CC3"/>
    <w:rsid w:val="00D121C4"/>
    <w:rsid w:val="00D12C69"/>
    <w:rsid w:val="00D12CE6"/>
    <w:rsid w:val="00D14274"/>
    <w:rsid w:val="00D151E8"/>
    <w:rsid w:val="00D15E5B"/>
    <w:rsid w:val="00D17983"/>
    <w:rsid w:val="00D17C62"/>
    <w:rsid w:val="00D20162"/>
    <w:rsid w:val="00D21586"/>
    <w:rsid w:val="00D21EA5"/>
    <w:rsid w:val="00D23A38"/>
    <w:rsid w:val="00D2574C"/>
    <w:rsid w:val="00D26D79"/>
    <w:rsid w:val="00D27C2B"/>
    <w:rsid w:val="00D33224"/>
    <w:rsid w:val="00D33363"/>
    <w:rsid w:val="00D34529"/>
    <w:rsid w:val="00D34943"/>
    <w:rsid w:val="00D34A2B"/>
    <w:rsid w:val="00D35409"/>
    <w:rsid w:val="00D359D4"/>
    <w:rsid w:val="00D378CD"/>
    <w:rsid w:val="00D41B88"/>
    <w:rsid w:val="00D41E23"/>
    <w:rsid w:val="00D41E9B"/>
    <w:rsid w:val="00D429EC"/>
    <w:rsid w:val="00D43D44"/>
    <w:rsid w:val="00D43EBB"/>
    <w:rsid w:val="00D44364"/>
    <w:rsid w:val="00D44E4E"/>
    <w:rsid w:val="00D46D26"/>
    <w:rsid w:val="00D50C0E"/>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22A2"/>
    <w:rsid w:val="00D62341"/>
    <w:rsid w:val="00D63126"/>
    <w:rsid w:val="00D63A67"/>
    <w:rsid w:val="00D646C9"/>
    <w:rsid w:val="00D6492E"/>
    <w:rsid w:val="00D65845"/>
    <w:rsid w:val="00D70087"/>
    <w:rsid w:val="00D7079E"/>
    <w:rsid w:val="00D70823"/>
    <w:rsid w:val="00D70AB1"/>
    <w:rsid w:val="00D70F23"/>
    <w:rsid w:val="00D734DD"/>
    <w:rsid w:val="00D73A1C"/>
    <w:rsid w:val="00D73DD6"/>
    <w:rsid w:val="00D745F5"/>
    <w:rsid w:val="00D75392"/>
    <w:rsid w:val="00D7585E"/>
    <w:rsid w:val="00D759A3"/>
    <w:rsid w:val="00D7633E"/>
    <w:rsid w:val="00D80D84"/>
    <w:rsid w:val="00D817A0"/>
    <w:rsid w:val="00D82445"/>
    <w:rsid w:val="00D82E32"/>
    <w:rsid w:val="00D83974"/>
    <w:rsid w:val="00D840FB"/>
    <w:rsid w:val="00D84133"/>
    <w:rsid w:val="00D8431C"/>
    <w:rsid w:val="00D84542"/>
    <w:rsid w:val="00D84766"/>
    <w:rsid w:val="00D85133"/>
    <w:rsid w:val="00D90AFF"/>
    <w:rsid w:val="00D91607"/>
    <w:rsid w:val="00D92C82"/>
    <w:rsid w:val="00D93336"/>
    <w:rsid w:val="00D94314"/>
    <w:rsid w:val="00D948FF"/>
    <w:rsid w:val="00D95BC7"/>
    <w:rsid w:val="00D95C17"/>
    <w:rsid w:val="00D96043"/>
    <w:rsid w:val="00D96303"/>
    <w:rsid w:val="00D9651D"/>
    <w:rsid w:val="00D97779"/>
    <w:rsid w:val="00DA14AB"/>
    <w:rsid w:val="00DA237B"/>
    <w:rsid w:val="00DA52F5"/>
    <w:rsid w:val="00DA73A3"/>
    <w:rsid w:val="00DA76DD"/>
    <w:rsid w:val="00DA7A55"/>
    <w:rsid w:val="00DB1424"/>
    <w:rsid w:val="00DB2735"/>
    <w:rsid w:val="00DB3080"/>
    <w:rsid w:val="00DB4E12"/>
    <w:rsid w:val="00DB5771"/>
    <w:rsid w:val="00DC0AB6"/>
    <w:rsid w:val="00DC15B4"/>
    <w:rsid w:val="00DC21CF"/>
    <w:rsid w:val="00DC3395"/>
    <w:rsid w:val="00DC3664"/>
    <w:rsid w:val="00DC4B9B"/>
    <w:rsid w:val="00DC6162"/>
    <w:rsid w:val="00DC6E96"/>
    <w:rsid w:val="00DC6EFC"/>
    <w:rsid w:val="00DC75EF"/>
    <w:rsid w:val="00DC7CDE"/>
    <w:rsid w:val="00DD0300"/>
    <w:rsid w:val="00DD195B"/>
    <w:rsid w:val="00DD243F"/>
    <w:rsid w:val="00DD46E9"/>
    <w:rsid w:val="00DD4711"/>
    <w:rsid w:val="00DD4812"/>
    <w:rsid w:val="00DD4CA7"/>
    <w:rsid w:val="00DE0097"/>
    <w:rsid w:val="00DE05AE"/>
    <w:rsid w:val="00DE0979"/>
    <w:rsid w:val="00DE12E9"/>
    <w:rsid w:val="00DE2568"/>
    <w:rsid w:val="00DE2C99"/>
    <w:rsid w:val="00DE301D"/>
    <w:rsid w:val="00DE33D6"/>
    <w:rsid w:val="00DE33EC"/>
    <w:rsid w:val="00DE3B0D"/>
    <w:rsid w:val="00DE40B1"/>
    <w:rsid w:val="00DE43F4"/>
    <w:rsid w:val="00DE531D"/>
    <w:rsid w:val="00DE53F8"/>
    <w:rsid w:val="00DE5A51"/>
    <w:rsid w:val="00DE60E6"/>
    <w:rsid w:val="00DE64ED"/>
    <w:rsid w:val="00DE6C9B"/>
    <w:rsid w:val="00DE74DC"/>
    <w:rsid w:val="00DE7D5A"/>
    <w:rsid w:val="00DF1EC4"/>
    <w:rsid w:val="00DF247C"/>
    <w:rsid w:val="00DF2720"/>
    <w:rsid w:val="00DF3F4F"/>
    <w:rsid w:val="00DF4A1F"/>
    <w:rsid w:val="00DF707E"/>
    <w:rsid w:val="00DF70A1"/>
    <w:rsid w:val="00DF759D"/>
    <w:rsid w:val="00E003AF"/>
    <w:rsid w:val="00E00482"/>
    <w:rsid w:val="00E018C3"/>
    <w:rsid w:val="00E01C15"/>
    <w:rsid w:val="00E03A14"/>
    <w:rsid w:val="00E052B1"/>
    <w:rsid w:val="00E05886"/>
    <w:rsid w:val="00E07CA1"/>
    <w:rsid w:val="00E104C6"/>
    <w:rsid w:val="00E10C02"/>
    <w:rsid w:val="00E12F12"/>
    <w:rsid w:val="00E134D8"/>
    <w:rsid w:val="00E137F4"/>
    <w:rsid w:val="00E13836"/>
    <w:rsid w:val="00E13C10"/>
    <w:rsid w:val="00E157A7"/>
    <w:rsid w:val="00E164F2"/>
    <w:rsid w:val="00E16F61"/>
    <w:rsid w:val="00E178A7"/>
    <w:rsid w:val="00E17B2F"/>
    <w:rsid w:val="00E2095A"/>
    <w:rsid w:val="00E20F6A"/>
    <w:rsid w:val="00E21A25"/>
    <w:rsid w:val="00E23303"/>
    <w:rsid w:val="00E23766"/>
    <w:rsid w:val="00E239E0"/>
    <w:rsid w:val="00E24071"/>
    <w:rsid w:val="00E2504B"/>
    <w:rsid w:val="00E253CA"/>
    <w:rsid w:val="00E2771C"/>
    <w:rsid w:val="00E27F9B"/>
    <w:rsid w:val="00E31D50"/>
    <w:rsid w:val="00E324D9"/>
    <w:rsid w:val="00E331FB"/>
    <w:rsid w:val="00E33DF4"/>
    <w:rsid w:val="00E35EDE"/>
    <w:rsid w:val="00E36528"/>
    <w:rsid w:val="00E409B4"/>
    <w:rsid w:val="00E40CF7"/>
    <w:rsid w:val="00E413B8"/>
    <w:rsid w:val="00E419BA"/>
    <w:rsid w:val="00E434EB"/>
    <w:rsid w:val="00E440C0"/>
    <w:rsid w:val="00E45E8C"/>
    <w:rsid w:val="00E4683D"/>
    <w:rsid w:val="00E46CA0"/>
    <w:rsid w:val="00E4765C"/>
    <w:rsid w:val="00E504A1"/>
    <w:rsid w:val="00E51231"/>
    <w:rsid w:val="00E52A67"/>
    <w:rsid w:val="00E562F3"/>
    <w:rsid w:val="00E602A7"/>
    <w:rsid w:val="00E619E1"/>
    <w:rsid w:val="00E62179"/>
    <w:rsid w:val="00E62FBE"/>
    <w:rsid w:val="00E63389"/>
    <w:rsid w:val="00E644E7"/>
    <w:rsid w:val="00E64597"/>
    <w:rsid w:val="00E65780"/>
    <w:rsid w:val="00E66AA1"/>
    <w:rsid w:val="00E66B6A"/>
    <w:rsid w:val="00E67772"/>
    <w:rsid w:val="00E71243"/>
    <w:rsid w:val="00E71362"/>
    <w:rsid w:val="00E714D8"/>
    <w:rsid w:val="00E7168A"/>
    <w:rsid w:val="00E717A0"/>
    <w:rsid w:val="00E71D25"/>
    <w:rsid w:val="00E7295C"/>
    <w:rsid w:val="00E731EA"/>
    <w:rsid w:val="00E73306"/>
    <w:rsid w:val="00E73343"/>
    <w:rsid w:val="00E74817"/>
    <w:rsid w:val="00E74FE4"/>
    <w:rsid w:val="00E7553D"/>
    <w:rsid w:val="00E7738D"/>
    <w:rsid w:val="00E80EF3"/>
    <w:rsid w:val="00E8109C"/>
    <w:rsid w:val="00E81633"/>
    <w:rsid w:val="00E82AED"/>
    <w:rsid w:val="00E82FCC"/>
    <w:rsid w:val="00E831A3"/>
    <w:rsid w:val="00E83E71"/>
    <w:rsid w:val="00E8444C"/>
    <w:rsid w:val="00E8519C"/>
    <w:rsid w:val="00E862B5"/>
    <w:rsid w:val="00E86733"/>
    <w:rsid w:val="00E86927"/>
    <w:rsid w:val="00E86BF4"/>
    <w:rsid w:val="00E8700D"/>
    <w:rsid w:val="00E87094"/>
    <w:rsid w:val="00E90AE7"/>
    <w:rsid w:val="00E90E51"/>
    <w:rsid w:val="00E9108A"/>
    <w:rsid w:val="00E91200"/>
    <w:rsid w:val="00E92FD7"/>
    <w:rsid w:val="00E94803"/>
    <w:rsid w:val="00E94B69"/>
    <w:rsid w:val="00E951EC"/>
    <w:rsid w:val="00E9588E"/>
    <w:rsid w:val="00E96813"/>
    <w:rsid w:val="00EA0B68"/>
    <w:rsid w:val="00EA17B9"/>
    <w:rsid w:val="00EA1EA2"/>
    <w:rsid w:val="00EA279E"/>
    <w:rsid w:val="00EA2BA6"/>
    <w:rsid w:val="00EA33B1"/>
    <w:rsid w:val="00EA74F2"/>
    <w:rsid w:val="00EA7552"/>
    <w:rsid w:val="00EA7F5C"/>
    <w:rsid w:val="00EB0658"/>
    <w:rsid w:val="00EB193D"/>
    <w:rsid w:val="00EB2A71"/>
    <w:rsid w:val="00EB32CF"/>
    <w:rsid w:val="00EB4BEF"/>
    <w:rsid w:val="00EB4DDA"/>
    <w:rsid w:val="00EB7598"/>
    <w:rsid w:val="00EB7885"/>
    <w:rsid w:val="00EC04AE"/>
    <w:rsid w:val="00EC0998"/>
    <w:rsid w:val="00EC251E"/>
    <w:rsid w:val="00EC2805"/>
    <w:rsid w:val="00EC3100"/>
    <w:rsid w:val="00EC3D02"/>
    <w:rsid w:val="00EC437B"/>
    <w:rsid w:val="00EC4CBD"/>
    <w:rsid w:val="00EC4EE8"/>
    <w:rsid w:val="00EC4FE3"/>
    <w:rsid w:val="00EC703B"/>
    <w:rsid w:val="00EC70D8"/>
    <w:rsid w:val="00EC78F8"/>
    <w:rsid w:val="00ED1008"/>
    <w:rsid w:val="00ED1338"/>
    <w:rsid w:val="00ED1475"/>
    <w:rsid w:val="00ED1AB4"/>
    <w:rsid w:val="00ED288C"/>
    <w:rsid w:val="00ED2C23"/>
    <w:rsid w:val="00ED2CF0"/>
    <w:rsid w:val="00ED34C6"/>
    <w:rsid w:val="00ED4B71"/>
    <w:rsid w:val="00ED6D87"/>
    <w:rsid w:val="00EE1058"/>
    <w:rsid w:val="00EE1089"/>
    <w:rsid w:val="00EE1614"/>
    <w:rsid w:val="00EE1655"/>
    <w:rsid w:val="00EE3260"/>
    <w:rsid w:val="00EE3CF3"/>
    <w:rsid w:val="00EE50F0"/>
    <w:rsid w:val="00EE586E"/>
    <w:rsid w:val="00EE5BEB"/>
    <w:rsid w:val="00EE628E"/>
    <w:rsid w:val="00EE6524"/>
    <w:rsid w:val="00EE69BC"/>
    <w:rsid w:val="00EE788B"/>
    <w:rsid w:val="00EF00ED"/>
    <w:rsid w:val="00EF0192"/>
    <w:rsid w:val="00EF0196"/>
    <w:rsid w:val="00EF06A8"/>
    <w:rsid w:val="00EF0943"/>
    <w:rsid w:val="00EF0EAD"/>
    <w:rsid w:val="00EF3476"/>
    <w:rsid w:val="00EF4CB1"/>
    <w:rsid w:val="00EF5798"/>
    <w:rsid w:val="00EF6006"/>
    <w:rsid w:val="00EF60A5"/>
    <w:rsid w:val="00EF60E5"/>
    <w:rsid w:val="00EF6A0C"/>
    <w:rsid w:val="00EF6E7F"/>
    <w:rsid w:val="00EF77FF"/>
    <w:rsid w:val="00F01763"/>
    <w:rsid w:val="00F01D8F"/>
    <w:rsid w:val="00F01D93"/>
    <w:rsid w:val="00F0316E"/>
    <w:rsid w:val="00F0399F"/>
    <w:rsid w:val="00F058DD"/>
    <w:rsid w:val="00F05A4D"/>
    <w:rsid w:val="00F06597"/>
    <w:rsid w:val="00F06BB9"/>
    <w:rsid w:val="00F1090C"/>
    <w:rsid w:val="00F10BCF"/>
    <w:rsid w:val="00F11042"/>
    <w:rsid w:val="00F121C4"/>
    <w:rsid w:val="00F13344"/>
    <w:rsid w:val="00F15F87"/>
    <w:rsid w:val="00F16658"/>
    <w:rsid w:val="00F17235"/>
    <w:rsid w:val="00F20B40"/>
    <w:rsid w:val="00F22490"/>
    <w:rsid w:val="00F2269A"/>
    <w:rsid w:val="00F22775"/>
    <w:rsid w:val="00F228A5"/>
    <w:rsid w:val="00F246D4"/>
    <w:rsid w:val="00F269DC"/>
    <w:rsid w:val="00F309E2"/>
    <w:rsid w:val="00F30C2D"/>
    <w:rsid w:val="00F318BD"/>
    <w:rsid w:val="00F32557"/>
    <w:rsid w:val="00F32CE9"/>
    <w:rsid w:val="00F3300A"/>
    <w:rsid w:val="00F330C6"/>
    <w:rsid w:val="00F332EF"/>
    <w:rsid w:val="00F3349E"/>
    <w:rsid w:val="00F33A6A"/>
    <w:rsid w:val="00F3411F"/>
    <w:rsid w:val="00F34D8E"/>
    <w:rsid w:val="00F3515A"/>
    <w:rsid w:val="00F3674D"/>
    <w:rsid w:val="00F37587"/>
    <w:rsid w:val="00F37F5C"/>
    <w:rsid w:val="00F4079E"/>
    <w:rsid w:val="00F40B14"/>
    <w:rsid w:val="00F42101"/>
    <w:rsid w:val="00F42EAA"/>
    <w:rsid w:val="00F42EE0"/>
    <w:rsid w:val="00F434A9"/>
    <w:rsid w:val="00F437C4"/>
    <w:rsid w:val="00F446A0"/>
    <w:rsid w:val="00F46031"/>
    <w:rsid w:val="00F4739C"/>
    <w:rsid w:val="00F47A0A"/>
    <w:rsid w:val="00F47A79"/>
    <w:rsid w:val="00F47F5C"/>
    <w:rsid w:val="00F500F4"/>
    <w:rsid w:val="00F51220"/>
    <w:rsid w:val="00F51928"/>
    <w:rsid w:val="00F51E65"/>
    <w:rsid w:val="00F52272"/>
    <w:rsid w:val="00F526D6"/>
    <w:rsid w:val="00F5296A"/>
    <w:rsid w:val="00F543B3"/>
    <w:rsid w:val="00F5467A"/>
    <w:rsid w:val="00F548BF"/>
    <w:rsid w:val="00F5643A"/>
    <w:rsid w:val="00F56596"/>
    <w:rsid w:val="00F575EC"/>
    <w:rsid w:val="00F60582"/>
    <w:rsid w:val="00F61CC5"/>
    <w:rsid w:val="00F62236"/>
    <w:rsid w:val="00F63CDF"/>
    <w:rsid w:val="00F642AF"/>
    <w:rsid w:val="00F650B4"/>
    <w:rsid w:val="00F65901"/>
    <w:rsid w:val="00F65AFC"/>
    <w:rsid w:val="00F65F6E"/>
    <w:rsid w:val="00F66974"/>
    <w:rsid w:val="00F66B95"/>
    <w:rsid w:val="00F67BBA"/>
    <w:rsid w:val="00F706AA"/>
    <w:rsid w:val="00F70AE9"/>
    <w:rsid w:val="00F70E7E"/>
    <w:rsid w:val="00F715D0"/>
    <w:rsid w:val="00F717E7"/>
    <w:rsid w:val="00F724A1"/>
    <w:rsid w:val="00F7288E"/>
    <w:rsid w:val="00F740FA"/>
    <w:rsid w:val="00F74227"/>
    <w:rsid w:val="00F74A7A"/>
    <w:rsid w:val="00F7632C"/>
    <w:rsid w:val="00F76FDC"/>
    <w:rsid w:val="00F77136"/>
    <w:rsid w:val="00F771C6"/>
    <w:rsid w:val="00F77E4A"/>
    <w:rsid w:val="00F77ED7"/>
    <w:rsid w:val="00F80F5D"/>
    <w:rsid w:val="00F8147A"/>
    <w:rsid w:val="00F817BD"/>
    <w:rsid w:val="00F83143"/>
    <w:rsid w:val="00F838DC"/>
    <w:rsid w:val="00F83952"/>
    <w:rsid w:val="00F84343"/>
    <w:rsid w:val="00F84564"/>
    <w:rsid w:val="00F853F3"/>
    <w:rsid w:val="00F8591B"/>
    <w:rsid w:val="00F8655C"/>
    <w:rsid w:val="00F9049D"/>
    <w:rsid w:val="00F90BCA"/>
    <w:rsid w:val="00F90E1A"/>
    <w:rsid w:val="00F91B79"/>
    <w:rsid w:val="00F94B27"/>
    <w:rsid w:val="00F94CBF"/>
    <w:rsid w:val="00F96626"/>
    <w:rsid w:val="00F96946"/>
    <w:rsid w:val="00F97131"/>
    <w:rsid w:val="00F9720F"/>
    <w:rsid w:val="00F97B4B"/>
    <w:rsid w:val="00F97C84"/>
    <w:rsid w:val="00FA0156"/>
    <w:rsid w:val="00FA0D81"/>
    <w:rsid w:val="00FA166A"/>
    <w:rsid w:val="00FA1C87"/>
    <w:rsid w:val="00FA1F26"/>
    <w:rsid w:val="00FA2CF6"/>
    <w:rsid w:val="00FA2D55"/>
    <w:rsid w:val="00FA3065"/>
    <w:rsid w:val="00FA3EBB"/>
    <w:rsid w:val="00FA4077"/>
    <w:rsid w:val="00FA52F9"/>
    <w:rsid w:val="00FA6F71"/>
    <w:rsid w:val="00FB0346"/>
    <w:rsid w:val="00FB0E61"/>
    <w:rsid w:val="00FB10FF"/>
    <w:rsid w:val="00FB1AF9"/>
    <w:rsid w:val="00FB1D69"/>
    <w:rsid w:val="00FB2812"/>
    <w:rsid w:val="00FB332B"/>
    <w:rsid w:val="00FB3570"/>
    <w:rsid w:val="00FB4ACF"/>
    <w:rsid w:val="00FB67AC"/>
    <w:rsid w:val="00FB6ECC"/>
    <w:rsid w:val="00FB7100"/>
    <w:rsid w:val="00FB7FC0"/>
    <w:rsid w:val="00FC0636"/>
    <w:rsid w:val="00FC0C6F"/>
    <w:rsid w:val="00FC11EF"/>
    <w:rsid w:val="00FC14C7"/>
    <w:rsid w:val="00FC1C29"/>
    <w:rsid w:val="00FC2758"/>
    <w:rsid w:val="00FC32CE"/>
    <w:rsid w:val="00FC3523"/>
    <w:rsid w:val="00FC3C3B"/>
    <w:rsid w:val="00FC44C4"/>
    <w:rsid w:val="00FC4F7B"/>
    <w:rsid w:val="00FC7337"/>
    <w:rsid w:val="00FC755A"/>
    <w:rsid w:val="00FC76F5"/>
    <w:rsid w:val="00FD05FD"/>
    <w:rsid w:val="00FD1F94"/>
    <w:rsid w:val="00FD21A7"/>
    <w:rsid w:val="00FD3347"/>
    <w:rsid w:val="00FD3ECB"/>
    <w:rsid w:val="00FD40E9"/>
    <w:rsid w:val="00FD495B"/>
    <w:rsid w:val="00FD5579"/>
    <w:rsid w:val="00FD56A7"/>
    <w:rsid w:val="00FD618C"/>
    <w:rsid w:val="00FD77FA"/>
    <w:rsid w:val="00FD7EC3"/>
    <w:rsid w:val="00FE0052"/>
    <w:rsid w:val="00FE0C73"/>
    <w:rsid w:val="00FE0F38"/>
    <w:rsid w:val="00FE108E"/>
    <w:rsid w:val="00FE10F9"/>
    <w:rsid w:val="00FE126B"/>
    <w:rsid w:val="00FE2356"/>
    <w:rsid w:val="00FE2629"/>
    <w:rsid w:val="00FE3357"/>
    <w:rsid w:val="00FE36BF"/>
    <w:rsid w:val="00FE40B5"/>
    <w:rsid w:val="00FE5F78"/>
    <w:rsid w:val="00FE5FC2"/>
    <w:rsid w:val="00FE660C"/>
    <w:rsid w:val="00FE73A0"/>
    <w:rsid w:val="00FF0F2A"/>
    <w:rsid w:val="00FF21DD"/>
    <w:rsid w:val="00FF492B"/>
    <w:rsid w:val="00FF5EC7"/>
    <w:rsid w:val="00FF6302"/>
    <w:rsid w:val="00FF65E1"/>
    <w:rsid w:val="00FF7815"/>
    <w:rsid w:val="00FF7892"/>
    <w:rsid w:val="036FF37E"/>
    <w:rsid w:val="041EDD50"/>
    <w:rsid w:val="053C4FF3"/>
    <w:rsid w:val="0687349E"/>
    <w:rsid w:val="08641677"/>
    <w:rsid w:val="0F21A7B5"/>
    <w:rsid w:val="168370E5"/>
    <w:rsid w:val="17E1AEF1"/>
    <w:rsid w:val="1BB52D62"/>
    <w:rsid w:val="21C75ED3"/>
    <w:rsid w:val="263255FE"/>
    <w:rsid w:val="2695C9F7"/>
    <w:rsid w:val="2A6F9667"/>
    <w:rsid w:val="2BE2CB78"/>
    <w:rsid w:val="31B3AC62"/>
    <w:rsid w:val="332DBC99"/>
    <w:rsid w:val="37EBAC18"/>
    <w:rsid w:val="396E18D2"/>
    <w:rsid w:val="408893A5"/>
    <w:rsid w:val="568B859B"/>
    <w:rsid w:val="59426B74"/>
    <w:rsid w:val="5B62FD38"/>
    <w:rsid w:val="5E41E4A6"/>
    <w:rsid w:val="6078F535"/>
    <w:rsid w:val="685CFDE5"/>
    <w:rsid w:val="6887CD8A"/>
    <w:rsid w:val="6BF186B5"/>
    <w:rsid w:val="6C981D86"/>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7ADE111-023A-4534-994B-C9BFC030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D6EE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50D9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50D9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50D9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50D9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50D9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50D98"/>
    <w:pPr>
      <w:tabs>
        <w:tab w:val="right" w:leader="dot" w:pos="14570"/>
      </w:tabs>
      <w:spacing w:before="0"/>
    </w:pPr>
    <w:rPr>
      <w:b/>
      <w:noProof/>
    </w:rPr>
  </w:style>
  <w:style w:type="paragraph" w:styleId="TOC2">
    <w:name w:val="toc 2"/>
    <w:aliases w:val="ŠTOC 2"/>
    <w:basedOn w:val="TOC1"/>
    <w:next w:val="Normal"/>
    <w:uiPriority w:val="39"/>
    <w:unhideWhenUsed/>
    <w:rsid w:val="00150D98"/>
    <w:rPr>
      <w:b w:val="0"/>
      <w:bCs/>
    </w:rPr>
  </w:style>
  <w:style w:type="paragraph" w:styleId="Header">
    <w:name w:val="header"/>
    <w:aliases w:val="ŠHeader - Cover Page"/>
    <w:basedOn w:val="Normal"/>
    <w:link w:val="HeaderChar"/>
    <w:uiPriority w:val="24"/>
    <w:unhideWhenUsed/>
    <w:rsid w:val="00150D9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50D98"/>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50D98"/>
    <w:rPr>
      <w:rFonts w:ascii="Arial" w:hAnsi="Arial" w:cs="Arial"/>
      <w:b/>
      <w:bCs/>
      <w:color w:val="002664"/>
      <w:lang w:val="en-AU"/>
    </w:rPr>
  </w:style>
  <w:style w:type="paragraph" w:styleId="Footer">
    <w:name w:val="footer"/>
    <w:aliases w:val="ŠFooter"/>
    <w:basedOn w:val="Normal"/>
    <w:link w:val="FooterChar"/>
    <w:uiPriority w:val="99"/>
    <w:rsid w:val="00150D9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50D98"/>
    <w:rPr>
      <w:rFonts w:ascii="Arial" w:hAnsi="Arial" w:cs="Arial"/>
      <w:sz w:val="18"/>
      <w:szCs w:val="18"/>
      <w:lang w:val="en-AU"/>
    </w:rPr>
  </w:style>
  <w:style w:type="paragraph" w:styleId="Caption">
    <w:name w:val="caption"/>
    <w:aliases w:val="ŠCaption"/>
    <w:basedOn w:val="Normal"/>
    <w:next w:val="Normal"/>
    <w:uiPriority w:val="35"/>
    <w:qFormat/>
    <w:rsid w:val="00150D98"/>
    <w:pPr>
      <w:keepNext/>
      <w:spacing w:after="200" w:line="240" w:lineRule="auto"/>
    </w:pPr>
    <w:rPr>
      <w:b/>
      <w:iCs/>
      <w:szCs w:val="18"/>
    </w:rPr>
  </w:style>
  <w:style w:type="paragraph" w:customStyle="1" w:styleId="Logo">
    <w:name w:val="ŠLogo"/>
    <w:basedOn w:val="Normal"/>
    <w:uiPriority w:val="22"/>
    <w:qFormat/>
    <w:rsid w:val="00150D9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50D9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50D98"/>
    <w:rPr>
      <w:color w:val="2F5496" w:themeColor="accent1" w:themeShade="BF"/>
      <w:u w:val="single"/>
    </w:rPr>
  </w:style>
  <w:style w:type="character" w:styleId="SubtleReference">
    <w:name w:val="Subtle Reference"/>
    <w:aliases w:val="ŠSubtle Reference"/>
    <w:uiPriority w:val="31"/>
    <w:qFormat/>
    <w:rsid w:val="00150D9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50D9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50D9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50D98"/>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50D98"/>
    <w:rPr>
      <w:rFonts w:ascii="Arial" w:hAnsi="Arial" w:cs="Arial"/>
      <w:b/>
      <w:bCs/>
      <w:color w:val="002664"/>
      <w:sz w:val="36"/>
      <w:szCs w:val="36"/>
      <w:lang w:val="en-AU"/>
    </w:rPr>
  </w:style>
  <w:style w:type="table" w:customStyle="1" w:styleId="Tableheader">
    <w:name w:val="ŠTable header"/>
    <w:basedOn w:val="TableNormal"/>
    <w:uiPriority w:val="99"/>
    <w:rsid w:val="00150D9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50D98"/>
    <w:pPr>
      <w:numPr>
        <w:numId w:val="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50D98"/>
    <w:pPr>
      <w:keepNext/>
      <w:spacing w:before="200" w:after="200" w:line="240" w:lineRule="atLeast"/>
      <w:ind w:left="567" w:right="567"/>
    </w:pPr>
  </w:style>
  <w:style w:type="paragraph" w:styleId="ListBullet2">
    <w:name w:val="List Bullet 2"/>
    <w:aliases w:val="ŠList Bullet 2"/>
    <w:basedOn w:val="Normal"/>
    <w:uiPriority w:val="11"/>
    <w:qFormat/>
    <w:rsid w:val="00150D98"/>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50D98"/>
    <w:pPr>
      <w:numPr>
        <w:numId w:val="7"/>
      </w:numPr>
      <w:contextualSpacing/>
    </w:pPr>
  </w:style>
  <w:style w:type="character" w:styleId="Strong">
    <w:name w:val="Strong"/>
    <w:aliases w:val="ŠStrong"/>
    <w:uiPriority w:val="1"/>
    <w:qFormat/>
    <w:rsid w:val="00150D98"/>
    <w:rPr>
      <w:b/>
    </w:rPr>
  </w:style>
  <w:style w:type="paragraph" w:styleId="ListBullet">
    <w:name w:val="List Bullet"/>
    <w:aliases w:val="ŠList Bullet"/>
    <w:basedOn w:val="Normal"/>
    <w:uiPriority w:val="10"/>
    <w:qFormat/>
    <w:rsid w:val="00150D98"/>
    <w:pPr>
      <w:numPr>
        <w:numId w:val="4"/>
      </w:numPr>
      <w:contextualSpacing/>
    </w:pPr>
  </w:style>
  <w:style w:type="character" w:customStyle="1" w:styleId="QuoteChar">
    <w:name w:val="Quote Char"/>
    <w:aliases w:val="ŠQuote Char"/>
    <w:basedOn w:val="DefaultParagraphFont"/>
    <w:link w:val="Quote"/>
    <w:uiPriority w:val="29"/>
    <w:rsid w:val="00150D98"/>
    <w:rPr>
      <w:rFonts w:ascii="Arial" w:hAnsi="Arial" w:cs="Arial"/>
      <w:lang w:val="en-AU"/>
    </w:rPr>
  </w:style>
  <w:style w:type="character" w:styleId="Emphasis">
    <w:name w:val="Emphasis"/>
    <w:aliases w:val="ŠLanguage or scientific"/>
    <w:uiPriority w:val="20"/>
    <w:qFormat/>
    <w:rsid w:val="00150D98"/>
    <w:rPr>
      <w:i/>
      <w:iCs/>
    </w:rPr>
  </w:style>
  <w:style w:type="paragraph" w:styleId="Title">
    <w:name w:val="Title"/>
    <w:aliases w:val="ŠTitle"/>
    <w:basedOn w:val="Normal"/>
    <w:next w:val="Normal"/>
    <w:link w:val="TitleChar"/>
    <w:uiPriority w:val="2"/>
    <w:qFormat/>
    <w:rsid w:val="00150D9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50D9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50D98"/>
    <w:pPr>
      <w:spacing w:before="0" w:line="720" w:lineRule="atLeast"/>
    </w:pPr>
  </w:style>
  <w:style w:type="character" w:customStyle="1" w:styleId="DateChar">
    <w:name w:val="Date Char"/>
    <w:aliases w:val="ŠDate Char"/>
    <w:basedOn w:val="DefaultParagraphFont"/>
    <w:link w:val="Date"/>
    <w:uiPriority w:val="99"/>
    <w:rsid w:val="00150D98"/>
    <w:rPr>
      <w:rFonts w:ascii="Arial" w:hAnsi="Arial" w:cs="Arial"/>
      <w:lang w:val="en-AU"/>
    </w:rPr>
  </w:style>
  <w:style w:type="paragraph" w:styleId="Signature">
    <w:name w:val="Signature"/>
    <w:aliases w:val="ŠSignature"/>
    <w:basedOn w:val="Normal"/>
    <w:link w:val="SignatureChar"/>
    <w:uiPriority w:val="99"/>
    <w:rsid w:val="00150D98"/>
    <w:pPr>
      <w:spacing w:before="0" w:line="720" w:lineRule="atLeast"/>
    </w:pPr>
  </w:style>
  <w:style w:type="character" w:customStyle="1" w:styleId="SignatureChar">
    <w:name w:val="Signature Char"/>
    <w:aliases w:val="ŠSignature Char"/>
    <w:basedOn w:val="DefaultParagraphFont"/>
    <w:link w:val="Signature"/>
    <w:uiPriority w:val="99"/>
    <w:rsid w:val="00150D98"/>
    <w:rPr>
      <w:rFonts w:ascii="Arial" w:hAnsi="Arial" w:cs="Arial"/>
      <w:lang w:val="en-AU"/>
    </w:rPr>
  </w:style>
  <w:style w:type="paragraph" w:styleId="TableofFigures">
    <w:name w:val="table of figures"/>
    <w:basedOn w:val="Normal"/>
    <w:next w:val="Normal"/>
    <w:uiPriority w:val="99"/>
    <w:unhideWhenUsed/>
    <w:rsid w:val="00150D98"/>
  </w:style>
  <w:style w:type="table" w:styleId="TableGrid">
    <w:name w:val="Table Grid"/>
    <w:basedOn w:val="TableNormal"/>
    <w:uiPriority w:val="39"/>
    <w:rsid w:val="00150D9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50D9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50D9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C72933"/>
    <w:pPr>
      <w:spacing w:line="240" w:lineRule="auto"/>
    </w:pPr>
    <w:rPr>
      <w:sz w:val="20"/>
      <w:szCs w:val="20"/>
    </w:rPr>
  </w:style>
  <w:style w:type="character" w:styleId="CommentReference">
    <w:name w:val="annotation reference"/>
    <w:basedOn w:val="DefaultParagraphFont"/>
    <w:uiPriority w:val="99"/>
    <w:semiHidden/>
    <w:unhideWhenUsed/>
    <w:rsid w:val="00150D98"/>
    <w:rPr>
      <w:sz w:val="16"/>
      <w:szCs w:val="16"/>
    </w:rPr>
  </w:style>
  <w:style w:type="character" w:customStyle="1" w:styleId="CommentTextChar">
    <w:name w:val="Comment Text Char"/>
    <w:basedOn w:val="DefaultParagraphFont"/>
    <w:link w:val="CommentText"/>
    <w:uiPriority w:val="99"/>
    <w:semiHidden/>
    <w:rsid w:val="00C72933"/>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150D9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50D9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50D98"/>
    <w:rPr>
      <w:color w:val="605E5C"/>
      <w:shd w:val="clear" w:color="auto" w:fill="E1DFDD"/>
    </w:rPr>
  </w:style>
  <w:style w:type="character" w:customStyle="1" w:styleId="normaltextrun">
    <w:name w:val="normaltextrun"/>
    <w:basedOn w:val="DefaultParagraphFont"/>
    <w:rsid w:val="00436C60"/>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150D98"/>
    <w:rPr>
      <w:color w:val="954F72" w:themeColor="followedHyperlink"/>
      <w:u w:val="single"/>
    </w:rPr>
  </w:style>
  <w:style w:type="paragraph" w:customStyle="1" w:styleId="Featurebox2Bullets">
    <w:name w:val="ŠFeature box 2: Bullets"/>
    <w:basedOn w:val="ListBullet"/>
    <w:link w:val="Featurebox2BulletsChar"/>
    <w:uiPriority w:val="14"/>
    <w:qFormat/>
    <w:rsid w:val="00150D9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50D98"/>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50D9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50D9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50D98"/>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150D98"/>
    <w:pPr>
      <w:outlineLvl w:val="9"/>
    </w:pPr>
    <w:rPr>
      <w:sz w:val="40"/>
      <w:szCs w:val="40"/>
    </w:rPr>
  </w:style>
  <w:style w:type="character" w:styleId="FootnoteReference">
    <w:name w:val="footnote reference"/>
    <w:basedOn w:val="DefaultParagraphFont"/>
    <w:uiPriority w:val="99"/>
    <w:semiHidden/>
    <w:unhideWhenUsed/>
    <w:rsid w:val="00150D98"/>
    <w:rPr>
      <w:vertAlign w:val="superscript"/>
    </w:rPr>
  </w:style>
  <w:style w:type="paragraph" w:styleId="FootnoteText">
    <w:name w:val="footnote text"/>
    <w:basedOn w:val="Normal"/>
    <w:link w:val="FootnoteTextChar"/>
    <w:uiPriority w:val="99"/>
    <w:semiHidden/>
    <w:unhideWhenUsed/>
    <w:rsid w:val="00150D9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50D98"/>
    <w:rPr>
      <w:rFonts w:ascii="Arial" w:hAnsi="Arial" w:cs="Arial"/>
      <w:sz w:val="20"/>
      <w:szCs w:val="20"/>
      <w:lang w:val="en-AU"/>
    </w:rPr>
  </w:style>
  <w:style w:type="paragraph" w:customStyle="1" w:styleId="Documentname">
    <w:name w:val="ŠDocument name"/>
    <w:basedOn w:val="Header"/>
    <w:qFormat/>
    <w:rsid w:val="00150D98"/>
    <w:pPr>
      <w:spacing w:before="0"/>
    </w:pPr>
    <w:rPr>
      <w:b w:val="0"/>
      <w:color w:val="auto"/>
      <w:sz w:val="18"/>
    </w:rPr>
  </w:style>
  <w:style w:type="paragraph" w:customStyle="1" w:styleId="FeatureBoxPink">
    <w:name w:val="ŠFeature Box Pink"/>
    <w:basedOn w:val="Normal"/>
    <w:next w:val="Normal"/>
    <w:uiPriority w:val="13"/>
    <w:qFormat/>
    <w:rsid w:val="00150D9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50D9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50D98"/>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9768">
      <w:bodyDiv w:val="1"/>
      <w:marLeft w:val="0"/>
      <w:marRight w:val="0"/>
      <w:marTop w:val="0"/>
      <w:marBottom w:val="0"/>
      <w:divBdr>
        <w:top w:val="none" w:sz="0" w:space="0" w:color="auto"/>
        <w:left w:val="none" w:sz="0" w:space="0" w:color="auto"/>
        <w:bottom w:val="none" w:sz="0" w:space="0" w:color="auto"/>
        <w:right w:val="none" w:sz="0" w:space="0" w:color="auto"/>
      </w:divBdr>
      <w:divsChild>
        <w:div w:id="469134710">
          <w:marLeft w:val="0"/>
          <w:marRight w:val="0"/>
          <w:marTop w:val="0"/>
          <w:marBottom w:val="0"/>
          <w:divBdr>
            <w:top w:val="none" w:sz="0" w:space="0" w:color="auto"/>
            <w:left w:val="none" w:sz="0" w:space="0" w:color="auto"/>
            <w:bottom w:val="none" w:sz="0" w:space="0" w:color="auto"/>
            <w:right w:val="none" w:sz="0" w:space="0" w:color="auto"/>
          </w:divBdr>
        </w:div>
        <w:div w:id="1526014085">
          <w:marLeft w:val="0"/>
          <w:marRight w:val="0"/>
          <w:marTop w:val="0"/>
          <w:marBottom w:val="0"/>
          <w:divBdr>
            <w:top w:val="none" w:sz="0" w:space="0" w:color="auto"/>
            <w:left w:val="none" w:sz="0" w:space="0" w:color="auto"/>
            <w:bottom w:val="none" w:sz="0" w:space="0" w:color="auto"/>
            <w:right w:val="none" w:sz="0" w:space="0" w:color="auto"/>
          </w:divBdr>
        </w:div>
        <w:div w:id="2146660033">
          <w:marLeft w:val="0"/>
          <w:marRight w:val="0"/>
          <w:marTop w:val="0"/>
          <w:marBottom w:val="0"/>
          <w:divBdr>
            <w:top w:val="none" w:sz="0" w:space="0" w:color="auto"/>
            <w:left w:val="none" w:sz="0" w:space="0" w:color="auto"/>
            <w:bottom w:val="none" w:sz="0" w:space="0" w:color="auto"/>
            <w:right w:val="none" w:sz="0" w:space="0" w:color="auto"/>
          </w:divBdr>
        </w:div>
      </w:divsChild>
    </w:div>
    <w:div w:id="1663894377">
      <w:bodyDiv w:val="1"/>
      <w:marLeft w:val="0"/>
      <w:marRight w:val="0"/>
      <w:marTop w:val="0"/>
      <w:marBottom w:val="0"/>
      <w:divBdr>
        <w:top w:val="none" w:sz="0" w:space="0" w:color="auto"/>
        <w:left w:val="none" w:sz="0" w:space="0" w:color="auto"/>
        <w:bottom w:val="none" w:sz="0" w:space="0" w:color="auto"/>
        <w:right w:val="none" w:sz="0" w:space="0" w:color="auto"/>
      </w:divBdr>
    </w:div>
    <w:div w:id="16869789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NPSstrategy" TargetMode="External"/><Relationship Id="rId18" Type="http://schemas.openxmlformats.org/officeDocument/2006/relationships/hyperlink" Target="https://bit.ly/thinkpairsharestrategy" TargetMode="External"/><Relationship Id="rId26" Type="http://schemas.openxmlformats.org/officeDocument/2006/relationships/footer" Target="footer1.xml"/><Relationship Id="rId39" Type="http://schemas.openxmlformats.org/officeDocument/2006/relationships/footer" Target="footer6.xml"/><Relationship Id="rId21" Type="http://schemas.openxmlformats.org/officeDocument/2006/relationships/hyperlink" Target="https://bit.ly/thinkpairsharestrategy" TargetMode="External"/><Relationship Id="rId34" Type="http://schemas.openxmlformats.org/officeDocument/2006/relationships/hyperlink" Target="https://curriculum.nsw.edu.au/" TargetMode="External"/><Relationship Id="rId42" Type="http://schemas.openxmlformats.org/officeDocument/2006/relationships/header" Target="header4.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FDPDesmosActivit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NPSstrategy" TargetMode="External"/><Relationship Id="rId24" Type="http://schemas.openxmlformats.org/officeDocument/2006/relationships/image" Target="media/image4.png"/><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footer" Target="footer4.xml"/><Relationship Id="rId40" Type="http://schemas.openxmlformats.org/officeDocument/2006/relationships/hyperlink" Target="https://creativecommons.org/licenses/by/4.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pausepouncebounce" TargetMode="External"/><Relationship Id="rId23" Type="http://schemas.openxmlformats.org/officeDocument/2006/relationships/image" Target="media/image3.png"/><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hyperlink" Target="https://bit.ly/visiblegroups" TargetMode="External"/><Relationship Id="rId19" Type="http://schemas.openxmlformats.org/officeDocument/2006/relationships/image" Target="media/image1.png"/><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m.gov.au/nsw/forecasts/index.shtml" TargetMode="External"/><Relationship Id="rId14" Type="http://schemas.openxmlformats.org/officeDocument/2006/relationships/hyperlink" Target="https://bit.ly/pausepouncebounce" TargetMode="External"/><Relationship Id="rId22" Type="http://schemas.openxmlformats.org/officeDocument/2006/relationships/hyperlink" Target="https://nrich.maths.org/1249" TargetMode="External"/><Relationship Id="rId27"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hyperlink" Target="https://curriculum.nsw.edu.au/learning-areas/mathematics/mathematics-k-10-2022" TargetMode="External"/><Relationship Id="rId43" Type="http://schemas.openxmlformats.org/officeDocument/2006/relationships/footer" Target="footer7.xml"/><Relationship Id="rId8" Type="http://schemas.openxmlformats.org/officeDocument/2006/relationships/hyperlink" Target="https://bit.ly/thinkpairsharestrategy" TargetMode="External"/><Relationship Id="rId3" Type="http://schemas.openxmlformats.org/officeDocument/2006/relationships/settings" Target="settings.xml"/><Relationship Id="rId12" Type="http://schemas.openxmlformats.org/officeDocument/2006/relationships/hyperlink" Target="https://bit.ly/visiblegroups" TargetMode="External"/><Relationship Id="rId17" Type="http://schemas.openxmlformats.org/officeDocument/2006/relationships/hyperlink" Target="https://bit.ly/DesmosPDFLines" TargetMode="External"/><Relationship Id="rId25" Type="http://schemas.openxmlformats.org/officeDocument/2006/relationships/header" Target="header1.xml"/><Relationship Id="rId33" Type="http://schemas.openxmlformats.org/officeDocument/2006/relationships/hyperlink" Target="https://educationstandards.nsw.edu.au/" TargetMode="External"/><Relationship Id="rId38" Type="http://schemas.openxmlformats.org/officeDocument/2006/relationships/footer" Target="footer5.xml"/><Relationship Id="rId20" Type="http://schemas.openxmlformats.org/officeDocument/2006/relationships/image" Target="media/image2.png"/><Relationship Id="rId4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2409</Words>
  <Characters>13736</Characters>
  <Application>Microsoft Office Word</Application>
  <DocSecurity>0</DocSecurity>
  <Lines>114</Lines>
  <Paragraphs>32</Paragraphs>
  <ScaleCrop>false</ScaleCrop>
  <Manager/>
  <Company/>
  <LinksUpToDate>false</LinksUpToDate>
  <CharactersWithSpaces>16113</CharactersWithSpaces>
  <SharedDoc>false</SharedDoc>
  <HyperlinkBase/>
  <HLinks>
    <vt:vector size="108" baseType="variant">
      <vt:variant>
        <vt:i4>5308424</vt:i4>
      </vt:variant>
      <vt:variant>
        <vt:i4>57</vt:i4>
      </vt:variant>
      <vt:variant>
        <vt:i4>0</vt:i4>
      </vt:variant>
      <vt:variant>
        <vt:i4>5</vt:i4>
      </vt:variant>
      <vt:variant>
        <vt:lpwstr>https://creativecommons.org/licenses/by/4.0/</vt:lpwstr>
      </vt:variant>
      <vt:variant>
        <vt:lpwstr/>
      </vt:variant>
      <vt:variant>
        <vt:i4>3342452</vt:i4>
      </vt:variant>
      <vt:variant>
        <vt:i4>54</vt:i4>
      </vt:variant>
      <vt:variant>
        <vt:i4>0</vt:i4>
      </vt:variant>
      <vt:variant>
        <vt:i4>5</vt:i4>
      </vt:variant>
      <vt:variant>
        <vt:lpwstr>https://curriculum.nsw.edu.au/</vt:lpwstr>
      </vt:variant>
      <vt:variant>
        <vt:lpwstr/>
      </vt:variant>
      <vt:variant>
        <vt:i4>3997797</vt:i4>
      </vt:variant>
      <vt:variant>
        <vt:i4>51</vt:i4>
      </vt:variant>
      <vt:variant>
        <vt:i4>0</vt:i4>
      </vt:variant>
      <vt:variant>
        <vt:i4>5</vt:i4>
      </vt:variant>
      <vt:variant>
        <vt:lpwstr>https://educationstandards.nsw.edu.au/</vt:lpwstr>
      </vt:variant>
      <vt:variant>
        <vt:lpwstr/>
      </vt:variant>
      <vt:variant>
        <vt:i4>2162720</vt:i4>
      </vt:variant>
      <vt:variant>
        <vt:i4>48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6225992</vt:i4>
      </vt:variant>
      <vt:variant>
        <vt:i4>45</vt:i4>
      </vt:variant>
      <vt:variant>
        <vt:i4>0</vt:i4>
      </vt:variant>
      <vt:variant>
        <vt:i4>5</vt:i4>
      </vt:variant>
      <vt:variant>
        <vt:lpwstr>https://nrich.maths.org/1249</vt:lpwstr>
      </vt:variant>
      <vt:variant>
        <vt:lpwstr/>
      </vt:variant>
      <vt:variant>
        <vt:i4>4325389</vt:i4>
      </vt:variant>
      <vt:variant>
        <vt:i4>42</vt:i4>
      </vt:variant>
      <vt:variant>
        <vt:i4>0</vt:i4>
      </vt:variant>
      <vt:variant>
        <vt:i4>5</vt:i4>
      </vt:variant>
      <vt:variant>
        <vt:lpwstr>https://bit.ly/thinkpairsharestrategy</vt:lpwstr>
      </vt:variant>
      <vt:variant>
        <vt:lpwstr/>
      </vt:variant>
      <vt:variant>
        <vt:i4>4325389</vt:i4>
      </vt:variant>
      <vt:variant>
        <vt:i4>39</vt:i4>
      </vt:variant>
      <vt:variant>
        <vt:i4>0</vt:i4>
      </vt:variant>
      <vt:variant>
        <vt:i4>5</vt:i4>
      </vt:variant>
      <vt:variant>
        <vt:lpwstr>https://bit.ly/thinkpairsharestrategy</vt:lpwstr>
      </vt:variant>
      <vt:variant>
        <vt:lpwstr/>
      </vt:variant>
      <vt:variant>
        <vt:i4>5046280</vt:i4>
      </vt:variant>
      <vt:variant>
        <vt:i4>36</vt:i4>
      </vt:variant>
      <vt:variant>
        <vt:i4>0</vt:i4>
      </vt:variant>
      <vt:variant>
        <vt:i4>5</vt:i4>
      </vt:variant>
      <vt:variant>
        <vt:lpwstr>https://bit.ly/DesmosPDFLines</vt:lpwstr>
      </vt:variant>
      <vt:variant>
        <vt:lpwstr/>
      </vt:variant>
      <vt:variant>
        <vt:i4>5767198</vt:i4>
      </vt:variant>
      <vt:variant>
        <vt:i4>33</vt:i4>
      </vt:variant>
      <vt:variant>
        <vt:i4>0</vt:i4>
      </vt:variant>
      <vt:variant>
        <vt:i4>5</vt:i4>
      </vt:variant>
      <vt:variant>
        <vt:lpwstr>https://bit.ly/FDPDesmosActivity</vt:lpwstr>
      </vt:variant>
      <vt:variant>
        <vt:lpwstr/>
      </vt:variant>
      <vt:variant>
        <vt:i4>5177365</vt:i4>
      </vt:variant>
      <vt:variant>
        <vt:i4>27</vt:i4>
      </vt:variant>
      <vt:variant>
        <vt:i4>0</vt:i4>
      </vt:variant>
      <vt:variant>
        <vt:i4>5</vt:i4>
      </vt:variant>
      <vt:variant>
        <vt:lpwstr>https://bit.ly/pausepouncebounce</vt:lpwstr>
      </vt:variant>
      <vt:variant>
        <vt:lpwstr/>
      </vt:variant>
      <vt:variant>
        <vt:i4>5177365</vt:i4>
      </vt:variant>
      <vt:variant>
        <vt:i4>21</vt:i4>
      </vt:variant>
      <vt:variant>
        <vt:i4>0</vt:i4>
      </vt:variant>
      <vt:variant>
        <vt:i4>5</vt:i4>
      </vt:variant>
      <vt:variant>
        <vt:lpwstr>https://bit.ly/pausepouncebounce</vt:lpwstr>
      </vt:variant>
      <vt:variant>
        <vt:lpwstr/>
      </vt:variant>
      <vt:variant>
        <vt:i4>3866744</vt:i4>
      </vt:variant>
      <vt:variant>
        <vt:i4>18</vt:i4>
      </vt:variant>
      <vt:variant>
        <vt:i4>0</vt:i4>
      </vt:variant>
      <vt:variant>
        <vt:i4>5</vt:i4>
      </vt:variant>
      <vt:variant>
        <vt:lpwstr>https://bit.ly/VNPSstrategy</vt:lpwstr>
      </vt:variant>
      <vt:variant>
        <vt:lpwstr/>
      </vt:variant>
      <vt:variant>
        <vt:i4>5832705</vt:i4>
      </vt:variant>
      <vt:variant>
        <vt:i4>15</vt:i4>
      </vt:variant>
      <vt:variant>
        <vt:i4>0</vt:i4>
      </vt:variant>
      <vt:variant>
        <vt:i4>5</vt:i4>
      </vt:variant>
      <vt:variant>
        <vt:lpwstr>https://bit.ly/visiblegroups</vt:lpwstr>
      </vt:variant>
      <vt:variant>
        <vt:lpwstr/>
      </vt:variant>
      <vt:variant>
        <vt:i4>3866744</vt:i4>
      </vt:variant>
      <vt:variant>
        <vt:i4>12</vt:i4>
      </vt:variant>
      <vt:variant>
        <vt:i4>0</vt:i4>
      </vt:variant>
      <vt:variant>
        <vt:i4>5</vt:i4>
      </vt:variant>
      <vt:variant>
        <vt:lpwstr>https://bit.ly/VNPSstrategy</vt:lpwstr>
      </vt:variant>
      <vt:variant>
        <vt:lpwstr/>
      </vt:variant>
      <vt:variant>
        <vt:i4>5832705</vt:i4>
      </vt:variant>
      <vt:variant>
        <vt:i4>9</vt:i4>
      </vt:variant>
      <vt:variant>
        <vt:i4>0</vt:i4>
      </vt:variant>
      <vt:variant>
        <vt:i4>5</vt:i4>
      </vt:variant>
      <vt:variant>
        <vt:lpwstr>https://bit.ly/visiblegroups</vt:lpwstr>
      </vt:variant>
      <vt:variant>
        <vt:lpwstr/>
      </vt:variant>
      <vt:variant>
        <vt:i4>3604537</vt:i4>
      </vt:variant>
      <vt:variant>
        <vt:i4>6</vt:i4>
      </vt:variant>
      <vt:variant>
        <vt:i4>0</vt:i4>
      </vt:variant>
      <vt:variant>
        <vt:i4>5</vt:i4>
      </vt:variant>
      <vt:variant>
        <vt:lpwstr>http://www.bom.gov.au/nsw/forecasts/index.shtml</vt:lpwstr>
      </vt:variant>
      <vt:variant>
        <vt:lpwstr/>
      </vt:variant>
      <vt:variant>
        <vt:i4>4325389</vt:i4>
      </vt:variant>
      <vt:variant>
        <vt:i4>3</vt:i4>
      </vt:variant>
      <vt:variant>
        <vt:i4>0</vt:i4>
      </vt:variant>
      <vt:variant>
        <vt:i4>5</vt:i4>
      </vt:variant>
      <vt:variant>
        <vt:lpwstr>https://bit.ly/thinkpairsharestrategy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L12 – Fractions, decimals, percentages</dc:title>
  <dc:subject/>
  <dc:creator>NSW Department of Education</dc:creator>
  <cp:keywords/>
  <dc:description/>
  <dcterms:created xsi:type="dcterms:W3CDTF">2023-06-05T03:44:00Z</dcterms:created>
  <dcterms:modified xsi:type="dcterms:W3CDTF">2023-06-05T03:45:00Z</dcterms:modified>
  <cp:category/>
</cp:coreProperties>
</file>