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SCGreen"/>
        <w:tblW w:w="10857" w:type="dxa"/>
        <w:tblLook w:val="04A0" w:firstRow="1" w:lastRow="0" w:firstColumn="1" w:lastColumn="0" w:noHBand="0" w:noVBand="1"/>
        <w:tblCaption w:val="PSC_Role_InformationTable"/>
        <w:tblDescription w:val="PSC_Role_InformationTable"/>
      </w:tblPr>
      <w:tblGrid>
        <w:gridCol w:w="4026"/>
        <w:gridCol w:w="6831"/>
      </w:tblGrid>
      <w:tr w:rsidR="00801E41" w:rsidRPr="00DC0173" w14:paraId="5321845C" w14:textId="77777777" w:rsidTr="0F3F921B">
        <w:trPr>
          <w:cnfStyle w:val="100000000000" w:firstRow="1" w:lastRow="0" w:firstColumn="0" w:lastColumn="0" w:oddVBand="0" w:evenVBand="0" w:oddHBand="0" w:evenHBand="0" w:firstRowFirstColumn="0" w:firstRowLastColumn="0" w:lastRowFirstColumn="0" w:lastRowLastColumn="0"/>
        </w:trPr>
        <w:tc>
          <w:tcPr>
            <w:tcW w:w="4026" w:type="dxa"/>
          </w:tcPr>
          <w:p w14:paraId="599EF0A5" w14:textId="3EB313B8" w:rsidR="00801E41" w:rsidRPr="00DC0173" w:rsidRDefault="00A71A63" w:rsidP="006D241D">
            <w:pPr>
              <w:pStyle w:val="TableTextWhite"/>
              <w:rPr>
                <w:b/>
              </w:rPr>
            </w:pPr>
            <w:r>
              <w:rPr>
                <w:b/>
              </w:rPr>
              <w:t>Portfolio</w:t>
            </w:r>
          </w:p>
        </w:tc>
        <w:tc>
          <w:tcPr>
            <w:tcW w:w="6831" w:type="dxa"/>
          </w:tcPr>
          <w:p w14:paraId="4182D491" w14:textId="77777777" w:rsidR="00801E41" w:rsidRPr="00DC0173" w:rsidRDefault="00801E41" w:rsidP="006D241D">
            <w:pPr>
              <w:pStyle w:val="TableTextWhite"/>
            </w:pPr>
            <w:r>
              <w:t>Education</w:t>
            </w:r>
          </w:p>
        </w:tc>
      </w:tr>
      <w:tr w:rsidR="00801E41" w:rsidRPr="00DC0173" w14:paraId="22980FA3" w14:textId="77777777" w:rsidTr="0F3F921B">
        <w:tc>
          <w:tcPr>
            <w:tcW w:w="4026" w:type="dxa"/>
          </w:tcPr>
          <w:p w14:paraId="47DF946A" w14:textId="77777777" w:rsidR="00801E41" w:rsidRDefault="00801E41" w:rsidP="006D241D">
            <w:pPr>
              <w:pStyle w:val="TableTextWhite"/>
              <w:rPr>
                <w:b/>
              </w:rPr>
            </w:pPr>
            <w:r>
              <w:rPr>
                <w:b/>
              </w:rPr>
              <w:t>Agency</w:t>
            </w:r>
          </w:p>
        </w:tc>
        <w:tc>
          <w:tcPr>
            <w:tcW w:w="6831" w:type="dxa"/>
          </w:tcPr>
          <w:p w14:paraId="674D7BED" w14:textId="77777777" w:rsidR="00801E41" w:rsidRDefault="00801E41" w:rsidP="006D241D">
            <w:pPr>
              <w:pStyle w:val="TableTextWhite"/>
            </w:pPr>
            <w:r>
              <w:t>Department of Education</w:t>
            </w:r>
          </w:p>
        </w:tc>
      </w:tr>
      <w:tr w:rsidR="00801E41" w:rsidRPr="00DC0173" w14:paraId="2DCC4397" w14:textId="77777777" w:rsidTr="0F3F921B">
        <w:tc>
          <w:tcPr>
            <w:tcW w:w="4026" w:type="dxa"/>
          </w:tcPr>
          <w:p w14:paraId="3E9CA034" w14:textId="77777777" w:rsidR="00801E41" w:rsidRDefault="00801E41" w:rsidP="006D241D">
            <w:pPr>
              <w:pStyle w:val="TableTextWhite"/>
              <w:rPr>
                <w:b/>
              </w:rPr>
            </w:pPr>
            <w:r w:rsidRPr="00FC13A3">
              <w:rPr>
                <w:b/>
              </w:rPr>
              <w:t>Division/Branch/Unit</w:t>
            </w:r>
          </w:p>
        </w:tc>
        <w:tc>
          <w:tcPr>
            <w:tcW w:w="6831" w:type="dxa"/>
          </w:tcPr>
          <w:p w14:paraId="19BAC961" w14:textId="174EA23F" w:rsidR="00801E41" w:rsidRDefault="00315BE8" w:rsidP="00315BE8">
            <w:pPr>
              <w:pStyle w:val="TableTextWhite"/>
            </w:pPr>
            <w:r>
              <w:t>Operations Group</w:t>
            </w:r>
          </w:p>
        </w:tc>
      </w:tr>
      <w:tr w:rsidR="00801E41" w:rsidRPr="00DC0173" w14:paraId="058A50DF" w14:textId="77777777" w:rsidTr="0F3F921B">
        <w:tc>
          <w:tcPr>
            <w:tcW w:w="4026" w:type="dxa"/>
          </w:tcPr>
          <w:p w14:paraId="129B9E67" w14:textId="77777777" w:rsidR="00801E41" w:rsidRDefault="00801E41" w:rsidP="006D241D">
            <w:pPr>
              <w:pStyle w:val="TableTextWhite"/>
              <w:rPr>
                <w:b/>
              </w:rPr>
            </w:pPr>
            <w:r w:rsidRPr="00FC13A3">
              <w:rPr>
                <w:b/>
              </w:rPr>
              <w:t>Classification/Grade/Band</w:t>
            </w:r>
          </w:p>
        </w:tc>
        <w:tc>
          <w:tcPr>
            <w:tcW w:w="6831" w:type="dxa"/>
          </w:tcPr>
          <w:p w14:paraId="771897F4" w14:textId="77777777" w:rsidR="00801E41" w:rsidRDefault="00801E41" w:rsidP="006D241D">
            <w:pPr>
              <w:pStyle w:val="TableTextWhite"/>
            </w:pPr>
            <w:r>
              <w:t>Public Service Senior Executive Band 3</w:t>
            </w:r>
          </w:p>
        </w:tc>
      </w:tr>
      <w:tr w:rsidR="005830B5" w:rsidRPr="00DC0173" w14:paraId="641FB7B6" w14:textId="77777777" w:rsidTr="0F3F921B">
        <w:tc>
          <w:tcPr>
            <w:tcW w:w="4026" w:type="dxa"/>
          </w:tcPr>
          <w:p w14:paraId="264D3DC6" w14:textId="77777777" w:rsidR="005830B5" w:rsidRDefault="00B9098D" w:rsidP="006D241D">
            <w:pPr>
              <w:pStyle w:val="TableTextWhite"/>
              <w:rPr>
                <w:b/>
              </w:rPr>
            </w:pPr>
            <w:r>
              <w:rPr>
                <w:b/>
              </w:rPr>
              <w:t>Child</w:t>
            </w:r>
            <w:r w:rsidR="005830B5">
              <w:rPr>
                <w:b/>
              </w:rPr>
              <w:t>-related Role</w:t>
            </w:r>
          </w:p>
        </w:tc>
        <w:tc>
          <w:tcPr>
            <w:tcW w:w="6831" w:type="dxa"/>
          </w:tcPr>
          <w:p w14:paraId="7C47A8B2" w14:textId="77777777" w:rsidR="005830B5" w:rsidRDefault="005830B5" w:rsidP="006D241D">
            <w:pPr>
              <w:pStyle w:val="TableTextWhite"/>
            </w:pPr>
            <w:r>
              <w:t>Yes</w:t>
            </w:r>
          </w:p>
        </w:tc>
      </w:tr>
      <w:tr w:rsidR="00DA6190" w:rsidRPr="00DC0173" w14:paraId="14826A32" w14:textId="77777777" w:rsidTr="0F3F921B">
        <w:tc>
          <w:tcPr>
            <w:tcW w:w="4026" w:type="dxa"/>
          </w:tcPr>
          <w:p w14:paraId="5050AE7C" w14:textId="3F36A9AA" w:rsidR="00DA6190" w:rsidRDefault="00DA6190" w:rsidP="006D241D">
            <w:pPr>
              <w:pStyle w:val="TableTextWhite"/>
              <w:rPr>
                <w:b/>
              </w:rPr>
            </w:pPr>
            <w:r>
              <w:rPr>
                <w:b/>
              </w:rPr>
              <w:t>Role Location</w:t>
            </w:r>
          </w:p>
        </w:tc>
        <w:tc>
          <w:tcPr>
            <w:tcW w:w="6831" w:type="dxa"/>
          </w:tcPr>
          <w:p w14:paraId="4242B765" w14:textId="6DA0FA72" w:rsidR="00DA6190" w:rsidRDefault="00DA6190" w:rsidP="006D241D">
            <w:pPr>
              <w:pStyle w:val="TableTextWhite"/>
            </w:pPr>
            <w:r>
              <w:t>Parramatta NSW</w:t>
            </w:r>
          </w:p>
        </w:tc>
      </w:tr>
      <w:tr w:rsidR="005830B5" w:rsidRPr="00DC0173" w14:paraId="76AD8587" w14:textId="77777777" w:rsidTr="0F3F921B">
        <w:tc>
          <w:tcPr>
            <w:tcW w:w="4026" w:type="dxa"/>
          </w:tcPr>
          <w:p w14:paraId="2FD7B57B" w14:textId="77777777" w:rsidR="005830B5" w:rsidRPr="00FC13A3" w:rsidRDefault="005830B5" w:rsidP="006D241D">
            <w:pPr>
              <w:pStyle w:val="TableTextWhite"/>
              <w:rPr>
                <w:b/>
              </w:rPr>
            </w:pPr>
            <w:r>
              <w:rPr>
                <w:b/>
              </w:rPr>
              <w:t>Role Number</w:t>
            </w:r>
          </w:p>
        </w:tc>
        <w:tc>
          <w:tcPr>
            <w:tcW w:w="6831" w:type="dxa"/>
          </w:tcPr>
          <w:p w14:paraId="015A0CE6" w14:textId="238B39CC" w:rsidR="005830B5" w:rsidRDefault="004650B3" w:rsidP="004650B3">
            <w:pPr>
              <w:pStyle w:val="TableTextWhite"/>
            </w:pPr>
            <w:r>
              <w:t>223494 (</w:t>
            </w:r>
            <w:r w:rsidR="00315BE8">
              <w:t>81344807</w:t>
            </w:r>
            <w:r w:rsidR="00114448">
              <w:t>)</w:t>
            </w:r>
          </w:p>
        </w:tc>
      </w:tr>
      <w:tr w:rsidR="009E0386" w:rsidRPr="00DC0173" w14:paraId="1102C72D" w14:textId="77777777" w:rsidTr="0F3F921B">
        <w:tc>
          <w:tcPr>
            <w:tcW w:w="4026" w:type="dxa"/>
          </w:tcPr>
          <w:p w14:paraId="48EB5E89" w14:textId="633FF3AE" w:rsidR="009E0386" w:rsidRPr="00FC13A3" w:rsidRDefault="009E0386" w:rsidP="006D241D">
            <w:pPr>
              <w:pStyle w:val="TableTextWhite"/>
              <w:rPr>
                <w:b/>
              </w:rPr>
            </w:pPr>
            <w:r>
              <w:rPr>
                <w:b/>
              </w:rPr>
              <w:t>Kind of Employment</w:t>
            </w:r>
          </w:p>
        </w:tc>
        <w:tc>
          <w:tcPr>
            <w:tcW w:w="6831" w:type="dxa"/>
          </w:tcPr>
          <w:p w14:paraId="089681EB" w14:textId="1F7D8547" w:rsidR="009E0386" w:rsidRDefault="009E0386" w:rsidP="006D241D">
            <w:pPr>
              <w:pStyle w:val="TableTextWhite"/>
            </w:pPr>
            <w:r>
              <w:t>Ongoing</w:t>
            </w:r>
          </w:p>
        </w:tc>
      </w:tr>
      <w:tr w:rsidR="00801E41" w:rsidRPr="00DC0173" w14:paraId="246B86DD" w14:textId="77777777" w:rsidTr="0F3F921B">
        <w:tc>
          <w:tcPr>
            <w:tcW w:w="4026" w:type="dxa"/>
          </w:tcPr>
          <w:p w14:paraId="79E8922A" w14:textId="77777777" w:rsidR="00801E41" w:rsidRDefault="00801E41" w:rsidP="006D241D">
            <w:pPr>
              <w:pStyle w:val="TableTextWhite"/>
              <w:rPr>
                <w:b/>
              </w:rPr>
            </w:pPr>
            <w:r w:rsidRPr="00FC13A3">
              <w:rPr>
                <w:b/>
              </w:rPr>
              <w:t>ANZSCO Code</w:t>
            </w:r>
          </w:p>
        </w:tc>
        <w:tc>
          <w:tcPr>
            <w:tcW w:w="6831" w:type="dxa"/>
          </w:tcPr>
          <w:p w14:paraId="6A3C3FE1" w14:textId="77777777" w:rsidR="00801E41" w:rsidRDefault="00801E41" w:rsidP="006D241D">
            <w:pPr>
              <w:pStyle w:val="TableTextWhite"/>
            </w:pPr>
            <w:r>
              <w:t>111211</w:t>
            </w:r>
          </w:p>
        </w:tc>
      </w:tr>
      <w:tr w:rsidR="00801E41" w:rsidRPr="00DC0173" w14:paraId="2A1293F8" w14:textId="77777777" w:rsidTr="0F3F921B">
        <w:tc>
          <w:tcPr>
            <w:tcW w:w="4026" w:type="dxa"/>
          </w:tcPr>
          <w:p w14:paraId="4C2183E2" w14:textId="77777777" w:rsidR="00801E41" w:rsidRDefault="00801E41" w:rsidP="006D241D">
            <w:pPr>
              <w:pStyle w:val="TableTextWhite"/>
              <w:rPr>
                <w:b/>
              </w:rPr>
            </w:pPr>
            <w:r w:rsidRPr="00FC13A3">
              <w:rPr>
                <w:b/>
              </w:rPr>
              <w:t>PCAT Code</w:t>
            </w:r>
          </w:p>
        </w:tc>
        <w:tc>
          <w:tcPr>
            <w:tcW w:w="6831" w:type="dxa"/>
          </w:tcPr>
          <w:p w14:paraId="3CCD4666" w14:textId="77777777" w:rsidR="00801E41" w:rsidRDefault="00801E41" w:rsidP="006D241D">
            <w:pPr>
              <w:pStyle w:val="TableTextWhite"/>
            </w:pPr>
            <w:r>
              <w:t>3111392</w:t>
            </w:r>
          </w:p>
        </w:tc>
      </w:tr>
      <w:tr w:rsidR="00801E41" w:rsidRPr="00DC0173" w14:paraId="59B4D063" w14:textId="77777777" w:rsidTr="0F3F921B">
        <w:tc>
          <w:tcPr>
            <w:tcW w:w="4026" w:type="dxa"/>
          </w:tcPr>
          <w:p w14:paraId="25C34D90" w14:textId="77777777" w:rsidR="00801E41" w:rsidRDefault="00801E41" w:rsidP="006D241D">
            <w:pPr>
              <w:pStyle w:val="TableTextWhite"/>
              <w:rPr>
                <w:b/>
              </w:rPr>
            </w:pPr>
            <w:r w:rsidRPr="00FC13A3">
              <w:rPr>
                <w:b/>
              </w:rPr>
              <w:t>Date of Approval</w:t>
            </w:r>
          </w:p>
        </w:tc>
        <w:tc>
          <w:tcPr>
            <w:tcW w:w="6831" w:type="dxa"/>
          </w:tcPr>
          <w:p w14:paraId="50835731" w14:textId="5B098560" w:rsidR="00801E41" w:rsidRDefault="00801E41" w:rsidP="006D241D">
            <w:pPr>
              <w:pStyle w:val="TableTextWhite"/>
            </w:pPr>
            <w:r>
              <w:t>12 June 2020</w:t>
            </w:r>
          </w:p>
        </w:tc>
      </w:tr>
      <w:tr w:rsidR="00801E41" w:rsidRPr="00DC0173" w14:paraId="56A904F1" w14:textId="77777777" w:rsidTr="0F3F921B">
        <w:tc>
          <w:tcPr>
            <w:tcW w:w="4026" w:type="dxa"/>
          </w:tcPr>
          <w:p w14:paraId="08AB3ACA" w14:textId="77777777" w:rsidR="00801E41" w:rsidRDefault="00801E41" w:rsidP="006D241D">
            <w:pPr>
              <w:pStyle w:val="TableTextWhite"/>
              <w:rPr>
                <w:b/>
              </w:rPr>
            </w:pPr>
            <w:r w:rsidRPr="00FC13A3">
              <w:rPr>
                <w:b/>
              </w:rPr>
              <w:t>Agency Website</w:t>
            </w:r>
          </w:p>
        </w:tc>
        <w:tc>
          <w:tcPr>
            <w:tcW w:w="6831" w:type="dxa"/>
          </w:tcPr>
          <w:p w14:paraId="2BFAFC2D" w14:textId="097CCC63" w:rsidR="00801E41" w:rsidRDefault="00801E41" w:rsidP="006D241D">
            <w:pPr>
              <w:pStyle w:val="TableTextWhite"/>
            </w:pPr>
            <w:r>
              <w:t>education.nsw.gov.au</w:t>
            </w:r>
          </w:p>
        </w:tc>
      </w:tr>
    </w:tbl>
    <w:p w14:paraId="2D2F6D0A" w14:textId="77777777" w:rsidR="00477EB1" w:rsidRPr="00E55704" w:rsidRDefault="00477EB1" w:rsidP="00477EB1">
      <w:pPr>
        <w:tabs>
          <w:tab w:val="left" w:pos="2925"/>
        </w:tabs>
        <w:rPr>
          <w:rFonts w:cs="Arial"/>
        </w:rPr>
      </w:pPr>
    </w:p>
    <w:p w14:paraId="0F76EA28" w14:textId="77777777" w:rsidR="003927AE" w:rsidRPr="00614552" w:rsidRDefault="003927AE" w:rsidP="003927AE">
      <w:pPr>
        <w:tabs>
          <w:tab w:val="left" w:pos="2925"/>
        </w:tabs>
        <w:rPr>
          <w:rStyle w:val="Heading1Char"/>
        </w:rPr>
      </w:pPr>
      <w:r w:rsidRPr="00614552">
        <w:rPr>
          <w:rStyle w:val="Heading1Char"/>
        </w:rPr>
        <w:t>Agency overview</w:t>
      </w:r>
    </w:p>
    <w:p w14:paraId="4F0E3BEF" w14:textId="2F2C60BE" w:rsidR="00116296" w:rsidRDefault="00116296" w:rsidP="00116296">
      <w:pPr>
        <w:tabs>
          <w:tab w:val="left" w:pos="2925"/>
        </w:tabs>
      </w:pPr>
      <w:r>
        <w:t>At the NSW Department of Education, we educate and inspire lifelong learners – from early childhood, through schooling to vocational education and training.</w:t>
      </w:r>
    </w:p>
    <w:p w14:paraId="4FFEC715" w14:textId="06A14AA5" w:rsidR="00116296" w:rsidRDefault="00116296" w:rsidP="00116296">
      <w:pPr>
        <w:tabs>
          <w:tab w:val="left" w:pos="2925"/>
        </w:tabs>
      </w:pPr>
      <w:r>
        <w:t>We ensure young children get the best start in life by supporting and regulating the early childhood education and care sector. We unlock excellence and unleash the potential of two-thirds of school children in NSW. We’re proudly public and the largest education system in Australia. We nurture opportunities for every learner to develop the skills needed for their chosen career path, helping shape the industries of tomorrow.</w:t>
      </w:r>
    </w:p>
    <w:p w14:paraId="72B4414B" w14:textId="0839CA6B" w:rsidR="007D0816" w:rsidRPr="007D0816" w:rsidRDefault="00116296" w:rsidP="003927AE">
      <w:pPr>
        <w:tabs>
          <w:tab w:val="left" w:pos="2925"/>
        </w:tabs>
        <w:rPr>
          <w:rStyle w:val="Heading1Char"/>
          <w:rFonts w:eastAsiaTheme="minorEastAsia" w:cstheme="minorBidi"/>
          <w:b w:val="0"/>
          <w:bCs w:val="0"/>
          <w:kern w:val="0"/>
          <w:sz w:val="22"/>
          <w:szCs w:val="22"/>
          <w:lang w:val="en-US"/>
        </w:rPr>
      </w:pPr>
      <w:r>
        <w:t>We respect and value Aboriginal and Torres Strait Islander peoples as First Peoples of Australia.</w:t>
      </w:r>
    </w:p>
    <w:p w14:paraId="3FFB5904" w14:textId="582731F4" w:rsidR="003927AE" w:rsidRPr="00614552" w:rsidRDefault="003927AE" w:rsidP="003927AE">
      <w:pPr>
        <w:tabs>
          <w:tab w:val="left" w:pos="2925"/>
        </w:tabs>
        <w:rPr>
          <w:rStyle w:val="Heading1Char"/>
        </w:rPr>
      </w:pPr>
      <w:r w:rsidRPr="00614552">
        <w:rPr>
          <w:rStyle w:val="Heading1Char"/>
        </w:rPr>
        <w:t>Primary purpose of the role</w:t>
      </w:r>
    </w:p>
    <w:p w14:paraId="17F6BF5E" w14:textId="21A7B458" w:rsidR="003C1D4E" w:rsidRPr="00270ABE" w:rsidRDefault="18106F57" w:rsidP="00270ABE">
      <w:r>
        <w:t xml:space="preserve">The Chief Operating Officer </w:t>
      </w:r>
      <w:r w:rsidR="34E498B9">
        <w:t xml:space="preserve">(COO) </w:t>
      </w:r>
      <w:r>
        <w:t>provides leadership and strategic direction for the internal operational activities within the Department in accord</w:t>
      </w:r>
      <w:r w:rsidR="6A90C6DE">
        <w:t>ance</w:t>
      </w:r>
      <w:r>
        <w:t xml:space="preserve"> with policies, goals and objectives set by the Secretary</w:t>
      </w:r>
      <w:r w:rsidR="24ADDAE6">
        <w:t>. The COO</w:t>
      </w:r>
      <w:r>
        <w:t>,</w:t>
      </w:r>
      <w:r w:rsidR="00CD3632">
        <w:t xml:space="preserve"> </w:t>
      </w:r>
      <w:r w:rsidR="55390EFC">
        <w:t>leads the</w:t>
      </w:r>
      <w:r>
        <w:t xml:space="preserve"> finance,</w:t>
      </w:r>
      <w:r w:rsidR="003C1D4E">
        <w:t xml:space="preserve"> </w:t>
      </w:r>
      <w:r w:rsidR="740DC6E3">
        <w:t>audit,</w:t>
      </w:r>
      <w:r w:rsidR="003C1D4E">
        <w:t xml:space="preserve"> </w:t>
      </w:r>
      <w:r w:rsidR="537AF195">
        <w:t>risk</w:t>
      </w:r>
      <w:r w:rsidR="32DBE8BB">
        <w:t>,</w:t>
      </w:r>
      <w:r w:rsidR="537AF195">
        <w:t xml:space="preserve"> </w:t>
      </w:r>
      <w:r>
        <w:t>technology</w:t>
      </w:r>
      <w:r w:rsidR="537AF195">
        <w:t xml:space="preserve"> and </w:t>
      </w:r>
      <w:r w:rsidR="78D5131E">
        <w:t>shared services</w:t>
      </w:r>
      <w:r w:rsidR="3A57230D">
        <w:t xml:space="preserve"> f</w:t>
      </w:r>
      <w:r w:rsidR="773BDCEB">
        <w:t>unctions.</w:t>
      </w:r>
      <w:r w:rsidR="6A800CFA">
        <w:t xml:space="preserve"> In addition, they are responsible for designing and transforming the support services provided across the Department and in particular to schools</w:t>
      </w:r>
      <w:r w:rsidR="0A5BA3C8">
        <w:t>, with a view to reducing the workload of our educator workforce</w:t>
      </w:r>
      <w:r w:rsidR="6A800CFA">
        <w:t xml:space="preserve">. </w:t>
      </w:r>
      <w:r w:rsidR="252AC240">
        <w:t xml:space="preserve">As a member of the Department’s Executive, the COO supports the Secretary in setting </w:t>
      </w:r>
      <w:r w:rsidR="6932A912">
        <w:t xml:space="preserve">and delivering </w:t>
      </w:r>
      <w:r w:rsidR="252AC240">
        <w:t>the strategic direction of the department and ensuring</w:t>
      </w:r>
      <w:r w:rsidR="6F47B580">
        <w:t xml:space="preserve"> sound </w:t>
      </w:r>
      <w:r w:rsidR="252AC240">
        <w:t xml:space="preserve">governance </w:t>
      </w:r>
      <w:r w:rsidR="133A7D37">
        <w:t>and decision</w:t>
      </w:r>
      <w:r w:rsidR="33386411">
        <w:t xml:space="preserve"> </w:t>
      </w:r>
      <w:r w:rsidR="133A7D37">
        <w:t xml:space="preserve">making. </w:t>
      </w:r>
    </w:p>
    <w:p w14:paraId="1FE19087" w14:textId="77777777" w:rsidR="003927AE" w:rsidRPr="00172DFE" w:rsidRDefault="003927AE" w:rsidP="00172DFE">
      <w:pPr>
        <w:tabs>
          <w:tab w:val="left" w:pos="2925"/>
        </w:tabs>
        <w:rPr>
          <w:rStyle w:val="Heading1Char"/>
        </w:rPr>
      </w:pPr>
      <w:r w:rsidRPr="00172DFE">
        <w:rPr>
          <w:rStyle w:val="Heading1Char"/>
        </w:rPr>
        <w:t>Key accountabilities</w:t>
      </w:r>
    </w:p>
    <w:p w14:paraId="7529E9A4" w14:textId="0FD5DE47" w:rsidR="002163D1" w:rsidRPr="005C632F" w:rsidRDefault="002163D1" w:rsidP="005C632F">
      <w:pPr>
        <w:pStyle w:val="ListParagraph"/>
        <w:numPr>
          <w:ilvl w:val="0"/>
          <w:numId w:val="18"/>
        </w:numPr>
        <w:rPr>
          <w:rFonts w:cs="Arial"/>
        </w:rPr>
      </w:pPr>
      <w:r w:rsidRPr="005C632F">
        <w:rPr>
          <w:rFonts w:eastAsia="Times New Roman"/>
        </w:rPr>
        <w:t>Lead the operational support functions to deliver effective and efficient services to all internal teams and to 2200 public schools. Drive the department’s workload reduction targets, streamlining, improving and reducing administration, offering a seamless and easy to access experience.</w:t>
      </w:r>
    </w:p>
    <w:p w14:paraId="3F1B374A" w14:textId="274DF7D8" w:rsidR="003C1D4E" w:rsidRPr="005C632F" w:rsidRDefault="3029655D" w:rsidP="005C632F">
      <w:pPr>
        <w:pStyle w:val="ListParagraph"/>
        <w:numPr>
          <w:ilvl w:val="0"/>
          <w:numId w:val="18"/>
        </w:numPr>
        <w:rPr>
          <w:rFonts w:cs="Arial"/>
        </w:rPr>
      </w:pPr>
      <w:r w:rsidRPr="005C632F">
        <w:rPr>
          <w:rFonts w:cs="Arial"/>
        </w:rPr>
        <w:lastRenderedPageBreak/>
        <w:t>Lead the transformation of support services, designing a new model of delivery to make it easier for schools and teams to get the service they need</w:t>
      </w:r>
      <w:r w:rsidR="57D461C0" w:rsidRPr="005C632F">
        <w:rPr>
          <w:rFonts w:cs="Arial"/>
        </w:rPr>
        <w:t>, in partnership with the CPO and Chief Executive of School Infrastructure</w:t>
      </w:r>
      <w:r w:rsidR="003C1D4E" w:rsidRPr="005C632F">
        <w:rPr>
          <w:rFonts w:cs="Arial"/>
        </w:rPr>
        <w:t>.</w:t>
      </w:r>
    </w:p>
    <w:p w14:paraId="764A4944" w14:textId="1361DFDA" w:rsidR="007F7D2F" w:rsidRDefault="6D15B205" w:rsidP="087441D9">
      <w:pPr>
        <w:pStyle w:val="ListParagraph"/>
        <w:numPr>
          <w:ilvl w:val="0"/>
          <w:numId w:val="12"/>
        </w:numPr>
        <w:tabs>
          <w:tab w:val="left" w:pos="2925"/>
        </w:tabs>
        <w:rPr>
          <w:rFonts w:cs="Arial"/>
        </w:rPr>
      </w:pPr>
      <w:r w:rsidRPr="087441D9">
        <w:rPr>
          <w:rFonts w:cs="Arial"/>
        </w:rPr>
        <w:t>Lead the audit and risk teams, and coordinate the Audit and Risk Committee, to ensure sound governance and assurance across the full Education portfolio</w:t>
      </w:r>
      <w:r w:rsidR="00AD7D39">
        <w:rPr>
          <w:rFonts w:cs="Arial"/>
        </w:rPr>
        <w:t>.</w:t>
      </w:r>
    </w:p>
    <w:p w14:paraId="5A50B4EA" w14:textId="2F8A395A" w:rsidR="005830B5" w:rsidRPr="005830B5" w:rsidRDefault="6B7EB522" w:rsidP="005830B5">
      <w:pPr>
        <w:pStyle w:val="ListParagraph"/>
        <w:numPr>
          <w:ilvl w:val="0"/>
          <w:numId w:val="12"/>
        </w:numPr>
        <w:tabs>
          <w:tab w:val="left" w:pos="2925"/>
        </w:tabs>
        <w:rPr>
          <w:rFonts w:cs="Arial"/>
        </w:rPr>
      </w:pPr>
      <w:r>
        <w:t>Direct the overall performance of the D</w:t>
      </w:r>
      <w:r w:rsidR="3A613C18">
        <w:t xml:space="preserve">ivision’s </w:t>
      </w:r>
      <w:r>
        <w:t>services by setting expectations, performance goals and standards, and performance measures at a whole of program and whole of division level to form the basis for evaluation of effectiveness</w:t>
      </w:r>
      <w:r w:rsidR="4732A709">
        <w:t>.</w:t>
      </w:r>
    </w:p>
    <w:p w14:paraId="65396DDD" w14:textId="15E844FA" w:rsidR="005830B5" w:rsidRPr="005830B5" w:rsidRDefault="6B7EB522" w:rsidP="005830B5">
      <w:pPr>
        <w:pStyle w:val="ListParagraph"/>
        <w:numPr>
          <w:ilvl w:val="0"/>
          <w:numId w:val="12"/>
        </w:numPr>
        <w:tabs>
          <w:tab w:val="left" w:pos="2925"/>
        </w:tabs>
        <w:rPr>
          <w:rFonts w:cs="Arial"/>
        </w:rPr>
      </w:pPr>
      <w:r>
        <w:t xml:space="preserve">Drive effective </w:t>
      </w:r>
      <w:r w:rsidR="054F1BF0">
        <w:t xml:space="preserve">strategic </w:t>
      </w:r>
      <w:r>
        <w:t>budgeting</w:t>
      </w:r>
      <w:r w:rsidR="3663A264">
        <w:t xml:space="preserve"> and financial </w:t>
      </w:r>
      <w:r>
        <w:t xml:space="preserve">planning to optimise the return on government's investments in </w:t>
      </w:r>
      <w:r w:rsidR="3D8D6ABD">
        <w:t>Education</w:t>
      </w:r>
      <w:r w:rsidR="4732A709">
        <w:t>.</w:t>
      </w:r>
    </w:p>
    <w:p w14:paraId="6738B6F6" w14:textId="5A43E294" w:rsidR="005830B5" w:rsidRPr="005830B5" w:rsidRDefault="6B7EB522" w:rsidP="005830B5">
      <w:pPr>
        <w:pStyle w:val="ListParagraph"/>
        <w:numPr>
          <w:ilvl w:val="0"/>
          <w:numId w:val="12"/>
        </w:numPr>
        <w:tabs>
          <w:tab w:val="left" w:pos="2925"/>
        </w:tabs>
        <w:rPr>
          <w:rFonts w:cs="Arial"/>
        </w:rPr>
      </w:pPr>
      <w:r>
        <w:t xml:space="preserve">Contribute to leadership and effective governance within the Department as a key participant in critical planning and </w:t>
      </w:r>
      <w:r w:rsidR="0054241F">
        <w:t>decision-making</w:t>
      </w:r>
      <w:r>
        <w:t xml:space="preserve"> processes ensuring that operational and service delivery influences and impacts are considered</w:t>
      </w:r>
      <w:r w:rsidR="4732A709">
        <w:t>.</w:t>
      </w:r>
    </w:p>
    <w:p w14:paraId="05CFE8FE" w14:textId="6FFA35F0" w:rsidR="005830B5" w:rsidRPr="005830B5" w:rsidRDefault="007E77DC" w:rsidP="005830B5">
      <w:pPr>
        <w:pStyle w:val="ListParagraph"/>
        <w:numPr>
          <w:ilvl w:val="0"/>
          <w:numId w:val="12"/>
        </w:numPr>
        <w:tabs>
          <w:tab w:val="left" w:pos="2925"/>
        </w:tabs>
        <w:rPr>
          <w:rFonts w:cs="Arial"/>
        </w:rPr>
      </w:pPr>
      <w:r>
        <w:t xml:space="preserve">Respond effectively to highly sensitive and contentious operational or service delivery issues to ensure that financial, reputational, and business risks are </w:t>
      </w:r>
      <w:r w:rsidR="00E73089">
        <w:t>minimized.</w:t>
      </w:r>
    </w:p>
    <w:p w14:paraId="142A01C9" w14:textId="4EF7178D" w:rsidR="005830B5" w:rsidRPr="00ED7783" w:rsidRDefault="007E77DC" w:rsidP="005830B5">
      <w:pPr>
        <w:pStyle w:val="ListParagraph"/>
        <w:numPr>
          <w:ilvl w:val="0"/>
          <w:numId w:val="12"/>
        </w:numPr>
        <w:tabs>
          <w:tab w:val="left" w:pos="2925"/>
        </w:tabs>
      </w:pPr>
      <w:r>
        <w:t>Represent the Department in consultations and negotiations with key external stakeholders, including other government jurisdictions nationally, to optimise outcomes for the Department and the NSW Government</w:t>
      </w:r>
      <w:r w:rsidR="00E73089">
        <w:t>.</w:t>
      </w:r>
    </w:p>
    <w:p w14:paraId="2A9347A0" w14:textId="795833A9" w:rsidR="005830B5" w:rsidRPr="00ED7783" w:rsidRDefault="007E77DC" w:rsidP="005830B5">
      <w:pPr>
        <w:pStyle w:val="ListParagraph"/>
        <w:numPr>
          <w:ilvl w:val="0"/>
          <w:numId w:val="12"/>
        </w:numPr>
        <w:tabs>
          <w:tab w:val="left" w:pos="2925"/>
        </w:tabs>
      </w:pPr>
      <w:r>
        <w:t>Provide timely, strategic, expert and authoritative advice to the Minister</w:t>
      </w:r>
      <w:r w:rsidR="009B74D9">
        <w:t>s</w:t>
      </w:r>
      <w:r>
        <w:t xml:space="preserve"> and Secretary to enable fully informed evidence-based strategic policy recommendations and decisions</w:t>
      </w:r>
      <w:r w:rsidR="00E73089">
        <w:t>.</w:t>
      </w:r>
    </w:p>
    <w:p w14:paraId="1DF31453" w14:textId="47C2C9D0" w:rsidR="00231614" w:rsidRPr="00270ABE" w:rsidRDefault="00ED7783" w:rsidP="00270ABE">
      <w:pPr>
        <w:pStyle w:val="ListParagraph"/>
        <w:numPr>
          <w:ilvl w:val="0"/>
          <w:numId w:val="12"/>
        </w:numPr>
        <w:tabs>
          <w:tab w:val="left" w:pos="2925"/>
        </w:tabs>
        <w:spacing w:after="120"/>
        <w:rPr>
          <w:kern w:val="32"/>
          <w:sz w:val="26"/>
          <w:lang w:val="en-AU"/>
        </w:rPr>
      </w:pPr>
      <w:r w:rsidRPr="00ED7783">
        <w:t>Drive a strong risk culture throughout the division in line with the department’s risk management framework including the early identification of risks and</w:t>
      </w:r>
      <w:r>
        <w:t xml:space="preserve"> their proactive management,</w:t>
      </w:r>
      <w:r w:rsidRPr="00ED7783">
        <w:t xml:space="preserve"> the prompt response </w:t>
      </w:r>
      <w:r>
        <w:t>to audit findings, and a</w:t>
      </w:r>
      <w:r w:rsidR="007E77DC">
        <w:t>ct</w:t>
      </w:r>
      <w:r>
        <w:t>ing</w:t>
      </w:r>
      <w:r w:rsidR="007E77DC">
        <w:t xml:space="preserve"> as the primary escalation point for urgent, complex or highly sensitive operational issues</w:t>
      </w:r>
      <w:r>
        <w:t>;</w:t>
      </w:r>
      <w:r w:rsidR="002D1428">
        <w:t xml:space="preserve"> </w:t>
      </w:r>
      <w:r w:rsidR="007E77DC">
        <w:t>determining appropriate responses and the need for further escalation to the Secretary.</w:t>
      </w:r>
    </w:p>
    <w:p w14:paraId="10C78B0A" w14:textId="74CAAA45" w:rsidR="00374BAF" w:rsidRPr="00231614" w:rsidRDefault="00374BAF">
      <w:pPr>
        <w:pStyle w:val="ListParagraph"/>
        <w:numPr>
          <w:ilvl w:val="0"/>
          <w:numId w:val="12"/>
        </w:numPr>
        <w:tabs>
          <w:tab w:val="left" w:pos="2925"/>
        </w:tabs>
        <w:spacing w:after="120"/>
        <w:rPr>
          <w:rFonts w:eastAsiaTheme="minorHAnsi" w:cs="Arial"/>
          <w:kern w:val="32"/>
          <w:sz w:val="26"/>
          <w:szCs w:val="32"/>
          <w:lang w:val="en-AU"/>
        </w:rPr>
      </w:pPr>
      <w:r>
        <w:t>Champion the values of the Department to guide the delivery of strategic commitments with a focus on high performance, accountability, collaboration and judgement with courage to commit to action. Embed a strong risk culture throughout the division in line with the department’s risk management and governance frameworks, including Work Health and Safety (WHS) risk management as outlined in the WHS policy</w:t>
      </w:r>
      <w:r w:rsidRPr="00231614">
        <w:rPr>
          <w:sz w:val="16"/>
          <w:szCs w:val="16"/>
        </w:rPr>
        <w:t>.</w:t>
      </w:r>
    </w:p>
    <w:p w14:paraId="0CC7CB63" w14:textId="77777777" w:rsidR="003927AE" w:rsidRPr="00614552" w:rsidRDefault="003927AE" w:rsidP="003927AE">
      <w:pPr>
        <w:tabs>
          <w:tab w:val="left" w:pos="2925"/>
        </w:tabs>
        <w:rPr>
          <w:rStyle w:val="Heading1Char"/>
        </w:rPr>
      </w:pPr>
      <w:r w:rsidRPr="00614552">
        <w:rPr>
          <w:rStyle w:val="Heading1Char"/>
        </w:rPr>
        <w:t>Key challenges</w:t>
      </w:r>
    </w:p>
    <w:p w14:paraId="08B51143" w14:textId="18C70B76" w:rsidR="005830B5" w:rsidRPr="005830B5" w:rsidRDefault="4F3BC7E1" w:rsidP="087441D9">
      <w:pPr>
        <w:pStyle w:val="ListParagraph"/>
        <w:numPr>
          <w:ilvl w:val="0"/>
          <w:numId w:val="12"/>
        </w:numPr>
        <w:tabs>
          <w:tab w:val="left" w:pos="2925"/>
        </w:tabs>
      </w:pPr>
      <w:r>
        <w:t>Leading transformation alongside the delivery of business</w:t>
      </w:r>
      <w:r w:rsidR="00B44CFB">
        <w:t>-</w:t>
      </w:r>
      <w:r>
        <w:t>as</w:t>
      </w:r>
      <w:r w:rsidR="00B44CFB">
        <w:t>-</w:t>
      </w:r>
      <w:r>
        <w:t>usual services during a time of change and financial constraints</w:t>
      </w:r>
      <w:r w:rsidR="00B44CFB">
        <w:t>.</w:t>
      </w:r>
    </w:p>
    <w:p w14:paraId="45A36E60" w14:textId="79B4A1D1" w:rsidR="005830B5" w:rsidRPr="005830B5" w:rsidRDefault="4F3BC7E1" w:rsidP="087441D9">
      <w:pPr>
        <w:pStyle w:val="ListParagraph"/>
        <w:numPr>
          <w:ilvl w:val="0"/>
          <w:numId w:val="12"/>
        </w:numPr>
        <w:tabs>
          <w:tab w:val="left" w:pos="2925"/>
        </w:tabs>
      </w:pPr>
      <w:r>
        <w:t>Driving forward cultural change within the Division to remove silos and legacy ways of working to enable all the teams in Operations to achieve their full potential</w:t>
      </w:r>
      <w:r w:rsidR="00B44CFB">
        <w:t>.</w:t>
      </w:r>
      <w:r>
        <w:t xml:space="preserve"> </w:t>
      </w:r>
    </w:p>
    <w:p w14:paraId="7DAA2114" w14:textId="68D37BEF" w:rsidR="005830B5" w:rsidRPr="005830B5" w:rsidRDefault="086D117B" w:rsidP="087441D9">
      <w:pPr>
        <w:pStyle w:val="ListParagraph"/>
        <w:numPr>
          <w:ilvl w:val="0"/>
          <w:numId w:val="12"/>
        </w:numPr>
        <w:tabs>
          <w:tab w:val="left" w:pos="2925"/>
        </w:tabs>
      </w:pPr>
      <w:r>
        <w:t>Driving forward changes in process, policy and practice to significantly reduce the workload of our school workforce</w:t>
      </w:r>
      <w:r w:rsidR="00B44CFB">
        <w:t>.</w:t>
      </w:r>
    </w:p>
    <w:p w14:paraId="21BBD317" w14:textId="270F60F8" w:rsidR="005830B5" w:rsidRPr="005830B5" w:rsidRDefault="110CDBB8" w:rsidP="087441D9">
      <w:pPr>
        <w:pStyle w:val="ListParagraph"/>
        <w:numPr>
          <w:ilvl w:val="0"/>
          <w:numId w:val="12"/>
        </w:numPr>
        <w:tabs>
          <w:tab w:val="left" w:pos="2925"/>
        </w:tabs>
      </w:pPr>
      <w:r>
        <w:t>Supporting the Executive to deliver Government commitments and make effective prioritisati</w:t>
      </w:r>
      <w:r w:rsidR="6A7CEA0E">
        <w:t xml:space="preserve">on decisions to allow the department to live </w:t>
      </w:r>
      <w:r>
        <w:t>within the budget allocated</w:t>
      </w:r>
      <w:r w:rsidR="00B44CFB">
        <w:t>.</w:t>
      </w:r>
    </w:p>
    <w:p w14:paraId="1F2ADD97" w14:textId="77777777" w:rsidR="003927AE" w:rsidRPr="00EC5C1D" w:rsidRDefault="003927AE" w:rsidP="003927AE">
      <w:pPr>
        <w:tabs>
          <w:tab w:val="left" w:pos="2925"/>
        </w:tabs>
        <w:spacing w:line="240" w:lineRule="auto"/>
        <w:rPr>
          <w:rFonts w:ascii="Georgia" w:hAnsi="Georgia"/>
          <w:b/>
          <w:sz w:val="28"/>
        </w:rPr>
      </w:pPr>
      <w:r w:rsidRPr="00614552">
        <w:rPr>
          <w:rStyle w:val="Heading1Char"/>
        </w:rPr>
        <w:t>Key relationships</w:t>
      </w:r>
    </w:p>
    <w:tbl>
      <w:tblPr>
        <w:tblStyle w:val="PSCPurple"/>
        <w:tblW w:w="10857" w:type="dxa"/>
        <w:tblLayout w:type="fixed"/>
        <w:tblLook w:val="04A0" w:firstRow="1" w:lastRow="0" w:firstColumn="1" w:lastColumn="0" w:noHBand="0" w:noVBand="1"/>
        <w:tblCaption w:val="PSC_Key_RelationshipsTable"/>
        <w:tblDescription w:val="PSC_Key_RelationshipsTable"/>
      </w:tblPr>
      <w:tblGrid>
        <w:gridCol w:w="3601"/>
        <w:gridCol w:w="7256"/>
      </w:tblGrid>
      <w:tr w:rsidR="003927AE" w:rsidRPr="00C978B9" w14:paraId="6270DEEC" w14:textId="77777777" w:rsidTr="0F3F921B">
        <w:trPr>
          <w:cnfStyle w:val="100000000000" w:firstRow="1" w:lastRow="0" w:firstColumn="0" w:lastColumn="0" w:oddVBand="0" w:evenVBand="0" w:oddHBand="0" w:evenHBand="0" w:firstRowFirstColumn="0" w:firstRowLastColumn="0" w:lastRowFirstColumn="0" w:lastRowLastColumn="0"/>
          <w:tblHeader/>
        </w:trPr>
        <w:tc>
          <w:tcPr>
            <w:tcW w:w="3601" w:type="dxa"/>
          </w:tcPr>
          <w:p w14:paraId="4A839C6F" w14:textId="77777777" w:rsidR="003927AE" w:rsidRPr="00C978B9" w:rsidRDefault="003927AE" w:rsidP="006D241D">
            <w:pPr>
              <w:pStyle w:val="TableTextWhite0"/>
            </w:pPr>
            <w:r w:rsidRPr="00C978B9">
              <w:lastRenderedPageBreak/>
              <w:t>Who</w:t>
            </w:r>
          </w:p>
        </w:tc>
        <w:tc>
          <w:tcPr>
            <w:tcW w:w="7256" w:type="dxa"/>
          </w:tcPr>
          <w:p w14:paraId="3615191B" w14:textId="77777777" w:rsidR="003927AE" w:rsidRPr="00C978B9" w:rsidRDefault="003927AE" w:rsidP="006D241D">
            <w:pPr>
              <w:pStyle w:val="TableTextWhite0"/>
            </w:pPr>
            <w:r>
              <w:t xml:space="preserve"> </w:t>
            </w:r>
            <w:r w:rsidRPr="00C978B9">
              <w:t>Why</w:t>
            </w:r>
          </w:p>
        </w:tc>
      </w:tr>
      <w:tr w:rsidR="003927AE" w:rsidRPr="00A8245E" w14:paraId="20B9E5D2" w14:textId="77777777" w:rsidTr="0F3F921B">
        <w:tc>
          <w:tcPr>
            <w:tcW w:w="3601" w:type="dxa"/>
            <w:shd w:val="clear" w:color="auto" w:fill="BCBEC0"/>
          </w:tcPr>
          <w:p w14:paraId="1F24F3D4" w14:textId="77777777" w:rsidR="003927AE" w:rsidRPr="00A8245E" w:rsidRDefault="003927AE" w:rsidP="006D241D">
            <w:pPr>
              <w:pStyle w:val="TableText"/>
              <w:keepNext/>
              <w:rPr>
                <w:b/>
              </w:rPr>
            </w:pPr>
            <w:r w:rsidRPr="00A8245E">
              <w:rPr>
                <w:b/>
              </w:rPr>
              <w:t>Ministerial</w:t>
            </w:r>
          </w:p>
        </w:tc>
        <w:tc>
          <w:tcPr>
            <w:tcW w:w="7256" w:type="dxa"/>
            <w:shd w:val="clear" w:color="auto" w:fill="BCBEC0"/>
          </w:tcPr>
          <w:p w14:paraId="67AADBAA" w14:textId="77777777" w:rsidR="003927AE" w:rsidRPr="00A8245E" w:rsidRDefault="003927AE" w:rsidP="006D241D">
            <w:pPr>
              <w:pStyle w:val="TableText"/>
              <w:keepNext/>
              <w:rPr>
                <w:b/>
              </w:rPr>
            </w:pPr>
          </w:p>
        </w:tc>
      </w:tr>
      <w:tr w:rsidR="003927AE" w:rsidRPr="00C978B9" w14:paraId="36E6097A" w14:textId="77777777" w:rsidTr="0F3F921B">
        <w:tc>
          <w:tcPr>
            <w:tcW w:w="3601" w:type="dxa"/>
            <w:tcBorders>
              <w:top w:val="single" w:sz="8" w:space="0" w:color="auto"/>
              <w:bottom w:val="single" w:sz="8" w:space="0" w:color="BCBEC0"/>
            </w:tcBorders>
          </w:tcPr>
          <w:p w14:paraId="16B273B2" w14:textId="1331D180" w:rsidR="003927AE" w:rsidRPr="00A15CDB" w:rsidRDefault="003927AE" w:rsidP="006D241D">
            <w:pPr>
              <w:pStyle w:val="TableText"/>
            </w:pPr>
            <w:r>
              <w:t>Minister</w:t>
            </w:r>
            <w:r w:rsidR="006D241D">
              <w:t>s</w:t>
            </w:r>
          </w:p>
        </w:tc>
        <w:tc>
          <w:tcPr>
            <w:tcW w:w="7256" w:type="dxa"/>
            <w:tcBorders>
              <w:top w:val="single" w:sz="8" w:space="0" w:color="auto"/>
              <w:bottom w:val="single" w:sz="8" w:space="0" w:color="BCBEC0"/>
            </w:tcBorders>
          </w:tcPr>
          <w:p w14:paraId="570D354D" w14:textId="77777777" w:rsidR="005830B5" w:rsidRDefault="003927AE" w:rsidP="003927AE">
            <w:pPr>
              <w:pStyle w:val="TableText"/>
              <w:numPr>
                <w:ilvl w:val="0"/>
                <w:numId w:val="4"/>
              </w:numPr>
            </w:pPr>
            <w:r>
              <w:t>Provide expert advice, accurate information and timely responses to issues</w:t>
            </w:r>
          </w:p>
          <w:p w14:paraId="30C2A94F" w14:textId="77777777" w:rsidR="003927AE" w:rsidRPr="00A15CDB" w:rsidRDefault="003927AE" w:rsidP="003927AE">
            <w:pPr>
              <w:pStyle w:val="TableText"/>
              <w:numPr>
                <w:ilvl w:val="0"/>
                <w:numId w:val="4"/>
              </w:numPr>
            </w:pPr>
            <w:r>
              <w:t>Collaborate and maintain open relationships to expedite responses and information transfer</w:t>
            </w:r>
          </w:p>
        </w:tc>
      </w:tr>
      <w:tr w:rsidR="003927AE" w:rsidRPr="00A8245E" w14:paraId="4F3F06A6" w14:textId="77777777" w:rsidTr="0F3F921B">
        <w:tc>
          <w:tcPr>
            <w:tcW w:w="3601" w:type="dxa"/>
            <w:shd w:val="clear" w:color="auto" w:fill="BCBEC0"/>
          </w:tcPr>
          <w:p w14:paraId="320655A1" w14:textId="77777777" w:rsidR="003927AE" w:rsidRPr="00A8245E" w:rsidRDefault="003927AE" w:rsidP="006D241D">
            <w:pPr>
              <w:pStyle w:val="TableText"/>
              <w:keepNext/>
              <w:rPr>
                <w:b/>
              </w:rPr>
            </w:pPr>
            <w:r w:rsidRPr="00A8245E">
              <w:rPr>
                <w:b/>
              </w:rPr>
              <w:t>Internal</w:t>
            </w:r>
          </w:p>
        </w:tc>
        <w:tc>
          <w:tcPr>
            <w:tcW w:w="7256" w:type="dxa"/>
            <w:shd w:val="clear" w:color="auto" w:fill="BCBEC0"/>
          </w:tcPr>
          <w:p w14:paraId="380FBFD4" w14:textId="77777777" w:rsidR="003927AE" w:rsidRPr="00A8245E" w:rsidRDefault="003927AE" w:rsidP="006D241D">
            <w:pPr>
              <w:pStyle w:val="TableText"/>
              <w:keepNext/>
              <w:rPr>
                <w:b/>
              </w:rPr>
            </w:pPr>
          </w:p>
        </w:tc>
      </w:tr>
      <w:tr w:rsidR="003927AE" w:rsidRPr="00C978B9" w14:paraId="0599C71C" w14:textId="77777777" w:rsidTr="0F3F921B">
        <w:tc>
          <w:tcPr>
            <w:tcW w:w="3601" w:type="dxa"/>
            <w:tcBorders>
              <w:top w:val="single" w:sz="8" w:space="0" w:color="auto"/>
              <w:bottom w:val="single" w:sz="8" w:space="0" w:color="BCBEC0"/>
            </w:tcBorders>
          </w:tcPr>
          <w:p w14:paraId="3FEEF7F4" w14:textId="77777777" w:rsidR="003927AE" w:rsidRPr="00A15CDB" w:rsidRDefault="003927AE" w:rsidP="006D241D">
            <w:pPr>
              <w:pStyle w:val="TableText"/>
            </w:pPr>
            <w:r>
              <w:t>Secretary</w:t>
            </w:r>
          </w:p>
        </w:tc>
        <w:tc>
          <w:tcPr>
            <w:tcW w:w="7256" w:type="dxa"/>
            <w:tcBorders>
              <w:top w:val="single" w:sz="8" w:space="0" w:color="auto"/>
              <w:bottom w:val="single" w:sz="8" w:space="0" w:color="BCBEC0"/>
            </w:tcBorders>
          </w:tcPr>
          <w:p w14:paraId="4DAB29D3" w14:textId="77777777" w:rsidR="005830B5" w:rsidRDefault="003927AE" w:rsidP="003927AE">
            <w:pPr>
              <w:pStyle w:val="TableText"/>
              <w:numPr>
                <w:ilvl w:val="0"/>
                <w:numId w:val="4"/>
              </w:numPr>
            </w:pPr>
            <w:r>
              <w:t>Provide strategic and operational advice related to agency plans, programs and services, or major issues which are politically sensitive or have significant organisational impacts</w:t>
            </w:r>
          </w:p>
          <w:p w14:paraId="3A7069DB" w14:textId="77777777" w:rsidR="003927AE" w:rsidRPr="00A15CDB" w:rsidRDefault="003927AE" w:rsidP="003927AE">
            <w:pPr>
              <w:pStyle w:val="TableText"/>
              <w:numPr>
                <w:ilvl w:val="0"/>
                <w:numId w:val="4"/>
              </w:numPr>
            </w:pPr>
            <w:r>
              <w:t>Provide leadership and advice on building new processes and capability and identifying areas for improvements</w:t>
            </w:r>
          </w:p>
        </w:tc>
      </w:tr>
      <w:tr w:rsidR="003927AE" w:rsidRPr="00C978B9" w14:paraId="10192487" w14:textId="77777777" w:rsidTr="0F3F921B">
        <w:tc>
          <w:tcPr>
            <w:tcW w:w="3601" w:type="dxa"/>
            <w:tcBorders>
              <w:top w:val="single" w:sz="8" w:space="0" w:color="auto"/>
              <w:bottom w:val="single" w:sz="8" w:space="0" w:color="BCBEC0"/>
            </w:tcBorders>
          </w:tcPr>
          <w:p w14:paraId="77783AC3" w14:textId="292C9837" w:rsidR="003927AE" w:rsidRPr="00A15CDB" w:rsidRDefault="003927AE" w:rsidP="006D241D">
            <w:pPr>
              <w:pStyle w:val="TableText"/>
            </w:pPr>
            <w:r>
              <w:t>Executive</w:t>
            </w:r>
          </w:p>
        </w:tc>
        <w:tc>
          <w:tcPr>
            <w:tcW w:w="7256" w:type="dxa"/>
            <w:tcBorders>
              <w:top w:val="single" w:sz="8" w:space="0" w:color="auto"/>
              <w:bottom w:val="single" w:sz="8" w:space="0" w:color="BCBEC0"/>
            </w:tcBorders>
          </w:tcPr>
          <w:p w14:paraId="5A733084" w14:textId="77777777" w:rsidR="003927AE" w:rsidRPr="00A15CDB" w:rsidRDefault="005830B5" w:rsidP="003927AE">
            <w:pPr>
              <w:pStyle w:val="TableText"/>
              <w:numPr>
                <w:ilvl w:val="0"/>
                <w:numId w:val="4"/>
              </w:numPr>
            </w:pPr>
            <w:r>
              <w:t>D</w:t>
            </w:r>
            <w:r w:rsidR="003927AE">
              <w:t>rive increased collaboration and accountability to drive effective decision making and execution of Executive priorities</w:t>
            </w:r>
          </w:p>
        </w:tc>
      </w:tr>
      <w:tr w:rsidR="003927AE" w:rsidRPr="00C978B9" w14:paraId="1E4B26D6" w14:textId="77777777" w:rsidTr="0F3F921B">
        <w:tc>
          <w:tcPr>
            <w:tcW w:w="3601" w:type="dxa"/>
            <w:tcBorders>
              <w:top w:val="single" w:sz="8" w:space="0" w:color="auto"/>
              <w:bottom w:val="single" w:sz="8" w:space="0" w:color="BCBEC0"/>
            </w:tcBorders>
          </w:tcPr>
          <w:p w14:paraId="0479D88D" w14:textId="77777777" w:rsidR="003927AE" w:rsidRPr="00A15CDB" w:rsidRDefault="003927AE" w:rsidP="006D241D">
            <w:pPr>
              <w:pStyle w:val="TableText"/>
            </w:pPr>
            <w:r>
              <w:t>Direct Reports</w:t>
            </w:r>
          </w:p>
        </w:tc>
        <w:tc>
          <w:tcPr>
            <w:tcW w:w="7256" w:type="dxa"/>
            <w:tcBorders>
              <w:top w:val="single" w:sz="8" w:space="0" w:color="auto"/>
              <w:bottom w:val="single" w:sz="8" w:space="0" w:color="BCBEC0"/>
            </w:tcBorders>
          </w:tcPr>
          <w:p w14:paraId="310A562A" w14:textId="3541A31A" w:rsidR="003927AE" w:rsidRPr="00A15CDB" w:rsidRDefault="6B5CE12F" w:rsidP="0F3F921B">
            <w:pPr>
              <w:pStyle w:val="TableText"/>
              <w:numPr>
                <w:ilvl w:val="0"/>
                <w:numId w:val="4"/>
              </w:numPr>
              <w:rPr>
                <w:rFonts w:eastAsia="Arial" w:cs="Arial"/>
                <w:color w:val="000000" w:themeColor="text1"/>
              </w:rPr>
            </w:pPr>
            <w:r w:rsidRPr="0F3F921B">
              <w:rPr>
                <w:rFonts w:eastAsiaTheme="minorEastAsia" w:cs="Arial"/>
                <w:color w:val="000000" w:themeColor="text1"/>
              </w:rPr>
              <w:t>Inspire and motivate, provide direction and guidance, manage performance, and communicate high level work priorities</w:t>
            </w:r>
          </w:p>
          <w:p w14:paraId="51755BAF" w14:textId="4D99305D" w:rsidR="003927AE" w:rsidRPr="00A15CDB" w:rsidRDefault="6B5CE12F" w:rsidP="0F3F921B">
            <w:pPr>
              <w:pStyle w:val="ListParagraph"/>
              <w:numPr>
                <w:ilvl w:val="0"/>
                <w:numId w:val="4"/>
              </w:numPr>
              <w:spacing w:line="276" w:lineRule="auto"/>
              <w:rPr>
                <w:rFonts w:eastAsia="Arial" w:cs="Arial"/>
                <w:color w:val="000000" w:themeColor="text1"/>
              </w:rPr>
            </w:pPr>
            <w:r w:rsidRPr="0F3F921B">
              <w:rPr>
                <w:rFonts w:eastAsiaTheme="minorEastAsia" w:cs="Arial"/>
                <w:color w:val="000000" w:themeColor="text1"/>
                <w:lang w:val="en-US"/>
              </w:rPr>
              <w:t>Collaborate, implement and influence planning, decision making and financial governance</w:t>
            </w:r>
          </w:p>
        </w:tc>
      </w:tr>
      <w:tr w:rsidR="003927AE" w:rsidRPr="00A8245E" w14:paraId="387C33A2" w14:textId="77777777" w:rsidTr="0F3F921B">
        <w:tc>
          <w:tcPr>
            <w:tcW w:w="3601" w:type="dxa"/>
            <w:shd w:val="clear" w:color="auto" w:fill="BCBEC0"/>
          </w:tcPr>
          <w:p w14:paraId="441DA68D" w14:textId="77777777" w:rsidR="003927AE" w:rsidRPr="00A8245E" w:rsidRDefault="003927AE" w:rsidP="006D241D">
            <w:pPr>
              <w:pStyle w:val="TableText"/>
              <w:keepNext/>
              <w:rPr>
                <w:b/>
              </w:rPr>
            </w:pPr>
            <w:r w:rsidRPr="00A8245E">
              <w:rPr>
                <w:b/>
              </w:rPr>
              <w:t>External</w:t>
            </w:r>
          </w:p>
        </w:tc>
        <w:tc>
          <w:tcPr>
            <w:tcW w:w="7256" w:type="dxa"/>
            <w:shd w:val="clear" w:color="auto" w:fill="BCBEC0"/>
          </w:tcPr>
          <w:p w14:paraId="408B3BA6" w14:textId="77777777" w:rsidR="003927AE" w:rsidRPr="00A8245E" w:rsidRDefault="003927AE" w:rsidP="006D241D">
            <w:pPr>
              <w:pStyle w:val="TableText"/>
              <w:keepNext/>
              <w:rPr>
                <w:b/>
              </w:rPr>
            </w:pPr>
          </w:p>
        </w:tc>
      </w:tr>
      <w:tr w:rsidR="003927AE" w:rsidRPr="00C978B9" w14:paraId="4A97CF29" w14:textId="77777777" w:rsidTr="0F3F921B">
        <w:tc>
          <w:tcPr>
            <w:tcW w:w="3601" w:type="dxa"/>
            <w:tcBorders>
              <w:top w:val="single" w:sz="8" w:space="0" w:color="auto"/>
              <w:bottom w:val="single" w:sz="8" w:space="0" w:color="BCBEC0"/>
            </w:tcBorders>
          </w:tcPr>
          <w:p w14:paraId="0FD5B003" w14:textId="77777777" w:rsidR="003927AE" w:rsidRPr="00A15CDB" w:rsidRDefault="003927AE" w:rsidP="006D241D">
            <w:pPr>
              <w:pStyle w:val="TableText"/>
            </w:pPr>
            <w:r>
              <w:t>Other NSW Government Agencies</w:t>
            </w:r>
          </w:p>
        </w:tc>
        <w:tc>
          <w:tcPr>
            <w:tcW w:w="7256" w:type="dxa"/>
            <w:tcBorders>
              <w:top w:val="single" w:sz="8" w:space="0" w:color="auto"/>
              <w:bottom w:val="single" w:sz="8" w:space="0" w:color="BCBEC0"/>
            </w:tcBorders>
          </w:tcPr>
          <w:p w14:paraId="13CE149F" w14:textId="77777777" w:rsidR="005830B5" w:rsidRDefault="003927AE" w:rsidP="003927AE">
            <w:pPr>
              <w:pStyle w:val="TableText"/>
              <w:numPr>
                <w:ilvl w:val="0"/>
                <w:numId w:val="4"/>
              </w:numPr>
            </w:pPr>
            <w:r>
              <w:t>Develop collaborative relationships and partnerships with other NSW Government stakeholders to identify and implement cross-sector solutions</w:t>
            </w:r>
          </w:p>
          <w:p w14:paraId="63F9CDB5" w14:textId="77777777" w:rsidR="005830B5" w:rsidRDefault="003927AE" w:rsidP="003927AE">
            <w:pPr>
              <w:pStyle w:val="TableText"/>
              <w:numPr>
                <w:ilvl w:val="0"/>
                <w:numId w:val="4"/>
              </w:numPr>
            </w:pPr>
            <w:r>
              <w:t>Establish networks to enable performance benchmarking, monitor industry trends, maintain currency, and collaborate on common response to emerging issues</w:t>
            </w:r>
          </w:p>
          <w:p w14:paraId="01559092" w14:textId="77777777" w:rsidR="003927AE" w:rsidRPr="00A15CDB" w:rsidRDefault="003927AE" w:rsidP="003927AE">
            <w:pPr>
              <w:pStyle w:val="TableText"/>
              <w:numPr>
                <w:ilvl w:val="0"/>
                <w:numId w:val="4"/>
              </w:numPr>
            </w:pPr>
            <w:r>
              <w:t>Ensure strategic coordination that aligns with NSW plans for infrastructure development.</w:t>
            </w:r>
          </w:p>
        </w:tc>
      </w:tr>
      <w:tr w:rsidR="003927AE" w:rsidRPr="00C978B9" w14:paraId="543A549A" w14:textId="77777777" w:rsidTr="0F3F921B">
        <w:tc>
          <w:tcPr>
            <w:tcW w:w="3601" w:type="dxa"/>
            <w:tcBorders>
              <w:top w:val="single" w:sz="8" w:space="0" w:color="auto"/>
              <w:bottom w:val="single" w:sz="8" w:space="0" w:color="BCBEC0"/>
            </w:tcBorders>
          </w:tcPr>
          <w:p w14:paraId="3CF3327C" w14:textId="77777777" w:rsidR="003927AE" w:rsidRPr="00A15CDB" w:rsidRDefault="003927AE" w:rsidP="006D241D">
            <w:pPr>
              <w:pStyle w:val="TableText"/>
            </w:pPr>
            <w:r>
              <w:t>Stakeholders</w:t>
            </w:r>
          </w:p>
        </w:tc>
        <w:tc>
          <w:tcPr>
            <w:tcW w:w="7256" w:type="dxa"/>
            <w:tcBorders>
              <w:top w:val="single" w:sz="8" w:space="0" w:color="auto"/>
              <w:bottom w:val="single" w:sz="8" w:space="0" w:color="BCBEC0"/>
            </w:tcBorders>
          </w:tcPr>
          <w:p w14:paraId="58E49523" w14:textId="77777777" w:rsidR="003927AE" w:rsidRPr="00A15CDB" w:rsidRDefault="003927AE" w:rsidP="003927AE">
            <w:pPr>
              <w:pStyle w:val="TableText"/>
              <w:numPr>
                <w:ilvl w:val="0"/>
                <w:numId w:val="4"/>
              </w:numPr>
            </w:pPr>
            <w:r>
              <w:t>Manage expectations, explore, resolve and provide solutions to issues to ensure that programs and services are high quality and targeted to meet evolving needs</w:t>
            </w:r>
          </w:p>
        </w:tc>
      </w:tr>
    </w:tbl>
    <w:p w14:paraId="5CCC7F92" w14:textId="77777777" w:rsidR="003927AE" w:rsidRDefault="003927AE" w:rsidP="003927AE"/>
    <w:p w14:paraId="2C46E5E6" w14:textId="77777777" w:rsidR="003927AE" w:rsidRDefault="003927AE" w:rsidP="003927AE">
      <w:pPr>
        <w:pStyle w:val="Heading1"/>
        <w:rPr>
          <w:sz w:val="28"/>
        </w:rPr>
      </w:pPr>
      <w:r w:rsidRPr="00614552">
        <w:t>Role dimensions</w:t>
      </w:r>
    </w:p>
    <w:p w14:paraId="36EE6493" w14:textId="77777777" w:rsidR="003927AE" w:rsidRPr="00614552" w:rsidRDefault="003927AE" w:rsidP="003927AE">
      <w:pPr>
        <w:pStyle w:val="Heading2"/>
      </w:pPr>
      <w:r>
        <w:t>Decision making</w:t>
      </w:r>
    </w:p>
    <w:p w14:paraId="729521D5" w14:textId="2A0570EE" w:rsidR="003927AE" w:rsidRPr="005830B5" w:rsidRDefault="7E1A3569" w:rsidP="0F3F921B">
      <w:r w:rsidRPr="0F3F921B">
        <w:rPr>
          <w:rFonts w:eastAsia="Arial" w:cs="Arial"/>
        </w:rPr>
        <w:t xml:space="preserve">In consultation with the Secretary, and within the framework of the Department and Division’s strategic objectives, central agency requirements and statutory obligations, the Deputy Secretary sets the performance targets, objectives and priorities for the Division. </w:t>
      </w:r>
      <w:r w:rsidR="003927AE">
        <w:br/>
      </w:r>
      <w:r w:rsidRPr="0F3F921B">
        <w:rPr>
          <w:rFonts w:eastAsia="Arial" w:cs="Arial"/>
        </w:rPr>
        <w:t>The role may directly commit resourcing, relating to the area of responsibility of the Division.</w:t>
      </w:r>
      <w:r w:rsidR="003927AE">
        <w:br/>
      </w:r>
    </w:p>
    <w:p w14:paraId="5E3FDEB0" w14:textId="77777777" w:rsidR="003927AE" w:rsidRPr="00614552" w:rsidRDefault="003927AE" w:rsidP="003927AE">
      <w:pPr>
        <w:pStyle w:val="Heading2"/>
      </w:pPr>
      <w:r w:rsidRPr="00614552">
        <w:t>Reporting line</w:t>
      </w:r>
    </w:p>
    <w:p w14:paraId="534EFEF2" w14:textId="3DC9CEBF" w:rsidR="003927AE" w:rsidRPr="00603D53" w:rsidRDefault="003927AE" w:rsidP="0F3F921B">
      <w:r>
        <w:t>Th</w:t>
      </w:r>
      <w:r w:rsidR="6C1CF4E3">
        <w:t>is role</w:t>
      </w:r>
      <w:r>
        <w:t xml:space="preserve"> reports to the Secretary.</w:t>
      </w:r>
    </w:p>
    <w:p w14:paraId="1897712B" w14:textId="77777777" w:rsidR="003927AE" w:rsidRPr="00614552" w:rsidRDefault="003927AE" w:rsidP="003927AE">
      <w:pPr>
        <w:pStyle w:val="Heading2"/>
      </w:pPr>
      <w:r w:rsidRPr="00614552">
        <w:lastRenderedPageBreak/>
        <w:t>Direct reports</w:t>
      </w:r>
    </w:p>
    <w:p w14:paraId="04DD3DA4" w14:textId="793EC47C" w:rsidR="003927AE" w:rsidRPr="00603D53" w:rsidRDefault="18106F57" w:rsidP="2055BAA9">
      <w:r>
        <w:t>Th</w:t>
      </w:r>
      <w:r w:rsidR="53F4B945">
        <w:t>is role</w:t>
      </w:r>
      <w:r>
        <w:t xml:space="preserve"> has up to </w:t>
      </w:r>
      <w:r w:rsidR="6FCF504F">
        <w:t>9</w:t>
      </w:r>
      <w:r>
        <w:t xml:space="preserve"> direct reports</w:t>
      </w:r>
    </w:p>
    <w:p w14:paraId="369266D7" w14:textId="77777777" w:rsidR="003927AE" w:rsidRPr="00614552" w:rsidRDefault="003927AE" w:rsidP="003927AE">
      <w:pPr>
        <w:pStyle w:val="Heading2"/>
      </w:pPr>
      <w:r w:rsidRPr="00614552">
        <w:t>Budget/Expenditure</w:t>
      </w:r>
    </w:p>
    <w:p w14:paraId="29800AAB" w14:textId="77777777" w:rsidR="003927AE" w:rsidRDefault="003927AE" w:rsidP="003927AE">
      <w:pPr>
        <w:rPr>
          <w:rFonts w:cs="Arial"/>
          <w:szCs w:val="26"/>
        </w:rPr>
      </w:pPr>
      <w:r>
        <w:t>The role has a financial delegation of up to $3,000,000.</w:t>
      </w:r>
    </w:p>
    <w:p w14:paraId="3025FD51" w14:textId="26AFD883" w:rsidR="003927AE" w:rsidRDefault="003927AE" w:rsidP="003927AE">
      <w:pPr>
        <w:tabs>
          <w:tab w:val="left" w:pos="2925"/>
        </w:tabs>
        <w:rPr>
          <w:rStyle w:val="Heading1Char"/>
        </w:rPr>
      </w:pPr>
      <w:r>
        <w:rPr>
          <w:rStyle w:val="Heading1Char"/>
        </w:rPr>
        <w:t>Key knowledge and experience</w:t>
      </w:r>
    </w:p>
    <w:p w14:paraId="3C73D2EF" w14:textId="56B64262" w:rsidR="003927AE" w:rsidRPr="006539CA" w:rsidRDefault="003927AE" w:rsidP="0F3F921B">
      <w:pPr>
        <w:pStyle w:val="ListParagraph"/>
        <w:numPr>
          <w:ilvl w:val="0"/>
          <w:numId w:val="15"/>
        </w:numPr>
        <w:rPr>
          <w:rFonts w:cs="Arial"/>
        </w:rPr>
      </w:pPr>
      <w:r>
        <w:t xml:space="preserve">Tertiary qualification/s in a relevant discipline, and/or demonstrated experience at an executive level in the management of major service deliverables in a large complex </w:t>
      </w:r>
      <w:r w:rsidR="00E73089">
        <w:t>organization.</w:t>
      </w:r>
    </w:p>
    <w:p w14:paraId="720DA55C" w14:textId="45DF83FB" w:rsidR="76F7E8E1" w:rsidRDefault="4732A709" w:rsidP="0F3F921B">
      <w:pPr>
        <w:pStyle w:val="ListParagraph"/>
        <w:numPr>
          <w:ilvl w:val="0"/>
          <w:numId w:val="15"/>
        </w:numPr>
        <w:rPr>
          <w:rFonts w:eastAsia="Arial" w:cs="Arial"/>
        </w:rPr>
      </w:pPr>
      <w:r>
        <w:t>Knowledge of and commitment to implementing the Department’s</w:t>
      </w:r>
      <w:r w:rsidRPr="087441D9">
        <w:rPr>
          <w:color w:val="FF0000"/>
        </w:rPr>
        <w:t xml:space="preserve"> </w:t>
      </w:r>
      <w:hyperlink r:id="rId12" w:history="1">
        <w:r w:rsidRPr="00A2072F">
          <w:rPr>
            <w:rStyle w:val="Hyperlink"/>
          </w:rPr>
          <w:t>Aboriginal Education Policy</w:t>
        </w:r>
      </w:hyperlink>
      <w:r w:rsidRPr="087441D9">
        <w:rPr>
          <w:color w:val="FF0000"/>
        </w:rPr>
        <w:t xml:space="preserve"> </w:t>
      </w:r>
      <w:r>
        <w:t>and upholding the</w:t>
      </w:r>
      <w:r w:rsidRPr="087441D9">
        <w:rPr>
          <w:color w:val="FF0000"/>
        </w:rPr>
        <w:t xml:space="preserve"> </w:t>
      </w:r>
      <w:hyperlink r:id="rId13">
        <w:r w:rsidRPr="087441D9">
          <w:rPr>
            <w:rStyle w:val="Hyperlink"/>
          </w:rPr>
          <w:t>Department’s Partnership Agreement with the NSW AECG</w:t>
        </w:r>
      </w:hyperlink>
      <w:r w:rsidRPr="087441D9">
        <w:rPr>
          <w:color w:val="FF0000"/>
        </w:rPr>
        <w:t xml:space="preserve"> </w:t>
      </w:r>
      <w:r>
        <w:t>and to ensure quality outcomes for Aboriginal people.</w:t>
      </w:r>
    </w:p>
    <w:p w14:paraId="426FF1BE" w14:textId="77777777" w:rsidR="003927AE" w:rsidRDefault="003927AE" w:rsidP="003927AE">
      <w:pPr>
        <w:tabs>
          <w:tab w:val="left" w:pos="2925"/>
        </w:tabs>
        <w:rPr>
          <w:rStyle w:val="Heading1Char"/>
        </w:rPr>
      </w:pPr>
      <w:r w:rsidRPr="0F3F921B">
        <w:rPr>
          <w:rStyle w:val="Heading1Char"/>
        </w:rPr>
        <w:t>Essential requirements</w:t>
      </w:r>
    </w:p>
    <w:p w14:paraId="09ECFA43" w14:textId="77777777" w:rsidR="00412765" w:rsidRDefault="003927AE" w:rsidP="005830B5">
      <w:pPr>
        <w:pStyle w:val="ListParagraph"/>
        <w:numPr>
          <w:ilvl w:val="1"/>
          <w:numId w:val="15"/>
        </w:numPr>
        <w:ind w:left="709"/>
      </w:pPr>
      <w:r>
        <w:t>Hold a valid clearance to work with Children (Working with Children Check)</w:t>
      </w:r>
      <w:r w:rsidR="00E73089">
        <w:t>.</w:t>
      </w:r>
    </w:p>
    <w:p w14:paraId="3779069E" w14:textId="13B5F4F4" w:rsidR="003927AE" w:rsidRDefault="00412765" w:rsidP="00412765">
      <w:pPr>
        <w:pStyle w:val="ListParagraph"/>
        <w:numPr>
          <w:ilvl w:val="0"/>
          <w:numId w:val="15"/>
        </w:numPr>
        <w:spacing w:after="0" w:line="240" w:lineRule="auto"/>
        <w:contextualSpacing w:val="0"/>
      </w:pPr>
      <w:r>
        <w:t>Demonstrated understanding of and commitment to the value of public education.</w:t>
      </w:r>
    </w:p>
    <w:p w14:paraId="4682FCCC" w14:textId="77777777" w:rsidR="00412765" w:rsidRPr="005830B5" w:rsidRDefault="00412765" w:rsidP="00412765">
      <w:pPr>
        <w:pStyle w:val="ListParagraph"/>
        <w:spacing w:after="0" w:line="240" w:lineRule="auto"/>
        <w:contextualSpacing w:val="0"/>
      </w:pPr>
    </w:p>
    <w:p w14:paraId="38FF9B03" w14:textId="77777777" w:rsidR="003927AE" w:rsidRPr="00C978B9" w:rsidRDefault="003927AE" w:rsidP="003927AE">
      <w:pPr>
        <w:pStyle w:val="Heading1"/>
      </w:pPr>
      <w:r w:rsidRPr="00C978B9">
        <w:t>Capabilities for the role</w:t>
      </w:r>
    </w:p>
    <w:p w14:paraId="40EAA419" w14:textId="77777777" w:rsidR="003927AE" w:rsidRPr="00175AAF" w:rsidRDefault="003927AE" w:rsidP="003927AE">
      <w:r w:rsidRPr="00175AAF">
        <w:t xml:space="preserve">The </w:t>
      </w:r>
      <w:hyperlink r:id="rId14" w:history="1">
        <w:r>
          <w:rPr>
            <w:rStyle w:val="Hyperlink"/>
          </w:rPr>
          <w:t>NSW public sector capability framework</w:t>
        </w:r>
      </w:hyperlink>
      <w:r>
        <w:t xml:space="preserve"> describes the capabilities (knowledge, skills and abilities) needed to perform a role. There are four main groups of capabilities: </w:t>
      </w:r>
      <w:r w:rsidRPr="00175AAF">
        <w:t>personal attributes</w:t>
      </w:r>
      <w:r>
        <w:t xml:space="preserve">, </w:t>
      </w:r>
      <w:r w:rsidRPr="00175AAF">
        <w:t>relationships</w:t>
      </w:r>
      <w:r>
        <w:t xml:space="preserve">, </w:t>
      </w:r>
      <w:r w:rsidRPr="00175AAF">
        <w:t>results</w:t>
      </w:r>
      <w:r>
        <w:t xml:space="preserve"> and </w:t>
      </w:r>
      <w:r w:rsidRPr="00175AAF">
        <w:t>business enablers</w:t>
      </w:r>
      <w:r>
        <w:t xml:space="preserve">, with a fifth </w:t>
      </w:r>
      <w:r w:rsidRPr="00175AAF">
        <w:t>people management</w:t>
      </w:r>
      <w:r>
        <w:t xml:space="preserve"> group of capabilities for roles with managerial responsibilities. These groups, combined with capabilities drawn from occupation-specific capability sets where relevant, work together to provide an </w:t>
      </w:r>
      <w:r w:rsidRPr="00175AAF">
        <w:t>understanding of the capabilities needed for the role.</w:t>
      </w:r>
    </w:p>
    <w:p w14:paraId="04A61D0A" w14:textId="77777777" w:rsidR="003927AE" w:rsidRPr="00175AAF" w:rsidRDefault="003927AE" w:rsidP="003927AE">
      <w:r w:rsidRPr="008D00EC">
        <w:t xml:space="preserve">The capabilities are separated into </w:t>
      </w:r>
      <w:r w:rsidRPr="003927AE">
        <w:rPr>
          <w:b/>
        </w:rPr>
        <w:t>focus capabilities</w:t>
      </w:r>
      <w:r w:rsidRPr="00175AAF">
        <w:t xml:space="preserve"> and </w:t>
      </w:r>
      <w:r w:rsidRPr="003927AE">
        <w:rPr>
          <w:b/>
        </w:rPr>
        <w:t>complementary capabilities</w:t>
      </w:r>
      <w:r w:rsidRPr="00175AAF">
        <w:t xml:space="preserve">. </w:t>
      </w:r>
    </w:p>
    <w:p w14:paraId="73B4C6D2" w14:textId="77777777" w:rsidR="003927AE" w:rsidRPr="00C978B9" w:rsidRDefault="003927AE" w:rsidP="003927AE">
      <w:pPr>
        <w:pStyle w:val="Heading1"/>
      </w:pPr>
      <w:r w:rsidRPr="00C978B9">
        <w:t xml:space="preserve">Focus </w:t>
      </w:r>
      <w:r>
        <w:t>c</w:t>
      </w:r>
      <w:r w:rsidRPr="00C978B9">
        <w:t>apabilities</w:t>
      </w:r>
    </w:p>
    <w:p w14:paraId="793C5D59" w14:textId="77777777" w:rsidR="003927AE" w:rsidRDefault="003927AE" w:rsidP="003927AE">
      <w:pPr>
        <w:pStyle w:val="PlainText"/>
        <w:spacing w:before="62" w:line="276" w:lineRule="auto"/>
        <w:rPr>
          <w:rFonts w:ascii="Arial" w:eastAsiaTheme="minorEastAsia" w:hAnsi="Arial"/>
          <w:szCs w:val="22"/>
          <w:lang w:val="en-US"/>
        </w:rPr>
      </w:pPr>
      <w:r>
        <w:rPr>
          <w:rFonts w:ascii="Arial" w:eastAsiaTheme="minorEastAsia" w:hAnsi="Arial"/>
          <w:i/>
          <w:szCs w:val="22"/>
          <w:lang w:val="en-US"/>
        </w:rPr>
        <w:t>Focus capabilities</w:t>
      </w:r>
      <w:r>
        <w:rPr>
          <w:rFonts w:ascii="Arial" w:eastAsiaTheme="minorEastAsia" w:hAnsi="Arial"/>
          <w:szCs w:val="22"/>
          <w:lang w:val="en-US"/>
        </w:rPr>
        <w:t xml:space="preserve"> are the capabilities considered the most important for effective performance of the role. These capabilities will be assessed at recruitment. </w:t>
      </w:r>
    </w:p>
    <w:p w14:paraId="1BD6114D" w14:textId="77777777" w:rsidR="003927AE" w:rsidRDefault="003927AE" w:rsidP="00BB12E9">
      <w:pPr>
        <w:pStyle w:val="PlainText"/>
        <w:spacing w:before="62" w:line="276" w:lineRule="auto"/>
        <w:rPr>
          <w:rFonts w:ascii="Arial" w:eastAsiaTheme="minorEastAsia" w:hAnsi="Arial"/>
          <w:szCs w:val="22"/>
          <w:lang w:val="en-US"/>
        </w:rPr>
      </w:pPr>
      <w:r w:rsidRPr="004D15E4">
        <w:rPr>
          <w:rFonts w:ascii="Arial" w:eastAsiaTheme="minorEastAsia" w:hAnsi="Arial"/>
          <w:szCs w:val="22"/>
          <w:lang w:val="en-US"/>
        </w:rPr>
        <w:t>The focus capabilities for this role are shown below with a brief explanation of what each capability covers and the indicators describing the types of behaviours</w:t>
      </w:r>
      <w:r>
        <w:rPr>
          <w:rFonts w:ascii="Arial" w:eastAsiaTheme="minorEastAsia" w:hAnsi="Arial"/>
          <w:szCs w:val="22"/>
          <w:lang w:val="en-US"/>
        </w:rPr>
        <w:t xml:space="preserve"> </w:t>
      </w:r>
      <w:r w:rsidRPr="004D15E4">
        <w:rPr>
          <w:rFonts w:ascii="Arial" w:eastAsiaTheme="minorEastAsia" w:hAnsi="Arial"/>
          <w:szCs w:val="22"/>
          <w:lang w:val="en-US"/>
        </w:rPr>
        <w:t xml:space="preserve">expected at </w:t>
      </w:r>
      <w:r>
        <w:rPr>
          <w:rFonts w:ascii="Arial" w:eastAsiaTheme="minorEastAsia" w:hAnsi="Arial"/>
          <w:szCs w:val="22"/>
          <w:lang w:val="en-US"/>
        </w:rPr>
        <w:t>each</w:t>
      </w:r>
      <w:r w:rsidRPr="004D15E4">
        <w:rPr>
          <w:rFonts w:ascii="Arial" w:eastAsiaTheme="minorEastAsia" w:hAnsi="Arial"/>
          <w:szCs w:val="22"/>
          <w:lang w:val="en-US"/>
        </w:rPr>
        <w:t xml:space="preserve"> level.</w:t>
      </w:r>
    </w:p>
    <w:p w14:paraId="7E627516" w14:textId="77777777" w:rsidR="00BB12E9" w:rsidRPr="00BB12E9" w:rsidRDefault="00BB12E9" w:rsidP="00BB12E9">
      <w:pPr>
        <w:pStyle w:val="PlainText"/>
        <w:spacing w:before="62" w:line="276" w:lineRule="auto"/>
        <w:rPr>
          <w:rFonts w:ascii="Arial" w:eastAsiaTheme="minorEastAsia" w:hAnsi="Arial"/>
          <w:szCs w:val="22"/>
          <w:lang w:val="en-US"/>
        </w:rPr>
      </w:pPr>
    </w:p>
    <w:tbl>
      <w:tblPr>
        <w:tblStyle w:val="PSCPurple"/>
        <w:tblW w:w="10753"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06"/>
        <w:gridCol w:w="2881"/>
        <w:gridCol w:w="90"/>
        <w:gridCol w:w="4770"/>
        <w:gridCol w:w="1606"/>
      </w:tblGrid>
      <w:tr w:rsidR="003927AE" w:rsidRPr="00803E47" w14:paraId="0F8CC4A5" w14:textId="77777777" w:rsidTr="00E565B9">
        <w:trPr>
          <w:cnfStyle w:val="100000000000" w:firstRow="1" w:lastRow="0" w:firstColumn="0" w:lastColumn="0" w:oddVBand="0" w:evenVBand="0" w:oddHBand="0" w:evenHBand="0" w:firstRowFirstColumn="0" w:firstRowLastColumn="0" w:lastRowFirstColumn="0" w:lastRowLastColumn="0"/>
          <w:tblHeader/>
        </w:trPr>
        <w:tc>
          <w:tcPr>
            <w:tcW w:w="10753" w:type="dxa"/>
            <w:gridSpan w:val="5"/>
          </w:tcPr>
          <w:p w14:paraId="2232BD16" w14:textId="77777777" w:rsidR="003927AE" w:rsidRPr="00803E47" w:rsidRDefault="003927AE" w:rsidP="006D241D">
            <w:pPr>
              <w:pStyle w:val="TableTextWhite0"/>
              <w:keepNext/>
              <w:jc w:val="both"/>
            </w:pPr>
            <w:r w:rsidRPr="00051E80">
              <w:rPr>
                <w:sz w:val="24"/>
                <w:szCs w:val="24"/>
              </w:rPr>
              <w:lastRenderedPageBreak/>
              <w:t>FOCUS CAPABILITIES</w:t>
            </w:r>
          </w:p>
        </w:tc>
      </w:tr>
      <w:tr w:rsidR="003927AE" w:rsidRPr="00C978B9" w14:paraId="6643360A" w14:textId="77777777" w:rsidTr="00E565B9">
        <w:trPr>
          <w:cnfStyle w:val="100000000000" w:firstRow="1" w:lastRow="0" w:firstColumn="0" w:lastColumn="0" w:oddVBand="0" w:evenVBand="0" w:oddHBand="0" w:evenHBand="0" w:firstRowFirstColumn="0" w:firstRowLastColumn="0" w:lastRowFirstColumn="0" w:lastRowLastColumn="0"/>
          <w:tblHeader/>
        </w:trPr>
        <w:tc>
          <w:tcPr>
            <w:tcW w:w="1406" w:type="dxa"/>
            <w:tcBorders>
              <w:bottom w:val="single" w:sz="12" w:space="0" w:color="auto"/>
            </w:tcBorders>
            <w:shd w:val="clear" w:color="auto" w:fill="BCBEC0"/>
            <w:vAlign w:val="center"/>
          </w:tcPr>
          <w:p w14:paraId="2660A4A4" w14:textId="77777777" w:rsidR="003927AE" w:rsidRPr="00C978B9" w:rsidRDefault="003927AE" w:rsidP="006D241D">
            <w:pPr>
              <w:pStyle w:val="TableText"/>
              <w:keepNext/>
              <w:rPr>
                <w:b/>
                <w:sz w:val="24"/>
                <w:szCs w:val="24"/>
              </w:rPr>
            </w:pPr>
            <w:r>
              <w:rPr>
                <w:b/>
              </w:rPr>
              <w:t>Capability group/sets</w:t>
            </w:r>
          </w:p>
        </w:tc>
        <w:tc>
          <w:tcPr>
            <w:tcW w:w="2881" w:type="dxa"/>
            <w:tcBorders>
              <w:bottom w:val="single" w:sz="12" w:space="0" w:color="auto"/>
            </w:tcBorders>
            <w:shd w:val="clear" w:color="auto" w:fill="BCBEC0"/>
          </w:tcPr>
          <w:p w14:paraId="6498F1FB" w14:textId="77777777" w:rsidR="003927AE" w:rsidRPr="00C978B9" w:rsidRDefault="003927AE" w:rsidP="006D241D">
            <w:pPr>
              <w:pStyle w:val="TableText"/>
              <w:keepNext/>
              <w:rPr>
                <w:b/>
                <w:sz w:val="24"/>
                <w:szCs w:val="24"/>
              </w:rPr>
            </w:pPr>
            <w:r w:rsidRPr="00021C23">
              <w:rPr>
                <w:b/>
              </w:rPr>
              <w:t>Ca</w:t>
            </w:r>
            <w:r>
              <w:rPr>
                <w:b/>
              </w:rPr>
              <w:t>pability name</w:t>
            </w:r>
          </w:p>
        </w:tc>
        <w:tc>
          <w:tcPr>
            <w:tcW w:w="90" w:type="dxa"/>
            <w:tcBorders>
              <w:bottom w:val="single" w:sz="12" w:space="0" w:color="auto"/>
            </w:tcBorders>
            <w:shd w:val="clear" w:color="auto" w:fill="BCBEC0"/>
          </w:tcPr>
          <w:p w14:paraId="5A88122F" w14:textId="77777777" w:rsidR="003927AE" w:rsidRDefault="003927AE" w:rsidP="006D241D">
            <w:pPr>
              <w:pStyle w:val="TableText"/>
              <w:keepNext/>
              <w:rPr>
                <w:b/>
              </w:rPr>
            </w:pPr>
          </w:p>
        </w:tc>
        <w:tc>
          <w:tcPr>
            <w:tcW w:w="4770" w:type="dxa"/>
            <w:tcBorders>
              <w:bottom w:val="single" w:sz="12" w:space="0" w:color="auto"/>
            </w:tcBorders>
            <w:shd w:val="clear" w:color="auto" w:fill="BCBEC0"/>
          </w:tcPr>
          <w:p w14:paraId="312E7369" w14:textId="77777777" w:rsidR="003927AE" w:rsidRDefault="003927AE" w:rsidP="006D241D">
            <w:pPr>
              <w:pStyle w:val="TableText"/>
              <w:keepNext/>
              <w:rPr>
                <w:b/>
              </w:rPr>
            </w:pPr>
            <w:r>
              <w:rPr>
                <w:b/>
              </w:rPr>
              <w:t>Behavioural indicators</w:t>
            </w:r>
          </w:p>
        </w:tc>
        <w:tc>
          <w:tcPr>
            <w:tcW w:w="1606" w:type="dxa"/>
            <w:tcBorders>
              <w:bottom w:val="single" w:sz="12" w:space="0" w:color="auto"/>
            </w:tcBorders>
            <w:shd w:val="clear" w:color="auto" w:fill="BCBEC0"/>
          </w:tcPr>
          <w:p w14:paraId="5E0E50EB" w14:textId="77777777" w:rsidR="003927AE" w:rsidRDefault="003927AE" w:rsidP="006D241D">
            <w:pPr>
              <w:pStyle w:val="TableText"/>
              <w:keepNext/>
              <w:jc w:val="both"/>
              <w:rPr>
                <w:b/>
              </w:rPr>
            </w:pPr>
            <w:r>
              <w:rPr>
                <w:b/>
              </w:rPr>
              <w:t xml:space="preserve">Level </w:t>
            </w:r>
          </w:p>
        </w:tc>
      </w:tr>
      <w:tr w:rsidR="002D336D" w:rsidRPr="00C978B9" w14:paraId="04BA105C" w14:textId="77777777" w:rsidTr="00E565B9">
        <w:tc>
          <w:tcPr>
            <w:tcW w:w="1406" w:type="dxa"/>
            <w:vMerge w:val="restart"/>
            <w:tcBorders>
              <w:bottom w:val="single" w:sz="4" w:space="0" w:color="BCBEC0"/>
            </w:tcBorders>
          </w:tcPr>
          <w:p w14:paraId="3B7D0256" w14:textId="77777777" w:rsidR="00DF2209" w:rsidRDefault="00DF2209" w:rsidP="00DF2209">
            <w:pPr>
              <w:keepNext/>
            </w:pPr>
          </w:p>
          <w:p w14:paraId="45CF7BE0" w14:textId="77777777" w:rsidR="002D336D" w:rsidRPr="00C978B9" w:rsidRDefault="002D336D" w:rsidP="00DF2209">
            <w:pPr>
              <w:keepNext/>
            </w:pPr>
            <w:r w:rsidRPr="00C978B9">
              <w:rPr>
                <w:noProof/>
                <w:lang w:eastAsia="en-AU"/>
              </w:rPr>
              <w:drawing>
                <wp:inline distT="0" distB="0" distL="0" distR="0" wp14:anchorId="4A3C46C8" wp14:editId="057449A4">
                  <wp:extent cx="848995" cy="848995"/>
                  <wp:effectExtent l="0" t="0" r="825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0616" cy="850616"/>
                          </a:xfrm>
                          <a:prstGeom prst="rect">
                            <a:avLst/>
                          </a:prstGeom>
                          <a:noFill/>
                          <a:ln>
                            <a:noFill/>
                          </a:ln>
                        </pic:spPr>
                      </pic:pic>
                    </a:graphicData>
                  </a:graphic>
                </wp:inline>
              </w:drawing>
            </w:r>
          </w:p>
        </w:tc>
        <w:tc>
          <w:tcPr>
            <w:tcW w:w="2971" w:type="dxa"/>
            <w:gridSpan w:val="2"/>
            <w:tcBorders>
              <w:bottom w:val="single" w:sz="4" w:space="0" w:color="BCBEC0"/>
            </w:tcBorders>
          </w:tcPr>
          <w:p w14:paraId="43D02A06" w14:textId="77777777" w:rsidR="002D336D" w:rsidRPr="00A8226F" w:rsidRDefault="002D336D" w:rsidP="006D241D">
            <w:pPr>
              <w:pStyle w:val="TableText"/>
              <w:keepNext/>
              <w:rPr>
                <w:b/>
              </w:rPr>
            </w:pPr>
            <w:r>
              <w:rPr>
                <w:b/>
              </w:rPr>
              <w:t>Display Resilience and Courage</w:t>
            </w:r>
          </w:p>
          <w:p w14:paraId="23E9065E" w14:textId="77777777" w:rsidR="002D336D" w:rsidRPr="00AA57E3" w:rsidRDefault="002D336D" w:rsidP="006D241D">
            <w:pPr>
              <w:pStyle w:val="TableText"/>
              <w:keepNext/>
            </w:pPr>
            <w:r>
              <w:t>Be open and honest, prepared to express your views, and willing to accept and commit to change</w:t>
            </w:r>
          </w:p>
        </w:tc>
        <w:tc>
          <w:tcPr>
            <w:tcW w:w="4770" w:type="dxa"/>
            <w:tcBorders>
              <w:bottom w:val="single" w:sz="4" w:space="0" w:color="BCBEC0"/>
            </w:tcBorders>
          </w:tcPr>
          <w:p w14:paraId="3DA603FD" w14:textId="77777777" w:rsidR="002D336D" w:rsidRPr="00AA57E3" w:rsidRDefault="002D336D" w:rsidP="002D336D">
            <w:pPr>
              <w:pStyle w:val="TableBullet"/>
            </w:pPr>
            <w:r>
              <w:t>Create a culture that encourages and supports openness, persistence and genuine debate around critical issues</w:t>
            </w:r>
          </w:p>
          <w:p w14:paraId="24F3D176" w14:textId="77777777" w:rsidR="002D336D" w:rsidRPr="00AA57E3" w:rsidRDefault="002D336D" w:rsidP="002D336D">
            <w:pPr>
              <w:pStyle w:val="TableBullet"/>
            </w:pPr>
            <w:r>
              <w:t>Provide clear exposition and argument for agreed positions while remaining open to valid suggestions for change</w:t>
            </w:r>
          </w:p>
          <w:p w14:paraId="38B75976" w14:textId="77777777" w:rsidR="002D336D" w:rsidRPr="00AA57E3" w:rsidRDefault="002D336D" w:rsidP="002D336D">
            <w:pPr>
              <w:pStyle w:val="TableBullet"/>
            </w:pPr>
            <w:r>
              <w:t>Raise critical issues and make tough decisions</w:t>
            </w:r>
          </w:p>
          <w:p w14:paraId="6CEFC32E" w14:textId="77777777" w:rsidR="002D336D" w:rsidRPr="00AA57E3" w:rsidRDefault="002D336D" w:rsidP="002D336D">
            <w:pPr>
              <w:pStyle w:val="TableBullet"/>
            </w:pPr>
            <w:r>
              <w:t>Respond to significant, complex and novel challenges with a high level of resilience and persistence</w:t>
            </w:r>
          </w:p>
          <w:p w14:paraId="451FA835" w14:textId="77777777" w:rsidR="002D336D" w:rsidRPr="00AA57E3" w:rsidRDefault="002D336D" w:rsidP="002D336D">
            <w:pPr>
              <w:pStyle w:val="TableBullet"/>
            </w:pPr>
            <w:r>
              <w:t>Consistently use a range of strategies to remain composed and calm and act as a stabilising influence even in the most challenging situations</w:t>
            </w:r>
          </w:p>
        </w:tc>
        <w:tc>
          <w:tcPr>
            <w:tcW w:w="1606" w:type="dxa"/>
            <w:tcBorders>
              <w:bottom w:val="single" w:sz="4" w:space="0" w:color="BCBEC0"/>
            </w:tcBorders>
          </w:tcPr>
          <w:p w14:paraId="6A84D3B1" w14:textId="77777777" w:rsidR="002D336D" w:rsidRDefault="00F15669" w:rsidP="006D241D">
            <w:pPr>
              <w:pStyle w:val="TableBullet"/>
              <w:numPr>
                <w:ilvl w:val="0"/>
                <w:numId w:val="0"/>
              </w:numPr>
              <w:jc w:val="both"/>
            </w:pPr>
            <w:r>
              <w:t>Highly Advanced</w:t>
            </w:r>
          </w:p>
        </w:tc>
      </w:tr>
      <w:tr w:rsidR="002D336D" w:rsidRPr="00C978B9" w14:paraId="401C79C2" w14:textId="77777777" w:rsidTr="00E565B9">
        <w:tc>
          <w:tcPr>
            <w:tcW w:w="1406" w:type="dxa"/>
            <w:vMerge/>
            <w:tcBorders>
              <w:bottom w:val="single" w:sz="4" w:space="0" w:color="BCBEC0"/>
            </w:tcBorders>
          </w:tcPr>
          <w:p w14:paraId="711251D7" w14:textId="77777777" w:rsidR="002D336D" w:rsidRDefault="002D336D" w:rsidP="006D241D">
            <w:pPr>
              <w:keepNext/>
              <w:rPr>
                <w:noProof/>
                <w:lang w:eastAsia="en-AU"/>
              </w:rPr>
            </w:pPr>
          </w:p>
        </w:tc>
        <w:tc>
          <w:tcPr>
            <w:tcW w:w="2971" w:type="dxa"/>
            <w:gridSpan w:val="2"/>
            <w:tcBorders>
              <w:bottom w:val="single" w:sz="4" w:space="0" w:color="BCBEC0"/>
            </w:tcBorders>
          </w:tcPr>
          <w:p w14:paraId="66DA9CB0" w14:textId="77777777" w:rsidR="000411F6" w:rsidRPr="00A8226F" w:rsidRDefault="000411F6" w:rsidP="000411F6">
            <w:pPr>
              <w:pStyle w:val="TableText"/>
              <w:keepNext/>
              <w:rPr>
                <w:b/>
              </w:rPr>
            </w:pPr>
            <w:r>
              <w:rPr>
                <w:b/>
              </w:rPr>
              <w:t>Act with Integrity</w:t>
            </w:r>
          </w:p>
          <w:p w14:paraId="6BBA083E" w14:textId="77777777" w:rsidR="002D336D" w:rsidRPr="00A8226F" w:rsidRDefault="000411F6" w:rsidP="000411F6">
            <w:pPr>
              <w:pStyle w:val="TableText"/>
              <w:keepNext/>
              <w:rPr>
                <w:b/>
              </w:rPr>
            </w:pPr>
            <w:r>
              <w:t>Be ethical and professional, and uphold and promote the public sector values</w:t>
            </w:r>
          </w:p>
        </w:tc>
        <w:tc>
          <w:tcPr>
            <w:tcW w:w="4770" w:type="dxa"/>
            <w:tcBorders>
              <w:bottom w:val="single" w:sz="4" w:space="0" w:color="BCBEC0"/>
            </w:tcBorders>
          </w:tcPr>
          <w:p w14:paraId="226D26FA" w14:textId="77777777" w:rsidR="002D336D" w:rsidRDefault="002D336D" w:rsidP="002D336D">
            <w:pPr>
              <w:pStyle w:val="TableBullet"/>
            </w:pPr>
            <w:r>
              <w:t>Champion and model the highest standards of ethical and professional behaviour</w:t>
            </w:r>
          </w:p>
          <w:p w14:paraId="507D0D80" w14:textId="77777777" w:rsidR="002D336D" w:rsidRDefault="002D336D" w:rsidP="002D336D">
            <w:pPr>
              <w:pStyle w:val="TableBullet"/>
            </w:pPr>
            <w:r>
              <w:t>Drive a culture of integrity and professionalism within the organisation, and in dealings across government and with other jurisdictions and external organisations</w:t>
            </w:r>
          </w:p>
          <w:p w14:paraId="687BC8AE" w14:textId="77777777" w:rsidR="002D336D" w:rsidRDefault="002D336D" w:rsidP="002D336D">
            <w:pPr>
              <w:pStyle w:val="TableBullet"/>
            </w:pPr>
            <w:r>
              <w:t>Set, communicate and evaluate ethical practices, standards and systems and reinforce their use</w:t>
            </w:r>
          </w:p>
          <w:p w14:paraId="6FCEAB9A" w14:textId="77777777" w:rsidR="002D336D" w:rsidRDefault="002D336D" w:rsidP="002D336D">
            <w:pPr>
              <w:pStyle w:val="TableBullet"/>
            </w:pPr>
            <w:r>
              <w:t>Create and promote a culture in which staff feel able to report apparent breaches of legislation, policies and guidelines and act promptly and visibly in response to such reports</w:t>
            </w:r>
          </w:p>
          <w:p w14:paraId="669A1E77" w14:textId="77777777" w:rsidR="002D336D" w:rsidRDefault="002D336D" w:rsidP="002D336D">
            <w:pPr>
              <w:pStyle w:val="TableBullet"/>
            </w:pPr>
            <w:r>
              <w:t>Act promptly and visibly to prevent and respond to unethical behaviour</w:t>
            </w:r>
          </w:p>
        </w:tc>
        <w:tc>
          <w:tcPr>
            <w:tcW w:w="1606" w:type="dxa"/>
            <w:tcBorders>
              <w:bottom w:val="single" w:sz="4" w:space="0" w:color="BCBEC0"/>
            </w:tcBorders>
          </w:tcPr>
          <w:p w14:paraId="418FAE3F" w14:textId="77777777" w:rsidR="002D336D" w:rsidRDefault="007C0486" w:rsidP="006D241D">
            <w:pPr>
              <w:pStyle w:val="TableBullet"/>
              <w:numPr>
                <w:ilvl w:val="0"/>
                <w:numId w:val="0"/>
              </w:numPr>
              <w:jc w:val="both"/>
            </w:pPr>
            <w:r>
              <w:t>Highly Advanced</w:t>
            </w:r>
          </w:p>
        </w:tc>
      </w:tr>
      <w:tr w:rsidR="002D336D" w:rsidRPr="00C978B9" w14:paraId="51478084" w14:textId="77777777" w:rsidTr="00E565B9">
        <w:tc>
          <w:tcPr>
            <w:tcW w:w="1406" w:type="dxa"/>
            <w:vMerge w:val="restart"/>
            <w:tcBorders>
              <w:bottom w:val="single" w:sz="4" w:space="0" w:color="BCBEC0"/>
            </w:tcBorders>
          </w:tcPr>
          <w:p w14:paraId="1F77DD46" w14:textId="77777777" w:rsidR="00DF2209" w:rsidRDefault="00DF2209" w:rsidP="00DF2209">
            <w:pPr>
              <w:keepNext/>
            </w:pPr>
          </w:p>
          <w:p w14:paraId="54707915" w14:textId="77777777" w:rsidR="002D336D" w:rsidRPr="00C978B9" w:rsidRDefault="002D336D" w:rsidP="00DF2209">
            <w:pPr>
              <w:keepNext/>
            </w:pPr>
            <w:r w:rsidRPr="00C978B9">
              <w:rPr>
                <w:noProof/>
                <w:lang w:eastAsia="en-AU"/>
              </w:rPr>
              <w:drawing>
                <wp:inline distT="0" distB="0" distL="0" distR="0" wp14:anchorId="5939CA08" wp14:editId="19086A41">
                  <wp:extent cx="854016" cy="854016"/>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71366" cy="871366"/>
                          </a:xfrm>
                          <a:prstGeom prst="rect">
                            <a:avLst/>
                          </a:prstGeom>
                          <a:noFill/>
                          <a:ln>
                            <a:noFill/>
                          </a:ln>
                        </pic:spPr>
                      </pic:pic>
                    </a:graphicData>
                  </a:graphic>
                </wp:inline>
              </w:drawing>
            </w:r>
          </w:p>
        </w:tc>
        <w:tc>
          <w:tcPr>
            <w:tcW w:w="2971" w:type="dxa"/>
            <w:gridSpan w:val="2"/>
            <w:tcBorders>
              <w:bottom w:val="single" w:sz="4" w:space="0" w:color="BCBEC0"/>
            </w:tcBorders>
          </w:tcPr>
          <w:p w14:paraId="79E1EC5F" w14:textId="77777777" w:rsidR="002D336D" w:rsidRPr="00A8226F" w:rsidRDefault="002D336D" w:rsidP="006D241D">
            <w:pPr>
              <w:pStyle w:val="TableText"/>
              <w:keepNext/>
              <w:rPr>
                <w:b/>
              </w:rPr>
            </w:pPr>
            <w:r>
              <w:rPr>
                <w:b/>
              </w:rPr>
              <w:t>Commit to Customer Service</w:t>
            </w:r>
          </w:p>
          <w:p w14:paraId="6B35FF3B" w14:textId="77777777" w:rsidR="002D336D" w:rsidRPr="00AA57E3" w:rsidRDefault="002D336D" w:rsidP="006D241D">
            <w:pPr>
              <w:pStyle w:val="TableText"/>
              <w:keepNext/>
            </w:pPr>
            <w:r>
              <w:t>Provide customer-focused services in line with public sector and organisational objectives</w:t>
            </w:r>
          </w:p>
        </w:tc>
        <w:tc>
          <w:tcPr>
            <w:tcW w:w="4770" w:type="dxa"/>
            <w:tcBorders>
              <w:bottom w:val="single" w:sz="4" w:space="0" w:color="BCBEC0"/>
            </w:tcBorders>
          </w:tcPr>
          <w:p w14:paraId="118D6B0E" w14:textId="77777777" w:rsidR="002D336D" w:rsidRPr="00AA57E3" w:rsidRDefault="002D336D" w:rsidP="002D336D">
            <w:pPr>
              <w:pStyle w:val="TableBullet"/>
            </w:pPr>
            <w:r>
              <w:t>Create a culture that embraces high-quality customer service across the organisation, ensuring that management systems and processes drive service delivery outcomes</w:t>
            </w:r>
          </w:p>
          <w:p w14:paraId="7950ABDC" w14:textId="77777777" w:rsidR="002D336D" w:rsidRPr="00AA57E3" w:rsidRDefault="002D336D" w:rsidP="002D336D">
            <w:pPr>
              <w:pStyle w:val="TableBullet"/>
            </w:pPr>
            <w:r>
              <w:t>Engage and negotiate with stakeholders on strategic issues related to government policy, standards of customer service and accessibility, and provide expert, influential advice</w:t>
            </w:r>
          </w:p>
          <w:p w14:paraId="26DE0478" w14:textId="77777777" w:rsidR="002D336D" w:rsidRPr="00AA57E3" w:rsidRDefault="002D336D" w:rsidP="002D336D">
            <w:pPr>
              <w:pStyle w:val="TableBullet"/>
            </w:pPr>
            <w:r>
              <w:t>Ensure that responsiveness to customer needs is central to the organisation’s strategic planning processes</w:t>
            </w:r>
          </w:p>
          <w:p w14:paraId="2E5E38A6" w14:textId="77777777" w:rsidR="002D336D" w:rsidRPr="00AA57E3" w:rsidRDefault="002D336D" w:rsidP="002D336D">
            <w:pPr>
              <w:pStyle w:val="TableBullet"/>
            </w:pPr>
            <w:r>
              <w:t>Set overall performance standards for service delivery across the organisation and monitor compliance</w:t>
            </w:r>
          </w:p>
        </w:tc>
        <w:tc>
          <w:tcPr>
            <w:tcW w:w="1606" w:type="dxa"/>
            <w:tcBorders>
              <w:bottom w:val="single" w:sz="4" w:space="0" w:color="BCBEC0"/>
            </w:tcBorders>
          </w:tcPr>
          <w:p w14:paraId="6FB015F6" w14:textId="77777777" w:rsidR="002D336D" w:rsidRDefault="00F15669" w:rsidP="006D241D">
            <w:pPr>
              <w:pStyle w:val="TableBullet"/>
              <w:numPr>
                <w:ilvl w:val="0"/>
                <w:numId w:val="0"/>
              </w:numPr>
              <w:jc w:val="both"/>
            </w:pPr>
            <w:r>
              <w:t>Highly Advanced</w:t>
            </w:r>
          </w:p>
        </w:tc>
      </w:tr>
      <w:tr w:rsidR="002D336D" w:rsidRPr="00C978B9" w14:paraId="36E26216" w14:textId="77777777" w:rsidTr="00E565B9">
        <w:tc>
          <w:tcPr>
            <w:tcW w:w="1406" w:type="dxa"/>
            <w:vMerge/>
            <w:tcBorders>
              <w:bottom w:val="single" w:sz="4" w:space="0" w:color="BCBEC0"/>
            </w:tcBorders>
          </w:tcPr>
          <w:p w14:paraId="3F1A356C" w14:textId="77777777" w:rsidR="002D336D" w:rsidRDefault="002D336D" w:rsidP="006D241D">
            <w:pPr>
              <w:keepNext/>
              <w:rPr>
                <w:noProof/>
                <w:lang w:eastAsia="en-AU"/>
              </w:rPr>
            </w:pPr>
          </w:p>
        </w:tc>
        <w:tc>
          <w:tcPr>
            <w:tcW w:w="2971" w:type="dxa"/>
            <w:gridSpan w:val="2"/>
            <w:tcBorders>
              <w:bottom w:val="single" w:sz="4" w:space="0" w:color="BCBEC0"/>
            </w:tcBorders>
          </w:tcPr>
          <w:p w14:paraId="6B805888" w14:textId="77777777" w:rsidR="000411F6" w:rsidRPr="00A8226F" w:rsidRDefault="000411F6" w:rsidP="000411F6">
            <w:pPr>
              <w:pStyle w:val="TableText"/>
              <w:keepNext/>
              <w:rPr>
                <w:b/>
              </w:rPr>
            </w:pPr>
            <w:r>
              <w:rPr>
                <w:b/>
              </w:rPr>
              <w:t>Influence and Negotiate</w:t>
            </w:r>
          </w:p>
          <w:p w14:paraId="35D1539E" w14:textId="77777777" w:rsidR="002D336D" w:rsidRPr="00A8226F" w:rsidRDefault="000411F6" w:rsidP="000411F6">
            <w:pPr>
              <w:pStyle w:val="TableText"/>
              <w:keepNext/>
              <w:rPr>
                <w:b/>
              </w:rPr>
            </w:pPr>
            <w:r>
              <w:t>Gain consensus and commitment from others, and resolve issues and conflicts</w:t>
            </w:r>
          </w:p>
        </w:tc>
        <w:tc>
          <w:tcPr>
            <w:tcW w:w="4770" w:type="dxa"/>
            <w:tcBorders>
              <w:bottom w:val="single" w:sz="4" w:space="0" w:color="BCBEC0"/>
            </w:tcBorders>
          </w:tcPr>
          <w:p w14:paraId="3A8191C4" w14:textId="77777777" w:rsidR="002D336D" w:rsidRDefault="002D336D" w:rsidP="002D336D">
            <w:pPr>
              <w:pStyle w:val="TableBullet"/>
              <w:numPr>
                <w:ilvl w:val="0"/>
                <w:numId w:val="0"/>
              </w:numPr>
              <w:ind w:left="360"/>
            </w:pPr>
          </w:p>
          <w:p w14:paraId="17C1DCFB" w14:textId="77777777" w:rsidR="002D336D" w:rsidRDefault="002D336D" w:rsidP="002D336D">
            <w:pPr>
              <w:pStyle w:val="TableBullet"/>
            </w:pPr>
            <w:r>
              <w:t>Engage in a range of approaches to generate solutions, seeking expert inputs and advice to inform negotiating strategy</w:t>
            </w:r>
          </w:p>
          <w:p w14:paraId="03473552" w14:textId="77777777" w:rsidR="002D336D" w:rsidRDefault="002D336D" w:rsidP="002D336D">
            <w:pPr>
              <w:pStyle w:val="TableBullet"/>
            </w:pPr>
            <w:r>
              <w:t>Use sound arguments, strong evidence and expert opinion to influence outcomes</w:t>
            </w:r>
          </w:p>
          <w:p w14:paraId="5DD53DBD" w14:textId="77777777" w:rsidR="002D336D" w:rsidRDefault="002D336D" w:rsidP="002D336D">
            <w:pPr>
              <w:pStyle w:val="TableBullet"/>
            </w:pPr>
            <w:r>
              <w:t>Determine and communicate the organisation’s position and bargaining strategy</w:t>
            </w:r>
          </w:p>
          <w:p w14:paraId="58AE6948" w14:textId="77777777" w:rsidR="002D336D" w:rsidRDefault="002D336D" w:rsidP="002D336D">
            <w:pPr>
              <w:pStyle w:val="TableBullet"/>
            </w:pPr>
            <w:r>
              <w:t>Represent the organisation in critical and challenging negotiations, including those that are cross-jurisdictional</w:t>
            </w:r>
          </w:p>
          <w:p w14:paraId="3609D609" w14:textId="77777777" w:rsidR="002D336D" w:rsidRDefault="002D336D" w:rsidP="002D336D">
            <w:pPr>
              <w:pStyle w:val="TableBullet"/>
            </w:pPr>
            <w:r>
              <w:t>Achieve effective solutions when dealing with ambiguous or conflicting positions</w:t>
            </w:r>
          </w:p>
          <w:p w14:paraId="3264D9CF" w14:textId="77777777" w:rsidR="002D336D" w:rsidRDefault="002D336D" w:rsidP="002D336D">
            <w:pPr>
              <w:pStyle w:val="TableBullet"/>
            </w:pPr>
            <w:r>
              <w:t>Anticipate and avoid conflict across organisations and with senior internal and external stakeholders</w:t>
            </w:r>
          </w:p>
          <w:p w14:paraId="62049910" w14:textId="77777777" w:rsidR="002D336D" w:rsidRDefault="002D336D" w:rsidP="002D336D">
            <w:pPr>
              <w:pStyle w:val="TableBullet"/>
            </w:pPr>
            <w:r>
              <w:t>Identify contentious issues, direct discussion and debate, and steer parties towards an effective resolution</w:t>
            </w:r>
          </w:p>
        </w:tc>
        <w:tc>
          <w:tcPr>
            <w:tcW w:w="1606" w:type="dxa"/>
            <w:tcBorders>
              <w:bottom w:val="single" w:sz="4" w:space="0" w:color="BCBEC0"/>
            </w:tcBorders>
          </w:tcPr>
          <w:p w14:paraId="6570E3DC" w14:textId="77777777" w:rsidR="002D336D" w:rsidRDefault="007C0486" w:rsidP="006D241D">
            <w:pPr>
              <w:pStyle w:val="TableBullet"/>
              <w:numPr>
                <w:ilvl w:val="0"/>
                <w:numId w:val="0"/>
              </w:numPr>
              <w:jc w:val="both"/>
            </w:pPr>
            <w:r>
              <w:t>Highly Advanced</w:t>
            </w:r>
          </w:p>
        </w:tc>
      </w:tr>
      <w:tr w:rsidR="002D336D" w:rsidRPr="00C978B9" w14:paraId="01CAD6A5" w14:textId="77777777" w:rsidTr="00E565B9">
        <w:tc>
          <w:tcPr>
            <w:tcW w:w="1406" w:type="dxa"/>
            <w:vMerge w:val="restart"/>
            <w:tcBorders>
              <w:bottom w:val="single" w:sz="4" w:space="0" w:color="BCBEC0"/>
            </w:tcBorders>
          </w:tcPr>
          <w:p w14:paraId="25D9C6CD" w14:textId="77777777" w:rsidR="00DF2209" w:rsidRDefault="00DF2209" w:rsidP="00DF2209">
            <w:pPr>
              <w:keepNext/>
            </w:pPr>
          </w:p>
          <w:p w14:paraId="2EAC7406" w14:textId="77777777" w:rsidR="002D336D" w:rsidRPr="00C978B9" w:rsidRDefault="002D336D" w:rsidP="00DF2209">
            <w:pPr>
              <w:keepNext/>
            </w:pPr>
            <w:r w:rsidRPr="00C978B9">
              <w:rPr>
                <w:noProof/>
                <w:lang w:eastAsia="en-AU"/>
              </w:rPr>
              <w:drawing>
                <wp:inline distT="0" distB="0" distL="0" distR="0" wp14:anchorId="72E0EED1" wp14:editId="3A36B266">
                  <wp:extent cx="854015" cy="854015"/>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57406" cy="857406"/>
                          </a:xfrm>
                          <a:prstGeom prst="rect">
                            <a:avLst/>
                          </a:prstGeom>
                          <a:noFill/>
                          <a:ln>
                            <a:noFill/>
                          </a:ln>
                        </pic:spPr>
                      </pic:pic>
                    </a:graphicData>
                  </a:graphic>
                </wp:inline>
              </w:drawing>
            </w:r>
          </w:p>
        </w:tc>
        <w:tc>
          <w:tcPr>
            <w:tcW w:w="2971" w:type="dxa"/>
            <w:gridSpan w:val="2"/>
            <w:tcBorders>
              <w:bottom w:val="single" w:sz="4" w:space="0" w:color="BCBEC0"/>
            </w:tcBorders>
          </w:tcPr>
          <w:p w14:paraId="28EBE3F2" w14:textId="77777777" w:rsidR="002D336D" w:rsidRPr="00A8226F" w:rsidRDefault="002D336D" w:rsidP="006D241D">
            <w:pPr>
              <w:pStyle w:val="TableText"/>
              <w:keepNext/>
              <w:rPr>
                <w:b/>
              </w:rPr>
            </w:pPr>
            <w:r>
              <w:rPr>
                <w:b/>
              </w:rPr>
              <w:t>Deliver Results</w:t>
            </w:r>
          </w:p>
          <w:p w14:paraId="7C94859D" w14:textId="77777777" w:rsidR="002D336D" w:rsidRPr="00AA57E3" w:rsidRDefault="002D336D" w:rsidP="006D241D">
            <w:pPr>
              <w:pStyle w:val="TableText"/>
              <w:keepNext/>
            </w:pPr>
            <w:r>
              <w:t>Achieve results through the efficient use of resources and a commitment to quality outcomes</w:t>
            </w:r>
          </w:p>
        </w:tc>
        <w:tc>
          <w:tcPr>
            <w:tcW w:w="4770" w:type="dxa"/>
            <w:tcBorders>
              <w:bottom w:val="single" w:sz="4" w:space="0" w:color="BCBEC0"/>
            </w:tcBorders>
          </w:tcPr>
          <w:p w14:paraId="68D6DBE8" w14:textId="77777777" w:rsidR="002D336D" w:rsidRPr="00AA57E3" w:rsidRDefault="002D336D" w:rsidP="002D336D">
            <w:pPr>
              <w:pStyle w:val="TableBullet"/>
            </w:pPr>
            <w:r>
              <w:t>Use own professional knowledge and the expertise of others to drive forward organisational and government objectives</w:t>
            </w:r>
          </w:p>
          <w:p w14:paraId="15BF477F" w14:textId="77777777" w:rsidR="002D336D" w:rsidRPr="00AA57E3" w:rsidRDefault="002D336D" w:rsidP="002D336D">
            <w:pPr>
              <w:pStyle w:val="TableBullet"/>
            </w:pPr>
            <w:r>
              <w:t>Create a culture of achievement, fostering on-time and on-budget quality outcomes in the organisation</w:t>
            </w:r>
          </w:p>
          <w:p w14:paraId="6626A269" w14:textId="77777777" w:rsidR="002D336D" w:rsidRPr="00AA57E3" w:rsidRDefault="002D336D" w:rsidP="002D336D">
            <w:pPr>
              <w:pStyle w:val="TableBullet"/>
            </w:pPr>
            <w:r>
              <w:t>Identify, recognise and celebrate success</w:t>
            </w:r>
          </w:p>
          <w:p w14:paraId="733176B9" w14:textId="77777777" w:rsidR="002D336D" w:rsidRPr="00AA57E3" w:rsidRDefault="002D336D" w:rsidP="002D336D">
            <w:pPr>
              <w:pStyle w:val="TableBullet"/>
            </w:pPr>
            <w:r>
              <w:t>Establish systems to ensure all staff are able to identify direct connections between their efforts and organisational outcomes</w:t>
            </w:r>
          </w:p>
          <w:p w14:paraId="4BA49C94" w14:textId="77777777" w:rsidR="002D336D" w:rsidRPr="00AA57E3" w:rsidRDefault="002D336D" w:rsidP="002D336D">
            <w:pPr>
              <w:pStyle w:val="TableBullet"/>
            </w:pPr>
            <w:r>
              <w:t>Identify and remove potential barriers or hurdles to achieving outcomes</w:t>
            </w:r>
          </w:p>
          <w:p w14:paraId="0517BFE6" w14:textId="77777777" w:rsidR="002D336D" w:rsidRPr="00AA57E3" w:rsidRDefault="002D336D" w:rsidP="002D336D">
            <w:pPr>
              <w:pStyle w:val="TableBullet"/>
            </w:pPr>
            <w:r>
              <w:t>Initiate and communicate high-level priorities for the organisation to achieve government outcomes</w:t>
            </w:r>
          </w:p>
        </w:tc>
        <w:tc>
          <w:tcPr>
            <w:tcW w:w="1606" w:type="dxa"/>
            <w:tcBorders>
              <w:bottom w:val="single" w:sz="4" w:space="0" w:color="BCBEC0"/>
            </w:tcBorders>
          </w:tcPr>
          <w:p w14:paraId="7B297DC5" w14:textId="77777777" w:rsidR="002D336D" w:rsidRDefault="00F15669" w:rsidP="006D241D">
            <w:pPr>
              <w:pStyle w:val="TableBullet"/>
              <w:numPr>
                <w:ilvl w:val="0"/>
                <w:numId w:val="0"/>
              </w:numPr>
              <w:jc w:val="both"/>
            </w:pPr>
            <w:r>
              <w:t>Highly Advanced</w:t>
            </w:r>
          </w:p>
        </w:tc>
      </w:tr>
      <w:tr w:rsidR="00791BA8" w:rsidRPr="00C978B9" w14:paraId="5C442E16" w14:textId="77777777" w:rsidTr="00E565B9">
        <w:tc>
          <w:tcPr>
            <w:tcW w:w="1406" w:type="dxa"/>
            <w:vMerge/>
            <w:tcBorders>
              <w:bottom w:val="single" w:sz="4" w:space="0" w:color="BCBEC0"/>
            </w:tcBorders>
          </w:tcPr>
          <w:p w14:paraId="4658A9EE" w14:textId="77777777" w:rsidR="00791BA8" w:rsidRDefault="00791BA8" w:rsidP="006D241D">
            <w:pPr>
              <w:keepNext/>
              <w:rPr>
                <w:noProof/>
                <w:lang w:eastAsia="en-AU"/>
              </w:rPr>
            </w:pPr>
          </w:p>
        </w:tc>
        <w:tc>
          <w:tcPr>
            <w:tcW w:w="2971" w:type="dxa"/>
            <w:gridSpan w:val="2"/>
            <w:tcBorders>
              <w:bottom w:val="single" w:sz="4" w:space="0" w:color="BCBEC0"/>
            </w:tcBorders>
          </w:tcPr>
          <w:p w14:paraId="228645B2" w14:textId="77777777" w:rsidR="00791BA8" w:rsidRPr="00A8226F" w:rsidRDefault="00791BA8" w:rsidP="00791BA8">
            <w:pPr>
              <w:pStyle w:val="TableText"/>
              <w:keepNext/>
              <w:rPr>
                <w:b/>
              </w:rPr>
            </w:pPr>
            <w:r>
              <w:rPr>
                <w:b/>
              </w:rPr>
              <w:t>Think and Solve Problems</w:t>
            </w:r>
          </w:p>
          <w:p w14:paraId="527BDBF6" w14:textId="142C7603" w:rsidR="00791BA8" w:rsidRDefault="00791BA8" w:rsidP="00791BA8">
            <w:pPr>
              <w:pStyle w:val="TableText"/>
              <w:keepNext/>
              <w:rPr>
                <w:b/>
              </w:rPr>
            </w:pPr>
            <w:r>
              <w:t>Think, analyse and consider the broader context to develop practical solutions</w:t>
            </w:r>
          </w:p>
        </w:tc>
        <w:tc>
          <w:tcPr>
            <w:tcW w:w="4770" w:type="dxa"/>
            <w:tcBorders>
              <w:bottom w:val="single" w:sz="4" w:space="0" w:color="BCBEC0"/>
            </w:tcBorders>
          </w:tcPr>
          <w:p w14:paraId="4446DFEF" w14:textId="77777777" w:rsidR="00791BA8" w:rsidRDefault="00791BA8" w:rsidP="00791BA8">
            <w:pPr>
              <w:pStyle w:val="TableBullet"/>
            </w:pPr>
            <w:r>
              <w:t>Establish and promote a culture that encourages innovation and initiative and emphasises the value of continuous improvement</w:t>
            </w:r>
          </w:p>
          <w:p w14:paraId="6E09B24E" w14:textId="77777777" w:rsidR="00791BA8" w:rsidRDefault="00791BA8" w:rsidP="00791BA8">
            <w:pPr>
              <w:pStyle w:val="TableBullet"/>
            </w:pPr>
            <w:r>
              <w:t>Engage in high-level critical analysis of a wide range of complex information and formulate effective responses to critical policy issues</w:t>
            </w:r>
          </w:p>
          <w:p w14:paraId="050A5C6A" w14:textId="77777777" w:rsidR="00791BA8" w:rsidRDefault="00791BA8" w:rsidP="00791BA8">
            <w:pPr>
              <w:pStyle w:val="TableBullet"/>
            </w:pPr>
            <w:r>
              <w:t>Identify and evaluate organisation-wide implications when considering proposed solutions to issues</w:t>
            </w:r>
          </w:p>
          <w:p w14:paraId="79880E91" w14:textId="77777777" w:rsidR="00791BA8" w:rsidRDefault="00791BA8" w:rsidP="00791BA8">
            <w:pPr>
              <w:pStyle w:val="TableBullet"/>
            </w:pPr>
            <w:r>
              <w:t>Apply lateral thinking and develop innovative solutions that have a long-lasting, organisation-wide impact</w:t>
            </w:r>
          </w:p>
          <w:p w14:paraId="74B257A9" w14:textId="73A3DC7D" w:rsidR="00791BA8" w:rsidRDefault="00791BA8" w:rsidP="00791BA8">
            <w:pPr>
              <w:pStyle w:val="TableBullet"/>
              <w:numPr>
                <w:ilvl w:val="0"/>
                <w:numId w:val="0"/>
              </w:numPr>
              <w:ind w:left="360"/>
            </w:pPr>
            <w:r>
              <w:t>Ensure effective governance systems are in place to guarantee quality analysis, research and reform</w:t>
            </w:r>
          </w:p>
        </w:tc>
        <w:tc>
          <w:tcPr>
            <w:tcW w:w="1606" w:type="dxa"/>
            <w:tcBorders>
              <w:bottom w:val="single" w:sz="4" w:space="0" w:color="BCBEC0"/>
            </w:tcBorders>
          </w:tcPr>
          <w:p w14:paraId="78D9F2CA" w14:textId="3DBE34D7" w:rsidR="00791BA8" w:rsidRDefault="00791BA8" w:rsidP="006D241D">
            <w:pPr>
              <w:pStyle w:val="TableBullet"/>
              <w:numPr>
                <w:ilvl w:val="0"/>
                <w:numId w:val="0"/>
              </w:numPr>
              <w:jc w:val="both"/>
            </w:pPr>
            <w:r>
              <w:t>Highly Advanced</w:t>
            </w:r>
          </w:p>
        </w:tc>
      </w:tr>
      <w:tr w:rsidR="002D336D" w:rsidRPr="00C978B9" w14:paraId="7559D4C5" w14:textId="77777777" w:rsidTr="00E565B9">
        <w:tc>
          <w:tcPr>
            <w:tcW w:w="1406" w:type="dxa"/>
            <w:vMerge w:val="restart"/>
            <w:tcBorders>
              <w:bottom w:val="single" w:sz="4" w:space="0" w:color="BCBEC0"/>
            </w:tcBorders>
          </w:tcPr>
          <w:p w14:paraId="1D730B6F" w14:textId="77777777" w:rsidR="00DF2209" w:rsidRDefault="00DF2209" w:rsidP="00DF2209">
            <w:pPr>
              <w:keepNext/>
            </w:pPr>
          </w:p>
          <w:p w14:paraId="618A60CA" w14:textId="77777777" w:rsidR="002D336D" w:rsidRPr="00C978B9" w:rsidRDefault="002D336D" w:rsidP="00DF2209">
            <w:pPr>
              <w:keepNext/>
            </w:pPr>
            <w:r w:rsidRPr="00C978B9">
              <w:rPr>
                <w:noProof/>
                <w:lang w:eastAsia="en-AU"/>
              </w:rPr>
              <w:drawing>
                <wp:inline distT="0" distB="0" distL="0" distR="0" wp14:anchorId="5F66D13D" wp14:editId="0675F75E">
                  <wp:extent cx="845388" cy="8453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52188" cy="852188"/>
                          </a:xfrm>
                          <a:prstGeom prst="rect">
                            <a:avLst/>
                          </a:prstGeom>
                          <a:noFill/>
                          <a:ln>
                            <a:noFill/>
                          </a:ln>
                        </pic:spPr>
                      </pic:pic>
                    </a:graphicData>
                  </a:graphic>
                </wp:inline>
              </w:drawing>
            </w:r>
          </w:p>
        </w:tc>
        <w:tc>
          <w:tcPr>
            <w:tcW w:w="2971" w:type="dxa"/>
            <w:gridSpan w:val="2"/>
            <w:tcBorders>
              <w:bottom w:val="single" w:sz="4" w:space="0" w:color="BCBEC0"/>
            </w:tcBorders>
          </w:tcPr>
          <w:p w14:paraId="14B01075" w14:textId="77777777" w:rsidR="002D336D" w:rsidRPr="00A8226F" w:rsidRDefault="002D336D" w:rsidP="006D241D">
            <w:pPr>
              <w:pStyle w:val="TableText"/>
              <w:keepNext/>
              <w:rPr>
                <w:b/>
              </w:rPr>
            </w:pPr>
            <w:r>
              <w:rPr>
                <w:b/>
              </w:rPr>
              <w:t>Finance</w:t>
            </w:r>
          </w:p>
          <w:p w14:paraId="417421A2" w14:textId="77777777" w:rsidR="002D336D" w:rsidRPr="00AA57E3" w:rsidRDefault="002D336D" w:rsidP="006D241D">
            <w:pPr>
              <w:pStyle w:val="TableText"/>
              <w:keepNext/>
            </w:pPr>
            <w:r>
              <w:t>Understand and apply financial processes to achieve value for money and minimise financial risk</w:t>
            </w:r>
          </w:p>
        </w:tc>
        <w:tc>
          <w:tcPr>
            <w:tcW w:w="4770" w:type="dxa"/>
            <w:tcBorders>
              <w:bottom w:val="single" w:sz="4" w:space="0" w:color="BCBEC0"/>
            </w:tcBorders>
          </w:tcPr>
          <w:p w14:paraId="1F3B287C" w14:textId="77777777" w:rsidR="002D336D" w:rsidRPr="00AA57E3" w:rsidRDefault="002D336D" w:rsidP="002D336D">
            <w:pPr>
              <w:pStyle w:val="TableBullet"/>
            </w:pPr>
            <w:r>
              <w:t>Advocate for committed outcomes to be considered in decision making for project prioritisation and resourcing decisions</w:t>
            </w:r>
          </w:p>
          <w:p w14:paraId="3B8CCE5A" w14:textId="77777777" w:rsidR="002D336D" w:rsidRPr="00AA57E3" w:rsidRDefault="002D336D" w:rsidP="002D336D">
            <w:pPr>
              <w:pStyle w:val="TableBullet"/>
            </w:pPr>
            <w:r>
              <w:t>Define organisational directions and set priorities and business plans, referring to key financial indicators and non-financial committed outcomes</w:t>
            </w:r>
          </w:p>
          <w:p w14:paraId="23D51A1B" w14:textId="77777777" w:rsidR="002D336D" w:rsidRPr="00AA57E3" w:rsidRDefault="002D336D" w:rsidP="002D336D">
            <w:pPr>
              <w:pStyle w:val="TableBullet"/>
            </w:pPr>
            <w:r>
              <w:t>Anticipate operational and capital needs, and identify the most appropriate financing and funding strategies to meet them</w:t>
            </w:r>
          </w:p>
          <w:p w14:paraId="41573541" w14:textId="77777777" w:rsidR="002D336D" w:rsidRPr="00AA57E3" w:rsidRDefault="002D336D" w:rsidP="002D336D">
            <w:pPr>
              <w:pStyle w:val="TableBullet"/>
            </w:pPr>
            <w:r>
              <w:t>Ensure that the organisation informs strategic decisions with appropriate advice from finance and risk professionals</w:t>
            </w:r>
          </w:p>
          <w:p w14:paraId="49A2E856" w14:textId="77777777" w:rsidR="002D336D" w:rsidRPr="00AA57E3" w:rsidRDefault="002D336D" w:rsidP="002D336D">
            <w:pPr>
              <w:pStyle w:val="TableBullet"/>
            </w:pPr>
            <w:r>
              <w:t>Establish effective governance to ensure that financial resources are used ethically and prudently across the organisation</w:t>
            </w:r>
          </w:p>
        </w:tc>
        <w:tc>
          <w:tcPr>
            <w:tcW w:w="1606" w:type="dxa"/>
            <w:tcBorders>
              <w:bottom w:val="single" w:sz="4" w:space="0" w:color="BCBEC0"/>
            </w:tcBorders>
          </w:tcPr>
          <w:p w14:paraId="09B81066" w14:textId="77777777" w:rsidR="002D336D" w:rsidRDefault="00F15669" w:rsidP="006D241D">
            <w:pPr>
              <w:pStyle w:val="TableBullet"/>
              <w:numPr>
                <w:ilvl w:val="0"/>
                <w:numId w:val="0"/>
              </w:numPr>
              <w:jc w:val="both"/>
            </w:pPr>
            <w:r>
              <w:t>Highly Advanced</w:t>
            </w:r>
          </w:p>
        </w:tc>
      </w:tr>
      <w:tr w:rsidR="002D336D" w:rsidRPr="00C978B9" w14:paraId="2CB1CF74" w14:textId="77777777" w:rsidTr="00E565B9">
        <w:tc>
          <w:tcPr>
            <w:tcW w:w="1406" w:type="dxa"/>
            <w:vMerge/>
            <w:tcBorders>
              <w:bottom w:val="single" w:sz="4" w:space="0" w:color="BCBEC0"/>
            </w:tcBorders>
          </w:tcPr>
          <w:p w14:paraId="124480DB" w14:textId="77777777" w:rsidR="002D336D" w:rsidRDefault="002D336D" w:rsidP="006D241D">
            <w:pPr>
              <w:keepNext/>
              <w:rPr>
                <w:noProof/>
                <w:lang w:eastAsia="en-AU"/>
              </w:rPr>
            </w:pPr>
          </w:p>
        </w:tc>
        <w:tc>
          <w:tcPr>
            <w:tcW w:w="2971" w:type="dxa"/>
            <w:gridSpan w:val="2"/>
            <w:tcBorders>
              <w:bottom w:val="single" w:sz="4" w:space="0" w:color="BCBEC0"/>
            </w:tcBorders>
          </w:tcPr>
          <w:p w14:paraId="69100BA0" w14:textId="77777777" w:rsidR="000411F6" w:rsidRPr="00A8226F" w:rsidRDefault="000411F6" w:rsidP="000411F6">
            <w:pPr>
              <w:pStyle w:val="TableText"/>
              <w:keepNext/>
              <w:rPr>
                <w:b/>
              </w:rPr>
            </w:pPr>
            <w:r>
              <w:rPr>
                <w:b/>
              </w:rPr>
              <w:t>Procurement and Contract Management</w:t>
            </w:r>
          </w:p>
          <w:p w14:paraId="279AF090" w14:textId="77777777" w:rsidR="002D336D" w:rsidRPr="00A8226F" w:rsidRDefault="000411F6" w:rsidP="000411F6">
            <w:pPr>
              <w:pStyle w:val="TableText"/>
              <w:keepNext/>
              <w:rPr>
                <w:b/>
              </w:rPr>
            </w:pPr>
            <w:r>
              <w:t>Understand and apply procurement processes to ensure effective purchasing and contract performance</w:t>
            </w:r>
          </w:p>
        </w:tc>
        <w:tc>
          <w:tcPr>
            <w:tcW w:w="4770" w:type="dxa"/>
            <w:tcBorders>
              <w:bottom w:val="single" w:sz="4" w:space="0" w:color="BCBEC0"/>
            </w:tcBorders>
          </w:tcPr>
          <w:p w14:paraId="7E0B8C51" w14:textId="77777777" w:rsidR="002D336D" w:rsidRDefault="002D336D" w:rsidP="002D336D">
            <w:pPr>
              <w:pStyle w:val="TableBullet"/>
              <w:numPr>
                <w:ilvl w:val="0"/>
                <w:numId w:val="0"/>
              </w:numPr>
              <w:ind w:left="360"/>
            </w:pPr>
          </w:p>
          <w:p w14:paraId="1C12EE9F" w14:textId="77777777" w:rsidR="002D336D" w:rsidRDefault="002D336D" w:rsidP="002D336D">
            <w:pPr>
              <w:pStyle w:val="TableBullet"/>
            </w:pPr>
            <w:r>
              <w:t>Ensure that whole-of-government approaches to procurement and contract management are integrated into the organisation’s policies and practices</w:t>
            </w:r>
          </w:p>
          <w:p w14:paraId="1D591285" w14:textId="77777777" w:rsidR="002D336D" w:rsidRDefault="002D336D" w:rsidP="002D336D">
            <w:pPr>
              <w:pStyle w:val="TableBullet"/>
            </w:pPr>
            <w:r>
              <w:t>Ensure that effective governance processes are in place for the organisation’s provider, supplier and contractor management, tendering, procurement and contracting policies, processes and outcomes</w:t>
            </w:r>
          </w:p>
          <w:p w14:paraId="7D283A1A" w14:textId="77777777" w:rsidR="002D336D" w:rsidRDefault="002D336D" w:rsidP="002D336D">
            <w:pPr>
              <w:pStyle w:val="TableBullet"/>
            </w:pPr>
            <w:r>
              <w:t>Monitor and evaluate compliance and the effectiveness of procurement and contract management within the organisation</w:t>
            </w:r>
          </w:p>
        </w:tc>
        <w:tc>
          <w:tcPr>
            <w:tcW w:w="1606" w:type="dxa"/>
            <w:tcBorders>
              <w:bottom w:val="single" w:sz="4" w:space="0" w:color="BCBEC0"/>
            </w:tcBorders>
          </w:tcPr>
          <w:p w14:paraId="0B49E3B8" w14:textId="77777777" w:rsidR="002D336D" w:rsidRDefault="007C0486" w:rsidP="006D241D">
            <w:pPr>
              <w:pStyle w:val="TableBullet"/>
              <w:numPr>
                <w:ilvl w:val="0"/>
                <w:numId w:val="0"/>
              </w:numPr>
              <w:jc w:val="both"/>
            </w:pPr>
            <w:r>
              <w:t>Highly Advanced</w:t>
            </w:r>
          </w:p>
        </w:tc>
      </w:tr>
      <w:tr w:rsidR="002D336D" w:rsidRPr="00C978B9" w14:paraId="57A9EFFD" w14:textId="77777777" w:rsidTr="00E565B9">
        <w:tc>
          <w:tcPr>
            <w:tcW w:w="1406" w:type="dxa"/>
            <w:vMerge w:val="restart"/>
            <w:tcBorders>
              <w:bottom w:val="single" w:sz="4" w:space="0" w:color="BCBEC0"/>
            </w:tcBorders>
          </w:tcPr>
          <w:p w14:paraId="3C70652A" w14:textId="77777777" w:rsidR="00DF2209" w:rsidRDefault="00DF2209" w:rsidP="00DF2209">
            <w:pPr>
              <w:keepNext/>
            </w:pPr>
          </w:p>
          <w:p w14:paraId="3EE5D5CC" w14:textId="77777777" w:rsidR="002D336D" w:rsidRPr="00C978B9" w:rsidRDefault="002D336D" w:rsidP="00DF2209">
            <w:pPr>
              <w:keepNext/>
            </w:pPr>
            <w:r w:rsidRPr="00C978B9">
              <w:rPr>
                <w:noProof/>
                <w:lang w:eastAsia="en-AU"/>
              </w:rPr>
              <w:drawing>
                <wp:inline distT="0" distB="0" distL="0" distR="0" wp14:anchorId="769F7B54" wp14:editId="5F4B4FD5">
                  <wp:extent cx="847725" cy="847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7537" cy="867537"/>
                          </a:xfrm>
                          <a:prstGeom prst="rect">
                            <a:avLst/>
                          </a:prstGeom>
                          <a:noFill/>
                          <a:ln>
                            <a:noFill/>
                          </a:ln>
                        </pic:spPr>
                      </pic:pic>
                    </a:graphicData>
                  </a:graphic>
                </wp:inline>
              </w:drawing>
            </w:r>
          </w:p>
        </w:tc>
        <w:tc>
          <w:tcPr>
            <w:tcW w:w="2971" w:type="dxa"/>
            <w:gridSpan w:val="2"/>
            <w:tcBorders>
              <w:bottom w:val="single" w:sz="4" w:space="0" w:color="BCBEC0"/>
            </w:tcBorders>
          </w:tcPr>
          <w:p w14:paraId="1247CF46" w14:textId="77777777" w:rsidR="002D336D" w:rsidRPr="00A8226F" w:rsidRDefault="002D336D" w:rsidP="006D241D">
            <w:pPr>
              <w:pStyle w:val="TableText"/>
              <w:keepNext/>
              <w:rPr>
                <w:b/>
              </w:rPr>
            </w:pPr>
            <w:r>
              <w:rPr>
                <w:b/>
              </w:rPr>
              <w:t>Optimise Business Outcomes</w:t>
            </w:r>
          </w:p>
          <w:p w14:paraId="67E773F0" w14:textId="77777777" w:rsidR="002D336D" w:rsidRPr="00AA57E3" w:rsidRDefault="002D336D" w:rsidP="006D241D">
            <w:pPr>
              <w:pStyle w:val="TableText"/>
              <w:keepNext/>
            </w:pPr>
            <w:r>
              <w:t>Manage people and resources effectively to achieve public value</w:t>
            </w:r>
          </w:p>
        </w:tc>
        <w:tc>
          <w:tcPr>
            <w:tcW w:w="4770" w:type="dxa"/>
            <w:tcBorders>
              <w:bottom w:val="single" w:sz="4" w:space="0" w:color="BCBEC0"/>
            </w:tcBorders>
          </w:tcPr>
          <w:p w14:paraId="3557B147" w14:textId="77777777" w:rsidR="002D336D" w:rsidRPr="00AA57E3" w:rsidRDefault="002D336D" w:rsidP="002D336D">
            <w:pPr>
              <w:pStyle w:val="TableBullet"/>
            </w:pPr>
            <w:r>
              <w:t>Ensure that organisational architecture is aligned to the organisation’s goals and responds to changes over time</w:t>
            </w:r>
          </w:p>
          <w:p w14:paraId="0038CAA3" w14:textId="77777777" w:rsidR="002D336D" w:rsidRPr="00AA57E3" w:rsidRDefault="002D336D" w:rsidP="002D336D">
            <w:pPr>
              <w:pStyle w:val="TableBullet"/>
            </w:pPr>
            <w:r>
              <w:t>Engage in strategic workforce planning and strategic resource utilisation to ensure that the organisation’s aims and goals and the government’s objectives can be achieved</w:t>
            </w:r>
          </w:p>
          <w:p w14:paraId="1DC27A87" w14:textId="77777777" w:rsidR="002D336D" w:rsidRPr="00AA57E3" w:rsidRDefault="002D336D" w:rsidP="002D336D">
            <w:pPr>
              <w:pStyle w:val="TableBullet"/>
            </w:pPr>
            <w:r>
              <w:t>Align workforce resources and talent with organisational priorities</w:t>
            </w:r>
          </w:p>
          <w:p w14:paraId="48E34012" w14:textId="77777777" w:rsidR="002D336D" w:rsidRPr="00AA57E3" w:rsidRDefault="002D336D" w:rsidP="002D336D">
            <w:pPr>
              <w:pStyle w:val="TableBullet"/>
            </w:pPr>
            <w:r>
              <w:t>Set clear boundaries and freedoms for the organisation in risk taking</w:t>
            </w:r>
          </w:p>
          <w:p w14:paraId="511DCF26" w14:textId="77777777" w:rsidR="002D336D" w:rsidRPr="00AA57E3" w:rsidRDefault="002D336D" w:rsidP="002D336D">
            <w:pPr>
              <w:pStyle w:val="TableBullet"/>
            </w:pPr>
            <w:r>
              <w:t>Hold self and others accountable for implementing and maintaining inclusive workforce management practices</w:t>
            </w:r>
          </w:p>
        </w:tc>
        <w:tc>
          <w:tcPr>
            <w:tcW w:w="1606" w:type="dxa"/>
            <w:tcBorders>
              <w:bottom w:val="single" w:sz="4" w:space="0" w:color="BCBEC0"/>
            </w:tcBorders>
          </w:tcPr>
          <w:p w14:paraId="7FA0D21F" w14:textId="77777777" w:rsidR="002D336D" w:rsidRDefault="00F15669" w:rsidP="006D241D">
            <w:pPr>
              <w:pStyle w:val="TableBullet"/>
              <w:numPr>
                <w:ilvl w:val="0"/>
                <w:numId w:val="0"/>
              </w:numPr>
              <w:jc w:val="both"/>
            </w:pPr>
            <w:r>
              <w:t>Highly Advanced</w:t>
            </w:r>
          </w:p>
        </w:tc>
      </w:tr>
      <w:tr w:rsidR="002D336D" w:rsidRPr="00C978B9" w14:paraId="27B1E988" w14:textId="77777777" w:rsidTr="00E565B9">
        <w:tc>
          <w:tcPr>
            <w:tcW w:w="1406" w:type="dxa"/>
            <w:vMerge/>
            <w:tcBorders>
              <w:bottom w:val="single" w:sz="4" w:space="0" w:color="BCBEC0"/>
            </w:tcBorders>
          </w:tcPr>
          <w:p w14:paraId="2D689926" w14:textId="77777777" w:rsidR="002D336D" w:rsidRDefault="002D336D" w:rsidP="006D241D">
            <w:pPr>
              <w:keepNext/>
              <w:rPr>
                <w:noProof/>
                <w:lang w:eastAsia="en-AU"/>
              </w:rPr>
            </w:pPr>
          </w:p>
        </w:tc>
        <w:tc>
          <w:tcPr>
            <w:tcW w:w="2971" w:type="dxa"/>
            <w:gridSpan w:val="2"/>
            <w:tcBorders>
              <w:bottom w:val="single" w:sz="4" w:space="0" w:color="BCBEC0"/>
            </w:tcBorders>
          </w:tcPr>
          <w:p w14:paraId="20C81149" w14:textId="77777777" w:rsidR="000411F6" w:rsidRPr="00A8226F" w:rsidRDefault="000411F6" w:rsidP="000411F6">
            <w:pPr>
              <w:pStyle w:val="TableText"/>
              <w:keepNext/>
              <w:rPr>
                <w:b/>
              </w:rPr>
            </w:pPr>
            <w:r>
              <w:rPr>
                <w:b/>
              </w:rPr>
              <w:t>Manage Reform and Change</w:t>
            </w:r>
          </w:p>
          <w:p w14:paraId="364BE620" w14:textId="77777777" w:rsidR="002D336D" w:rsidRPr="00A8226F" w:rsidRDefault="000411F6" w:rsidP="000411F6">
            <w:pPr>
              <w:pStyle w:val="TableText"/>
              <w:keepNext/>
              <w:rPr>
                <w:b/>
              </w:rPr>
            </w:pPr>
            <w:r>
              <w:t>Support, promote and champion change, and assist others to engage with change</w:t>
            </w:r>
          </w:p>
        </w:tc>
        <w:tc>
          <w:tcPr>
            <w:tcW w:w="4770" w:type="dxa"/>
            <w:tcBorders>
              <w:bottom w:val="single" w:sz="4" w:space="0" w:color="BCBEC0"/>
            </w:tcBorders>
          </w:tcPr>
          <w:p w14:paraId="53798D41" w14:textId="77777777" w:rsidR="002D336D" w:rsidRDefault="002D336D" w:rsidP="002D336D">
            <w:pPr>
              <w:pStyle w:val="TableBullet"/>
            </w:pPr>
            <w:r>
              <w:t>Drive a continuous improvement agenda, define high-level objectives and translate these into practical implementation strategies</w:t>
            </w:r>
          </w:p>
          <w:p w14:paraId="792CE1C2" w14:textId="77777777" w:rsidR="002D336D" w:rsidRDefault="002D336D" w:rsidP="002D336D">
            <w:pPr>
              <w:pStyle w:val="TableBullet"/>
            </w:pPr>
            <w:r>
              <w:t>Build staff support for and commitment to announced change, and plan and prepare for long-term organisational change, with a focus on the wider political, social and environmental context</w:t>
            </w:r>
          </w:p>
          <w:p w14:paraId="49DDC5F0" w14:textId="77777777" w:rsidR="002D336D" w:rsidRDefault="002D336D" w:rsidP="002D336D">
            <w:pPr>
              <w:pStyle w:val="TableBullet"/>
            </w:pPr>
            <w:r>
              <w:t>Create an organisational culture that actively seeks opportunities to improve</w:t>
            </w:r>
          </w:p>
          <w:p w14:paraId="5BFF68C5" w14:textId="77777777" w:rsidR="002D336D" w:rsidRDefault="002D336D" w:rsidP="002D336D">
            <w:pPr>
              <w:pStyle w:val="TableBullet"/>
            </w:pPr>
            <w:r>
              <w:t>Anticipate, plan for and address cultural barriers to change at the organisational level</w:t>
            </w:r>
          </w:p>
        </w:tc>
        <w:tc>
          <w:tcPr>
            <w:tcW w:w="1606" w:type="dxa"/>
            <w:tcBorders>
              <w:bottom w:val="single" w:sz="4" w:space="0" w:color="BCBEC0"/>
            </w:tcBorders>
          </w:tcPr>
          <w:p w14:paraId="70632C93" w14:textId="77777777" w:rsidR="002D336D" w:rsidRDefault="007C0486" w:rsidP="006D241D">
            <w:pPr>
              <w:pStyle w:val="TableBullet"/>
              <w:numPr>
                <w:ilvl w:val="0"/>
                <w:numId w:val="0"/>
              </w:numPr>
              <w:jc w:val="both"/>
            </w:pPr>
            <w:r>
              <w:t>Highly Advanced</w:t>
            </w:r>
          </w:p>
        </w:tc>
      </w:tr>
    </w:tbl>
    <w:p w14:paraId="6F58D00F" w14:textId="77777777" w:rsidR="003927AE" w:rsidRDefault="003927AE" w:rsidP="003927AE"/>
    <w:p w14:paraId="3D32BE7E" w14:textId="77777777" w:rsidR="003927AE" w:rsidRDefault="003927AE" w:rsidP="003927AE">
      <w:pPr>
        <w:pStyle w:val="Heading1"/>
      </w:pPr>
      <w:r>
        <w:t>Complementary capabilities</w:t>
      </w:r>
    </w:p>
    <w:p w14:paraId="5EC2C91B" w14:textId="77777777" w:rsidR="003927AE" w:rsidRPr="003927AE" w:rsidRDefault="003927AE" w:rsidP="003927AE">
      <w:pPr>
        <w:pStyle w:val="PlainText"/>
        <w:spacing w:before="62" w:line="276" w:lineRule="auto"/>
        <w:rPr>
          <w:rFonts w:ascii="Arial" w:eastAsiaTheme="minorEastAsia" w:hAnsi="Arial"/>
          <w:szCs w:val="22"/>
          <w:lang w:val="en-US"/>
        </w:rPr>
      </w:pPr>
      <w:r w:rsidRPr="003927AE">
        <w:rPr>
          <w:rFonts w:ascii="Arial" w:eastAsiaTheme="minorEastAsia" w:hAnsi="Arial"/>
          <w:i/>
          <w:szCs w:val="22"/>
          <w:lang w:val="en-US"/>
        </w:rPr>
        <w:t>Complementary capabilities</w:t>
      </w:r>
      <w:r w:rsidRPr="003927AE">
        <w:rPr>
          <w:rFonts w:ascii="Arial" w:eastAsiaTheme="minorEastAsia" w:hAnsi="Arial"/>
          <w:szCs w:val="22"/>
          <w:lang w:val="en-US"/>
        </w:rPr>
        <w:t xml:space="preserve"> are also identified from the Capability Framework and relevant occupation-specific capability sets. They are important to identifying performance required for the role and development opportunities. </w:t>
      </w:r>
    </w:p>
    <w:p w14:paraId="71A9E8C6" w14:textId="77777777" w:rsidR="003927AE" w:rsidRDefault="003927AE" w:rsidP="003927AE">
      <w:pPr>
        <w:pStyle w:val="PlainText"/>
        <w:spacing w:before="62" w:line="276" w:lineRule="auto"/>
        <w:rPr>
          <w:rFonts w:ascii="Arial" w:eastAsiaTheme="minorEastAsia" w:hAnsi="Arial"/>
          <w:szCs w:val="22"/>
          <w:lang w:val="en-US"/>
        </w:rPr>
      </w:pPr>
      <w:r w:rsidRPr="003927AE">
        <w:rPr>
          <w:rFonts w:ascii="Arial" w:eastAsiaTheme="minorEastAsia" w:hAnsi="Arial"/>
          <w:szCs w:val="22"/>
          <w:lang w:val="en-US"/>
        </w:rPr>
        <w:t>Note: capabilities listed as ‘not essential’ for this role are not relevant for recruitment purposes however may be relevant for future career development.</w:t>
      </w:r>
    </w:p>
    <w:p w14:paraId="1E53D736" w14:textId="77777777" w:rsidR="00336011" w:rsidRDefault="00336011" w:rsidP="003927AE">
      <w:pPr>
        <w:pStyle w:val="PlainText"/>
        <w:spacing w:before="62" w:line="276" w:lineRule="auto"/>
        <w:rPr>
          <w:rFonts w:ascii="Arial" w:eastAsiaTheme="minorEastAsia" w:hAnsi="Arial"/>
          <w:szCs w:val="22"/>
          <w:lang w:val="en-US"/>
        </w:rPr>
      </w:pPr>
    </w:p>
    <w:tbl>
      <w:tblPr>
        <w:tblStyle w:val="PSCPurple"/>
        <w:tblW w:w="10753"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06"/>
        <w:gridCol w:w="2881"/>
        <w:gridCol w:w="90"/>
        <w:gridCol w:w="4770"/>
        <w:gridCol w:w="1606"/>
      </w:tblGrid>
      <w:tr w:rsidR="002B5704" w:rsidRPr="00803E47" w14:paraId="2A318BA5" w14:textId="77777777" w:rsidTr="006D241D">
        <w:trPr>
          <w:cnfStyle w:val="100000000000" w:firstRow="1" w:lastRow="0" w:firstColumn="0" w:lastColumn="0" w:oddVBand="0" w:evenVBand="0" w:oddHBand="0" w:evenHBand="0" w:firstRowFirstColumn="0" w:firstRowLastColumn="0" w:lastRowFirstColumn="0" w:lastRowLastColumn="0"/>
          <w:tblHeader/>
        </w:trPr>
        <w:tc>
          <w:tcPr>
            <w:tcW w:w="10753" w:type="dxa"/>
            <w:gridSpan w:val="5"/>
          </w:tcPr>
          <w:p w14:paraId="11740005" w14:textId="77777777" w:rsidR="002B5704" w:rsidRPr="00803E47" w:rsidRDefault="002B5704" w:rsidP="006D241D">
            <w:pPr>
              <w:pStyle w:val="TableTextWhite0"/>
              <w:keepNext/>
              <w:jc w:val="both"/>
            </w:pPr>
            <w:r>
              <w:rPr>
                <w:sz w:val="24"/>
                <w:szCs w:val="24"/>
              </w:rPr>
              <w:lastRenderedPageBreak/>
              <w:t>COMPLEMENTARY</w:t>
            </w:r>
            <w:r w:rsidRPr="00051E80">
              <w:rPr>
                <w:sz w:val="24"/>
                <w:szCs w:val="24"/>
              </w:rPr>
              <w:t xml:space="preserve"> CAPABILITIES</w:t>
            </w:r>
          </w:p>
        </w:tc>
      </w:tr>
      <w:tr w:rsidR="002B5704" w:rsidRPr="00C978B9" w14:paraId="51E996A9" w14:textId="77777777" w:rsidTr="006D241D">
        <w:trPr>
          <w:cnfStyle w:val="100000000000" w:firstRow="1" w:lastRow="0" w:firstColumn="0" w:lastColumn="0" w:oddVBand="0" w:evenVBand="0" w:oddHBand="0" w:evenHBand="0" w:firstRowFirstColumn="0" w:firstRowLastColumn="0" w:lastRowFirstColumn="0" w:lastRowLastColumn="0"/>
          <w:tblHeader/>
        </w:trPr>
        <w:tc>
          <w:tcPr>
            <w:tcW w:w="1406" w:type="dxa"/>
            <w:tcBorders>
              <w:bottom w:val="single" w:sz="12" w:space="0" w:color="auto"/>
            </w:tcBorders>
            <w:shd w:val="clear" w:color="auto" w:fill="BCBEC0"/>
            <w:vAlign w:val="center"/>
          </w:tcPr>
          <w:p w14:paraId="49C70BE3" w14:textId="77777777" w:rsidR="002B5704" w:rsidRPr="00C978B9" w:rsidRDefault="002B5704" w:rsidP="006D241D">
            <w:pPr>
              <w:pStyle w:val="TableText"/>
              <w:keepNext/>
              <w:rPr>
                <w:b/>
                <w:sz w:val="24"/>
                <w:szCs w:val="24"/>
              </w:rPr>
            </w:pPr>
            <w:r>
              <w:rPr>
                <w:b/>
              </w:rPr>
              <w:t>Capability group/sets</w:t>
            </w:r>
          </w:p>
        </w:tc>
        <w:tc>
          <w:tcPr>
            <w:tcW w:w="2881" w:type="dxa"/>
            <w:tcBorders>
              <w:bottom w:val="single" w:sz="12" w:space="0" w:color="auto"/>
            </w:tcBorders>
            <w:shd w:val="clear" w:color="auto" w:fill="BCBEC0"/>
          </w:tcPr>
          <w:p w14:paraId="741FE039" w14:textId="77777777" w:rsidR="002B5704" w:rsidRPr="00C978B9" w:rsidRDefault="002B5704" w:rsidP="006D241D">
            <w:pPr>
              <w:pStyle w:val="TableText"/>
              <w:keepNext/>
              <w:rPr>
                <w:b/>
                <w:sz w:val="24"/>
                <w:szCs w:val="24"/>
              </w:rPr>
            </w:pPr>
            <w:r w:rsidRPr="00021C23">
              <w:rPr>
                <w:b/>
              </w:rPr>
              <w:t>Ca</w:t>
            </w:r>
            <w:r>
              <w:rPr>
                <w:b/>
              </w:rPr>
              <w:t>pability name</w:t>
            </w:r>
          </w:p>
        </w:tc>
        <w:tc>
          <w:tcPr>
            <w:tcW w:w="90" w:type="dxa"/>
            <w:tcBorders>
              <w:bottom w:val="single" w:sz="12" w:space="0" w:color="auto"/>
            </w:tcBorders>
            <w:shd w:val="clear" w:color="auto" w:fill="BCBEC0"/>
          </w:tcPr>
          <w:p w14:paraId="05E9E5F8" w14:textId="77777777" w:rsidR="002B5704" w:rsidRDefault="002B5704" w:rsidP="006D241D">
            <w:pPr>
              <w:pStyle w:val="TableText"/>
              <w:keepNext/>
              <w:rPr>
                <w:b/>
              </w:rPr>
            </w:pPr>
          </w:p>
        </w:tc>
        <w:tc>
          <w:tcPr>
            <w:tcW w:w="4770" w:type="dxa"/>
            <w:tcBorders>
              <w:bottom w:val="single" w:sz="12" w:space="0" w:color="auto"/>
            </w:tcBorders>
            <w:shd w:val="clear" w:color="auto" w:fill="BCBEC0"/>
          </w:tcPr>
          <w:p w14:paraId="792806EC" w14:textId="77777777" w:rsidR="002B5704" w:rsidRDefault="002B5704" w:rsidP="006D241D">
            <w:pPr>
              <w:pStyle w:val="TableText"/>
              <w:keepNext/>
              <w:rPr>
                <w:b/>
              </w:rPr>
            </w:pPr>
            <w:r>
              <w:rPr>
                <w:b/>
              </w:rPr>
              <w:t>Description</w:t>
            </w:r>
          </w:p>
        </w:tc>
        <w:tc>
          <w:tcPr>
            <w:tcW w:w="1606" w:type="dxa"/>
            <w:tcBorders>
              <w:bottom w:val="single" w:sz="12" w:space="0" w:color="auto"/>
            </w:tcBorders>
            <w:shd w:val="clear" w:color="auto" w:fill="BCBEC0"/>
          </w:tcPr>
          <w:p w14:paraId="0F9E95E8" w14:textId="77777777" w:rsidR="002B5704" w:rsidRDefault="002B5704" w:rsidP="006D241D">
            <w:pPr>
              <w:pStyle w:val="TableText"/>
              <w:keepNext/>
              <w:jc w:val="both"/>
              <w:rPr>
                <w:b/>
              </w:rPr>
            </w:pPr>
            <w:r>
              <w:rPr>
                <w:b/>
              </w:rPr>
              <w:t xml:space="preserve">Level </w:t>
            </w:r>
          </w:p>
        </w:tc>
      </w:tr>
      <w:tr w:rsidR="002B5704" w:rsidRPr="00C978B9" w14:paraId="76458F03" w14:textId="77777777" w:rsidTr="006D241D">
        <w:tc>
          <w:tcPr>
            <w:tcW w:w="1406" w:type="dxa"/>
            <w:vMerge w:val="restart"/>
            <w:tcBorders>
              <w:bottom w:val="single" w:sz="4" w:space="0" w:color="BCBEC0"/>
            </w:tcBorders>
          </w:tcPr>
          <w:p w14:paraId="09459FC6" w14:textId="77777777" w:rsidR="002B5704" w:rsidRDefault="002B5704" w:rsidP="006D241D">
            <w:pPr>
              <w:keepNext/>
            </w:pPr>
          </w:p>
          <w:p w14:paraId="4F0F2241" w14:textId="77777777" w:rsidR="002B5704" w:rsidRPr="00C978B9" w:rsidRDefault="002B5704" w:rsidP="006D241D">
            <w:pPr>
              <w:keepNext/>
            </w:pPr>
            <w:r w:rsidRPr="00C978B9">
              <w:rPr>
                <w:noProof/>
                <w:lang w:eastAsia="en-AU"/>
              </w:rPr>
              <w:drawing>
                <wp:inline distT="0" distB="0" distL="0" distR="0" wp14:anchorId="67428434" wp14:editId="7DD6B952">
                  <wp:extent cx="848995" cy="84899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50616" cy="850616"/>
                          </a:xfrm>
                          <a:prstGeom prst="rect">
                            <a:avLst/>
                          </a:prstGeom>
                          <a:noFill/>
                          <a:ln>
                            <a:noFill/>
                          </a:ln>
                        </pic:spPr>
                      </pic:pic>
                    </a:graphicData>
                  </a:graphic>
                </wp:inline>
              </w:drawing>
            </w:r>
          </w:p>
        </w:tc>
        <w:tc>
          <w:tcPr>
            <w:tcW w:w="2971" w:type="dxa"/>
            <w:gridSpan w:val="2"/>
            <w:tcBorders>
              <w:bottom w:val="single" w:sz="4" w:space="0" w:color="BCBEC0"/>
            </w:tcBorders>
          </w:tcPr>
          <w:p w14:paraId="12A201B7" w14:textId="77777777" w:rsidR="002B5704" w:rsidRPr="00AA57E3" w:rsidRDefault="002B5704" w:rsidP="006D241D">
            <w:r>
              <w:t>Manage Self</w:t>
            </w:r>
          </w:p>
        </w:tc>
        <w:tc>
          <w:tcPr>
            <w:tcW w:w="4770" w:type="dxa"/>
            <w:tcBorders>
              <w:bottom w:val="single" w:sz="4" w:space="0" w:color="BCBEC0"/>
            </w:tcBorders>
          </w:tcPr>
          <w:p w14:paraId="6C2884BF" w14:textId="77777777" w:rsidR="002B5704" w:rsidRPr="00AA57E3" w:rsidRDefault="002B5704" w:rsidP="002B5704">
            <w:r>
              <w:t>Show drive and motivation, an ability to self-reflect and a commitment to learning</w:t>
            </w:r>
          </w:p>
        </w:tc>
        <w:tc>
          <w:tcPr>
            <w:tcW w:w="1606" w:type="dxa"/>
            <w:tcBorders>
              <w:bottom w:val="single" w:sz="4" w:space="0" w:color="BCBEC0"/>
            </w:tcBorders>
          </w:tcPr>
          <w:p w14:paraId="69798739" w14:textId="77777777" w:rsidR="002B5704" w:rsidRDefault="002B5704" w:rsidP="006D241D">
            <w:pPr>
              <w:pStyle w:val="TableBullet"/>
              <w:numPr>
                <w:ilvl w:val="0"/>
                <w:numId w:val="0"/>
              </w:numPr>
              <w:jc w:val="both"/>
            </w:pPr>
            <w:r>
              <w:t>Advanced</w:t>
            </w:r>
          </w:p>
        </w:tc>
      </w:tr>
      <w:tr w:rsidR="002B5704" w:rsidRPr="00C978B9" w14:paraId="05156EBB" w14:textId="77777777" w:rsidTr="006D241D">
        <w:tc>
          <w:tcPr>
            <w:tcW w:w="1406" w:type="dxa"/>
            <w:vMerge/>
            <w:tcBorders>
              <w:bottom w:val="single" w:sz="4" w:space="0" w:color="BCBEC0"/>
            </w:tcBorders>
          </w:tcPr>
          <w:p w14:paraId="658C6936" w14:textId="77777777" w:rsidR="002B5704" w:rsidRDefault="002B5704" w:rsidP="006D241D">
            <w:pPr>
              <w:keepNext/>
              <w:rPr>
                <w:noProof/>
                <w:lang w:eastAsia="en-AU"/>
              </w:rPr>
            </w:pPr>
          </w:p>
        </w:tc>
        <w:tc>
          <w:tcPr>
            <w:tcW w:w="2971" w:type="dxa"/>
            <w:gridSpan w:val="2"/>
            <w:tcBorders>
              <w:bottom w:val="single" w:sz="4" w:space="0" w:color="BCBEC0"/>
            </w:tcBorders>
          </w:tcPr>
          <w:p w14:paraId="56AD3806" w14:textId="77777777" w:rsidR="002B5704" w:rsidRPr="00A8226F" w:rsidRDefault="002B5704" w:rsidP="006D241D">
            <w:r>
              <w:t>Value Diversity and Inclusion</w:t>
            </w:r>
          </w:p>
        </w:tc>
        <w:tc>
          <w:tcPr>
            <w:tcW w:w="4770" w:type="dxa"/>
            <w:tcBorders>
              <w:bottom w:val="single" w:sz="4" w:space="0" w:color="BCBEC0"/>
            </w:tcBorders>
          </w:tcPr>
          <w:p w14:paraId="4E4B1E3D" w14:textId="77777777" w:rsidR="002B5704" w:rsidRDefault="002B5704" w:rsidP="002B5704">
            <w:r>
              <w:t>Demonstrate inclusive behaviour and show respect for diverse backgrounds, experiences and perspectives</w:t>
            </w:r>
          </w:p>
        </w:tc>
        <w:tc>
          <w:tcPr>
            <w:tcW w:w="1606" w:type="dxa"/>
            <w:tcBorders>
              <w:bottom w:val="single" w:sz="4" w:space="0" w:color="BCBEC0"/>
            </w:tcBorders>
          </w:tcPr>
          <w:p w14:paraId="32D3DEC1" w14:textId="77777777" w:rsidR="002B5704" w:rsidRDefault="002B5704" w:rsidP="006D241D">
            <w:pPr>
              <w:pStyle w:val="TableBullet"/>
              <w:numPr>
                <w:ilvl w:val="0"/>
                <w:numId w:val="0"/>
              </w:numPr>
              <w:jc w:val="both"/>
            </w:pPr>
            <w:r>
              <w:t>Advanced</w:t>
            </w:r>
          </w:p>
        </w:tc>
      </w:tr>
      <w:tr w:rsidR="002B5704" w:rsidRPr="00C978B9" w14:paraId="626498C9" w14:textId="77777777" w:rsidTr="006D241D">
        <w:tc>
          <w:tcPr>
            <w:tcW w:w="1406" w:type="dxa"/>
            <w:vMerge w:val="restart"/>
            <w:tcBorders>
              <w:bottom w:val="single" w:sz="4" w:space="0" w:color="BCBEC0"/>
            </w:tcBorders>
          </w:tcPr>
          <w:p w14:paraId="22459C88" w14:textId="77777777" w:rsidR="002B5704" w:rsidRDefault="002B5704" w:rsidP="006D241D">
            <w:pPr>
              <w:keepNext/>
            </w:pPr>
          </w:p>
          <w:p w14:paraId="6392C168" w14:textId="77777777" w:rsidR="002B5704" w:rsidRPr="00C978B9" w:rsidRDefault="002B5704" w:rsidP="006D241D">
            <w:pPr>
              <w:keepNext/>
            </w:pPr>
            <w:r w:rsidRPr="00C978B9">
              <w:rPr>
                <w:noProof/>
                <w:lang w:eastAsia="en-AU"/>
              </w:rPr>
              <w:drawing>
                <wp:inline distT="0" distB="0" distL="0" distR="0" wp14:anchorId="3190775A" wp14:editId="0E3F7537">
                  <wp:extent cx="854016" cy="854016"/>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71366" cy="871366"/>
                          </a:xfrm>
                          <a:prstGeom prst="rect">
                            <a:avLst/>
                          </a:prstGeom>
                          <a:noFill/>
                          <a:ln>
                            <a:noFill/>
                          </a:ln>
                        </pic:spPr>
                      </pic:pic>
                    </a:graphicData>
                  </a:graphic>
                </wp:inline>
              </w:drawing>
            </w:r>
          </w:p>
        </w:tc>
        <w:tc>
          <w:tcPr>
            <w:tcW w:w="2971" w:type="dxa"/>
            <w:gridSpan w:val="2"/>
            <w:tcBorders>
              <w:bottom w:val="single" w:sz="4" w:space="0" w:color="BCBEC0"/>
            </w:tcBorders>
          </w:tcPr>
          <w:p w14:paraId="10128EDF" w14:textId="77777777" w:rsidR="002B5704" w:rsidRPr="00AA57E3" w:rsidRDefault="002B5704" w:rsidP="006D241D">
            <w:r>
              <w:t>Communicate Effectively</w:t>
            </w:r>
          </w:p>
        </w:tc>
        <w:tc>
          <w:tcPr>
            <w:tcW w:w="4770" w:type="dxa"/>
            <w:tcBorders>
              <w:bottom w:val="single" w:sz="4" w:space="0" w:color="BCBEC0"/>
            </w:tcBorders>
          </w:tcPr>
          <w:p w14:paraId="32FFBD8E" w14:textId="77777777" w:rsidR="002B5704" w:rsidRPr="00AA57E3" w:rsidRDefault="002B5704" w:rsidP="002B5704">
            <w:r>
              <w:t>Communicate clearly, actively listen to others, and respond with understanding and respect</w:t>
            </w:r>
          </w:p>
        </w:tc>
        <w:tc>
          <w:tcPr>
            <w:tcW w:w="1606" w:type="dxa"/>
            <w:tcBorders>
              <w:bottom w:val="single" w:sz="4" w:space="0" w:color="BCBEC0"/>
            </w:tcBorders>
          </w:tcPr>
          <w:p w14:paraId="1817C170" w14:textId="77777777" w:rsidR="002B5704" w:rsidRDefault="002B5704" w:rsidP="006D241D">
            <w:pPr>
              <w:pStyle w:val="TableBullet"/>
              <w:numPr>
                <w:ilvl w:val="0"/>
                <w:numId w:val="0"/>
              </w:numPr>
              <w:jc w:val="both"/>
            </w:pPr>
            <w:r>
              <w:t>Advanced</w:t>
            </w:r>
          </w:p>
        </w:tc>
      </w:tr>
      <w:tr w:rsidR="002B5704" w:rsidRPr="00C978B9" w14:paraId="2F854A82" w14:textId="77777777" w:rsidTr="006D241D">
        <w:tc>
          <w:tcPr>
            <w:tcW w:w="1406" w:type="dxa"/>
            <w:vMerge/>
            <w:tcBorders>
              <w:bottom w:val="single" w:sz="4" w:space="0" w:color="BCBEC0"/>
            </w:tcBorders>
          </w:tcPr>
          <w:p w14:paraId="48465293" w14:textId="77777777" w:rsidR="002B5704" w:rsidRDefault="002B5704" w:rsidP="006D241D">
            <w:pPr>
              <w:keepNext/>
              <w:rPr>
                <w:noProof/>
                <w:lang w:eastAsia="en-AU"/>
              </w:rPr>
            </w:pPr>
          </w:p>
        </w:tc>
        <w:tc>
          <w:tcPr>
            <w:tcW w:w="2971" w:type="dxa"/>
            <w:gridSpan w:val="2"/>
            <w:tcBorders>
              <w:bottom w:val="single" w:sz="4" w:space="0" w:color="BCBEC0"/>
            </w:tcBorders>
          </w:tcPr>
          <w:p w14:paraId="4CDABF66" w14:textId="77777777" w:rsidR="002B5704" w:rsidRPr="00A8226F" w:rsidRDefault="002B5704" w:rsidP="006D241D">
            <w:r>
              <w:t>Work Collaboratively</w:t>
            </w:r>
          </w:p>
        </w:tc>
        <w:tc>
          <w:tcPr>
            <w:tcW w:w="4770" w:type="dxa"/>
            <w:tcBorders>
              <w:bottom w:val="single" w:sz="4" w:space="0" w:color="BCBEC0"/>
            </w:tcBorders>
          </w:tcPr>
          <w:p w14:paraId="7EED7867" w14:textId="77777777" w:rsidR="002B5704" w:rsidRDefault="002B5704" w:rsidP="002B5704">
            <w:r>
              <w:t>Collaborate with others and value their contribution</w:t>
            </w:r>
          </w:p>
        </w:tc>
        <w:tc>
          <w:tcPr>
            <w:tcW w:w="1606" w:type="dxa"/>
            <w:tcBorders>
              <w:bottom w:val="single" w:sz="4" w:space="0" w:color="BCBEC0"/>
            </w:tcBorders>
          </w:tcPr>
          <w:p w14:paraId="77310B24" w14:textId="77777777" w:rsidR="002B5704" w:rsidRDefault="002B5704" w:rsidP="006D241D">
            <w:pPr>
              <w:pStyle w:val="TableBullet"/>
              <w:numPr>
                <w:ilvl w:val="0"/>
                <w:numId w:val="0"/>
              </w:numPr>
              <w:jc w:val="both"/>
            </w:pPr>
            <w:r>
              <w:t>Advanced</w:t>
            </w:r>
          </w:p>
        </w:tc>
      </w:tr>
      <w:tr w:rsidR="002B5704" w:rsidRPr="00C978B9" w14:paraId="0F406C8E" w14:textId="77777777" w:rsidTr="006D241D">
        <w:tc>
          <w:tcPr>
            <w:tcW w:w="1406" w:type="dxa"/>
            <w:vMerge w:val="restart"/>
            <w:tcBorders>
              <w:bottom w:val="single" w:sz="4" w:space="0" w:color="BCBEC0"/>
            </w:tcBorders>
          </w:tcPr>
          <w:p w14:paraId="27881C65" w14:textId="77777777" w:rsidR="002B5704" w:rsidRDefault="002B5704" w:rsidP="006D241D">
            <w:pPr>
              <w:keepNext/>
            </w:pPr>
          </w:p>
          <w:p w14:paraId="2BB606E4" w14:textId="77777777" w:rsidR="002B5704" w:rsidRPr="00C978B9" w:rsidRDefault="002B5704" w:rsidP="006D241D">
            <w:pPr>
              <w:keepNext/>
            </w:pPr>
            <w:r w:rsidRPr="00C978B9">
              <w:rPr>
                <w:noProof/>
                <w:lang w:eastAsia="en-AU"/>
              </w:rPr>
              <w:drawing>
                <wp:inline distT="0" distB="0" distL="0" distR="0" wp14:anchorId="33807754" wp14:editId="626E9BC5">
                  <wp:extent cx="854015" cy="854015"/>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857406" cy="857406"/>
                          </a:xfrm>
                          <a:prstGeom prst="rect">
                            <a:avLst/>
                          </a:prstGeom>
                          <a:noFill/>
                          <a:ln>
                            <a:noFill/>
                          </a:ln>
                        </pic:spPr>
                      </pic:pic>
                    </a:graphicData>
                  </a:graphic>
                </wp:inline>
              </w:drawing>
            </w:r>
          </w:p>
        </w:tc>
        <w:tc>
          <w:tcPr>
            <w:tcW w:w="2971" w:type="dxa"/>
            <w:gridSpan w:val="2"/>
            <w:tcBorders>
              <w:bottom w:val="single" w:sz="4" w:space="0" w:color="BCBEC0"/>
            </w:tcBorders>
          </w:tcPr>
          <w:p w14:paraId="01331526" w14:textId="77777777" w:rsidR="002B5704" w:rsidRPr="00AA57E3" w:rsidRDefault="002B5704" w:rsidP="006D241D">
            <w:r>
              <w:t>Plan and Prioritise</w:t>
            </w:r>
          </w:p>
        </w:tc>
        <w:tc>
          <w:tcPr>
            <w:tcW w:w="4770" w:type="dxa"/>
            <w:tcBorders>
              <w:bottom w:val="single" w:sz="4" w:space="0" w:color="BCBEC0"/>
            </w:tcBorders>
          </w:tcPr>
          <w:p w14:paraId="1FBF0EC0" w14:textId="77777777" w:rsidR="002B5704" w:rsidRPr="00AA57E3" w:rsidRDefault="002B5704" w:rsidP="002B5704">
            <w:r>
              <w:t>Plan to achieve priority outcomes and respond flexibly to changing circumstances</w:t>
            </w:r>
          </w:p>
        </w:tc>
        <w:tc>
          <w:tcPr>
            <w:tcW w:w="1606" w:type="dxa"/>
            <w:tcBorders>
              <w:bottom w:val="single" w:sz="4" w:space="0" w:color="BCBEC0"/>
            </w:tcBorders>
          </w:tcPr>
          <w:p w14:paraId="7FA59B36" w14:textId="77777777" w:rsidR="002B5704" w:rsidRDefault="002B5704" w:rsidP="006D241D">
            <w:pPr>
              <w:pStyle w:val="TableBullet"/>
              <w:numPr>
                <w:ilvl w:val="0"/>
                <w:numId w:val="0"/>
              </w:numPr>
              <w:jc w:val="both"/>
            </w:pPr>
            <w:r>
              <w:t>Advanced</w:t>
            </w:r>
          </w:p>
        </w:tc>
      </w:tr>
      <w:tr w:rsidR="002B5704" w:rsidRPr="00C978B9" w14:paraId="2218C799" w14:textId="77777777" w:rsidTr="006D241D">
        <w:tc>
          <w:tcPr>
            <w:tcW w:w="1406" w:type="dxa"/>
            <w:vMerge/>
            <w:tcBorders>
              <w:bottom w:val="single" w:sz="4" w:space="0" w:color="BCBEC0"/>
            </w:tcBorders>
          </w:tcPr>
          <w:p w14:paraId="35913E1B" w14:textId="77777777" w:rsidR="002B5704" w:rsidRDefault="002B5704" w:rsidP="006D241D">
            <w:pPr>
              <w:keepNext/>
              <w:rPr>
                <w:noProof/>
                <w:lang w:eastAsia="en-AU"/>
              </w:rPr>
            </w:pPr>
          </w:p>
        </w:tc>
        <w:tc>
          <w:tcPr>
            <w:tcW w:w="2971" w:type="dxa"/>
            <w:gridSpan w:val="2"/>
            <w:tcBorders>
              <w:bottom w:val="single" w:sz="4" w:space="0" w:color="BCBEC0"/>
            </w:tcBorders>
          </w:tcPr>
          <w:p w14:paraId="20086654" w14:textId="5A85BA03" w:rsidR="002B5704" w:rsidRPr="00A8226F" w:rsidRDefault="00791BA8" w:rsidP="006D241D">
            <w:r>
              <w:t>Demonstrate Accountability</w:t>
            </w:r>
          </w:p>
        </w:tc>
        <w:tc>
          <w:tcPr>
            <w:tcW w:w="4770" w:type="dxa"/>
            <w:tcBorders>
              <w:bottom w:val="single" w:sz="4" w:space="0" w:color="BCBEC0"/>
            </w:tcBorders>
          </w:tcPr>
          <w:p w14:paraId="7D4A7A28" w14:textId="61EA899F" w:rsidR="002B5704" w:rsidRDefault="00791BA8" w:rsidP="002B5704">
            <w:r w:rsidRPr="00791BA8">
              <w:t>Be proactive and responsible for own actions, and adhere to legislation, policy and guidelines</w:t>
            </w:r>
          </w:p>
        </w:tc>
        <w:tc>
          <w:tcPr>
            <w:tcW w:w="1606" w:type="dxa"/>
            <w:tcBorders>
              <w:bottom w:val="single" w:sz="4" w:space="0" w:color="BCBEC0"/>
            </w:tcBorders>
          </w:tcPr>
          <w:p w14:paraId="2D3D41F9" w14:textId="7261831D" w:rsidR="002B5704" w:rsidRDefault="002B5704" w:rsidP="006D241D">
            <w:pPr>
              <w:pStyle w:val="TableBullet"/>
              <w:numPr>
                <w:ilvl w:val="0"/>
                <w:numId w:val="0"/>
              </w:numPr>
              <w:jc w:val="both"/>
            </w:pPr>
            <w:r>
              <w:t>Advanced</w:t>
            </w:r>
          </w:p>
        </w:tc>
      </w:tr>
      <w:tr w:rsidR="002B5704" w:rsidRPr="00C978B9" w14:paraId="28FB3F49" w14:textId="77777777" w:rsidTr="006D241D">
        <w:tc>
          <w:tcPr>
            <w:tcW w:w="1406" w:type="dxa"/>
            <w:vMerge w:val="restart"/>
            <w:tcBorders>
              <w:bottom w:val="single" w:sz="4" w:space="0" w:color="BCBEC0"/>
            </w:tcBorders>
          </w:tcPr>
          <w:p w14:paraId="2BADFFC4" w14:textId="77777777" w:rsidR="002B5704" w:rsidRDefault="002B5704" w:rsidP="006D241D">
            <w:pPr>
              <w:keepNext/>
            </w:pPr>
          </w:p>
          <w:p w14:paraId="4D39CB1C" w14:textId="77777777" w:rsidR="002B5704" w:rsidRPr="00C978B9" w:rsidRDefault="002B5704" w:rsidP="006D241D">
            <w:pPr>
              <w:keepNext/>
            </w:pPr>
            <w:r w:rsidRPr="00C978B9">
              <w:rPr>
                <w:noProof/>
                <w:lang w:eastAsia="en-AU"/>
              </w:rPr>
              <w:drawing>
                <wp:inline distT="0" distB="0" distL="0" distR="0" wp14:anchorId="485AAEA1" wp14:editId="59EA3D10">
                  <wp:extent cx="845388" cy="845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52188" cy="852188"/>
                          </a:xfrm>
                          <a:prstGeom prst="rect">
                            <a:avLst/>
                          </a:prstGeom>
                          <a:noFill/>
                          <a:ln>
                            <a:noFill/>
                          </a:ln>
                        </pic:spPr>
                      </pic:pic>
                    </a:graphicData>
                  </a:graphic>
                </wp:inline>
              </w:drawing>
            </w:r>
          </w:p>
        </w:tc>
        <w:tc>
          <w:tcPr>
            <w:tcW w:w="2971" w:type="dxa"/>
            <w:gridSpan w:val="2"/>
            <w:tcBorders>
              <w:bottom w:val="single" w:sz="4" w:space="0" w:color="BCBEC0"/>
            </w:tcBorders>
          </w:tcPr>
          <w:p w14:paraId="3D31C0E5" w14:textId="77777777" w:rsidR="002B5704" w:rsidRPr="00AA57E3" w:rsidRDefault="002B5704" w:rsidP="006D241D">
            <w:r>
              <w:t>Technology</w:t>
            </w:r>
          </w:p>
        </w:tc>
        <w:tc>
          <w:tcPr>
            <w:tcW w:w="4770" w:type="dxa"/>
            <w:tcBorders>
              <w:bottom w:val="single" w:sz="4" w:space="0" w:color="BCBEC0"/>
            </w:tcBorders>
          </w:tcPr>
          <w:p w14:paraId="38C1F539" w14:textId="77777777" w:rsidR="002B5704" w:rsidRPr="00AA57E3" w:rsidRDefault="002B5704" w:rsidP="002B5704">
            <w:r>
              <w:t>Understand and use available technologies to maximise efficiencies and effectiveness</w:t>
            </w:r>
          </w:p>
        </w:tc>
        <w:tc>
          <w:tcPr>
            <w:tcW w:w="1606" w:type="dxa"/>
            <w:tcBorders>
              <w:bottom w:val="single" w:sz="4" w:space="0" w:color="BCBEC0"/>
            </w:tcBorders>
          </w:tcPr>
          <w:p w14:paraId="03E951FE" w14:textId="77777777" w:rsidR="002B5704" w:rsidRDefault="002B5704" w:rsidP="006D241D">
            <w:pPr>
              <w:pStyle w:val="TableBullet"/>
              <w:numPr>
                <w:ilvl w:val="0"/>
                <w:numId w:val="0"/>
              </w:numPr>
              <w:jc w:val="both"/>
            </w:pPr>
            <w:r>
              <w:t>Advanced</w:t>
            </w:r>
          </w:p>
        </w:tc>
      </w:tr>
      <w:tr w:rsidR="002B5704" w:rsidRPr="00C978B9" w14:paraId="05B3CA9C" w14:textId="77777777" w:rsidTr="006D241D">
        <w:tc>
          <w:tcPr>
            <w:tcW w:w="1406" w:type="dxa"/>
            <w:vMerge/>
            <w:tcBorders>
              <w:bottom w:val="single" w:sz="4" w:space="0" w:color="BCBEC0"/>
            </w:tcBorders>
          </w:tcPr>
          <w:p w14:paraId="49B7AE55" w14:textId="77777777" w:rsidR="002B5704" w:rsidRDefault="002B5704" w:rsidP="006D241D">
            <w:pPr>
              <w:keepNext/>
              <w:rPr>
                <w:noProof/>
                <w:lang w:eastAsia="en-AU"/>
              </w:rPr>
            </w:pPr>
          </w:p>
        </w:tc>
        <w:tc>
          <w:tcPr>
            <w:tcW w:w="2971" w:type="dxa"/>
            <w:gridSpan w:val="2"/>
            <w:tcBorders>
              <w:bottom w:val="single" w:sz="4" w:space="0" w:color="BCBEC0"/>
            </w:tcBorders>
          </w:tcPr>
          <w:p w14:paraId="26A7D26A" w14:textId="77777777" w:rsidR="002B5704" w:rsidRPr="00A8226F" w:rsidRDefault="002B5704" w:rsidP="006D241D">
            <w:r>
              <w:t>Project Management</w:t>
            </w:r>
          </w:p>
        </w:tc>
        <w:tc>
          <w:tcPr>
            <w:tcW w:w="4770" w:type="dxa"/>
            <w:tcBorders>
              <w:bottom w:val="single" w:sz="4" w:space="0" w:color="BCBEC0"/>
            </w:tcBorders>
          </w:tcPr>
          <w:p w14:paraId="0F3FF6B1" w14:textId="77777777" w:rsidR="002B5704" w:rsidRDefault="002B5704" w:rsidP="002B5704">
            <w:r>
              <w:t>Understand and apply effective planning, coordination and control methods</w:t>
            </w:r>
          </w:p>
        </w:tc>
        <w:tc>
          <w:tcPr>
            <w:tcW w:w="1606" w:type="dxa"/>
            <w:tcBorders>
              <w:bottom w:val="single" w:sz="4" w:space="0" w:color="BCBEC0"/>
            </w:tcBorders>
          </w:tcPr>
          <w:p w14:paraId="23E79109" w14:textId="77777777" w:rsidR="002B5704" w:rsidRDefault="002B5704" w:rsidP="006D241D">
            <w:pPr>
              <w:pStyle w:val="TableBullet"/>
              <w:numPr>
                <w:ilvl w:val="0"/>
                <w:numId w:val="0"/>
              </w:numPr>
              <w:jc w:val="both"/>
            </w:pPr>
            <w:r>
              <w:t>Advanced</w:t>
            </w:r>
          </w:p>
        </w:tc>
      </w:tr>
      <w:tr w:rsidR="002B5704" w:rsidRPr="00C978B9" w14:paraId="22C33EA7" w14:textId="77777777" w:rsidTr="006D241D">
        <w:tc>
          <w:tcPr>
            <w:tcW w:w="1406" w:type="dxa"/>
            <w:vMerge w:val="restart"/>
            <w:tcBorders>
              <w:bottom w:val="single" w:sz="4" w:space="0" w:color="BCBEC0"/>
            </w:tcBorders>
          </w:tcPr>
          <w:p w14:paraId="5D7068F5" w14:textId="77777777" w:rsidR="002B5704" w:rsidRDefault="002B5704" w:rsidP="006D241D">
            <w:pPr>
              <w:keepNext/>
            </w:pPr>
          </w:p>
          <w:p w14:paraId="3C77783D" w14:textId="77777777" w:rsidR="002B5704" w:rsidRPr="00C978B9" w:rsidRDefault="002B5704" w:rsidP="006D241D">
            <w:pPr>
              <w:keepNext/>
            </w:pPr>
            <w:r w:rsidRPr="00C978B9">
              <w:rPr>
                <w:noProof/>
                <w:lang w:eastAsia="en-AU"/>
              </w:rPr>
              <w:drawing>
                <wp:inline distT="0" distB="0" distL="0" distR="0" wp14:anchorId="0A358235" wp14:editId="41D0D43D">
                  <wp:extent cx="847725" cy="847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7537" cy="867537"/>
                          </a:xfrm>
                          <a:prstGeom prst="rect">
                            <a:avLst/>
                          </a:prstGeom>
                          <a:noFill/>
                          <a:ln>
                            <a:noFill/>
                          </a:ln>
                        </pic:spPr>
                      </pic:pic>
                    </a:graphicData>
                  </a:graphic>
                </wp:inline>
              </w:drawing>
            </w:r>
          </w:p>
        </w:tc>
        <w:tc>
          <w:tcPr>
            <w:tcW w:w="2971" w:type="dxa"/>
            <w:gridSpan w:val="2"/>
            <w:tcBorders>
              <w:bottom w:val="single" w:sz="4" w:space="0" w:color="BCBEC0"/>
            </w:tcBorders>
          </w:tcPr>
          <w:p w14:paraId="4E4C91F4" w14:textId="77777777" w:rsidR="002B5704" w:rsidRPr="00AA57E3" w:rsidRDefault="002B5704" w:rsidP="006D241D">
            <w:r>
              <w:t>Manage and Develop People</w:t>
            </w:r>
          </w:p>
        </w:tc>
        <w:tc>
          <w:tcPr>
            <w:tcW w:w="4770" w:type="dxa"/>
            <w:tcBorders>
              <w:bottom w:val="single" w:sz="4" w:space="0" w:color="BCBEC0"/>
            </w:tcBorders>
          </w:tcPr>
          <w:p w14:paraId="6A8816A7" w14:textId="77777777" w:rsidR="002B5704" w:rsidRPr="00AA57E3" w:rsidRDefault="002B5704" w:rsidP="002B5704">
            <w:r>
              <w:t>Engage and motivate staff, and develop capability and potential in others</w:t>
            </w:r>
          </w:p>
        </w:tc>
        <w:tc>
          <w:tcPr>
            <w:tcW w:w="1606" w:type="dxa"/>
            <w:tcBorders>
              <w:bottom w:val="single" w:sz="4" w:space="0" w:color="BCBEC0"/>
            </w:tcBorders>
          </w:tcPr>
          <w:p w14:paraId="01D9FCC8" w14:textId="77777777" w:rsidR="002B5704" w:rsidRDefault="002B5704" w:rsidP="006D241D">
            <w:pPr>
              <w:pStyle w:val="TableBullet"/>
              <w:numPr>
                <w:ilvl w:val="0"/>
                <w:numId w:val="0"/>
              </w:numPr>
              <w:jc w:val="both"/>
            </w:pPr>
            <w:r>
              <w:t>Advanced</w:t>
            </w:r>
          </w:p>
        </w:tc>
      </w:tr>
      <w:tr w:rsidR="002B5704" w:rsidRPr="00C978B9" w14:paraId="41B0CF97" w14:textId="77777777" w:rsidTr="006D241D">
        <w:tc>
          <w:tcPr>
            <w:tcW w:w="1406" w:type="dxa"/>
            <w:vMerge/>
            <w:tcBorders>
              <w:bottom w:val="single" w:sz="4" w:space="0" w:color="BCBEC0"/>
            </w:tcBorders>
          </w:tcPr>
          <w:p w14:paraId="374756C6" w14:textId="77777777" w:rsidR="002B5704" w:rsidRDefault="002B5704" w:rsidP="006D241D">
            <w:pPr>
              <w:keepNext/>
              <w:rPr>
                <w:noProof/>
                <w:lang w:eastAsia="en-AU"/>
              </w:rPr>
            </w:pPr>
          </w:p>
        </w:tc>
        <w:tc>
          <w:tcPr>
            <w:tcW w:w="2971" w:type="dxa"/>
            <w:gridSpan w:val="2"/>
            <w:tcBorders>
              <w:bottom w:val="single" w:sz="4" w:space="0" w:color="BCBEC0"/>
            </w:tcBorders>
          </w:tcPr>
          <w:p w14:paraId="46D8CD0F" w14:textId="77777777" w:rsidR="002B5704" w:rsidRPr="00A8226F" w:rsidRDefault="002B5704" w:rsidP="006D241D">
            <w:r>
              <w:t>Inspire Direction and Purpose</w:t>
            </w:r>
          </w:p>
        </w:tc>
        <w:tc>
          <w:tcPr>
            <w:tcW w:w="4770" w:type="dxa"/>
            <w:tcBorders>
              <w:bottom w:val="single" w:sz="4" w:space="0" w:color="BCBEC0"/>
            </w:tcBorders>
          </w:tcPr>
          <w:p w14:paraId="063F9E35" w14:textId="77777777" w:rsidR="002B5704" w:rsidRDefault="002B5704" w:rsidP="002B5704">
            <w:r>
              <w:t>Communicate goals, priorities and vision, and recognise achievements</w:t>
            </w:r>
          </w:p>
        </w:tc>
        <w:tc>
          <w:tcPr>
            <w:tcW w:w="1606" w:type="dxa"/>
            <w:tcBorders>
              <w:bottom w:val="single" w:sz="4" w:space="0" w:color="BCBEC0"/>
            </w:tcBorders>
          </w:tcPr>
          <w:p w14:paraId="51A4FDFE" w14:textId="77777777" w:rsidR="002B5704" w:rsidRDefault="002B5704" w:rsidP="006D241D">
            <w:pPr>
              <w:pStyle w:val="TableBullet"/>
              <w:numPr>
                <w:ilvl w:val="0"/>
                <w:numId w:val="0"/>
              </w:numPr>
              <w:jc w:val="both"/>
            </w:pPr>
            <w:r>
              <w:t>Advanced</w:t>
            </w:r>
          </w:p>
        </w:tc>
      </w:tr>
    </w:tbl>
    <w:p w14:paraId="3718B749" w14:textId="77777777" w:rsidR="004D15E4" w:rsidRPr="003927AE" w:rsidRDefault="004D15E4" w:rsidP="003927AE"/>
    <w:sectPr w:rsidR="004D15E4" w:rsidRPr="003927AE" w:rsidSect="009D747B">
      <w:headerReference w:type="default" r:id="rId20"/>
      <w:footerReference w:type="default" r:id="rId21"/>
      <w:headerReference w:type="first" r:id="rId22"/>
      <w:footerReference w:type="first" r:id="rId23"/>
      <w:pgSz w:w="12240" w:h="15840"/>
      <w:pgMar w:top="720" w:right="720" w:bottom="720" w:left="72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7AA5" w14:textId="77777777" w:rsidR="00EB4FA6" w:rsidRDefault="00EB4FA6" w:rsidP="00BB532F">
      <w:pPr>
        <w:spacing w:after="0" w:line="240" w:lineRule="auto"/>
      </w:pPr>
      <w:r>
        <w:separator/>
      </w:r>
    </w:p>
  </w:endnote>
  <w:endnote w:type="continuationSeparator" w:id="0">
    <w:p w14:paraId="61F7C27F" w14:textId="77777777" w:rsidR="00EB4FA6" w:rsidRDefault="00EB4FA6" w:rsidP="00BB532F">
      <w:pPr>
        <w:spacing w:after="0" w:line="240" w:lineRule="auto"/>
      </w:pPr>
      <w:r>
        <w:continuationSeparator/>
      </w:r>
    </w:p>
  </w:endnote>
  <w:endnote w:type="continuationNotice" w:id="1">
    <w:p w14:paraId="4A213B9D" w14:textId="77777777" w:rsidR="00EB4FA6" w:rsidRDefault="00EB4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56"/>
      <w:gridCol w:w="5234"/>
    </w:tblGrid>
    <w:tr w:rsidR="00C03AFD" w14:paraId="65BBA78A" w14:textId="77777777" w:rsidTr="00C03AFD">
      <w:tc>
        <w:tcPr>
          <w:tcW w:w="2250" w:type="pct"/>
          <w:vAlign w:val="center"/>
        </w:tcPr>
        <w:p w14:paraId="2C319EB1" w14:textId="487279E9" w:rsidR="00C03AFD" w:rsidRDefault="00C03AFD" w:rsidP="00C03AFD">
          <w:pPr>
            <w:pStyle w:val="Footer"/>
          </w:pPr>
          <w:r w:rsidRPr="00C03AFD">
            <w:rPr>
              <w:color w:val="928B81"/>
              <w:sz w:val="18"/>
            </w:rPr>
            <w:t>Role Description</w:t>
          </w:r>
          <w:r w:rsidR="00EE1300">
            <w:rPr>
              <w:color w:val="928B81"/>
              <w:sz w:val="18"/>
            </w:rPr>
            <w:t xml:space="preserve">: </w:t>
          </w:r>
          <w:r w:rsidR="00443BCB" w:rsidRPr="00443BCB">
            <w:rPr>
              <w:b/>
              <w:color w:val="928B81"/>
              <w:sz w:val="18"/>
            </w:rPr>
            <w:t>Chief Operating Officer</w:t>
          </w:r>
        </w:p>
      </w:tc>
      <w:tc>
        <w:tcPr>
          <w:tcW w:w="250" w:type="pct"/>
          <w:vAlign w:val="center"/>
        </w:tcPr>
        <w:p w14:paraId="06A1BAE8" w14:textId="3B72EB01" w:rsidR="00C03AFD" w:rsidRPr="00C03AFD" w:rsidRDefault="00C03AFD" w:rsidP="00C03AFD">
          <w:pPr>
            <w:pStyle w:val="Footer"/>
            <w:jc w:val="center"/>
            <w:rPr>
              <w:color w:val="928B81"/>
            </w:rPr>
          </w:pPr>
          <w:r w:rsidRPr="00C03AFD">
            <w:rPr>
              <w:noProof/>
              <w:color w:val="928B81"/>
              <w:sz w:val="18"/>
              <w:lang w:eastAsia="en-AU"/>
            </w:rPr>
            <w:fldChar w:fldCharType="begin"/>
          </w:r>
          <w:r w:rsidRPr="00C03AFD">
            <w:rPr>
              <w:noProof/>
              <w:color w:val="928B81"/>
              <w:sz w:val="18"/>
              <w:lang w:eastAsia="en-AU"/>
            </w:rPr>
            <w:instrText xml:space="preserve"> PAGE  \* Arabic </w:instrText>
          </w:r>
          <w:r w:rsidRPr="00C03AFD">
            <w:rPr>
              <w:noProof/>
              <w:color w:val="928B81"/>
              <w:sz w:val="18"/>
              <w:lang w:eastAsia="en-AU"/>
            </w:rPr>
            <w:fldChar w:fldCharType="separate"/>
          </w:r>
          <w:r w:rsidR="00E73089">
            <w:rPr>
              <w:noProof/>
              <w:color w:val="928B81"/>
              <w:sz w:val="18"/>
              <w:lang w:eastAsia="en-AU"/>
            </w:rPr>
            <w:t>5</w:t>
          </w:r>
          <w:r w:rsidRPr="00C03AFD">
            <w:rPr>
              <w:noProof/>
              <w:color w:val="928B81"/>
              <w:sz w:val="18"/>
              <w:lang w:eastAsia="en-AU"/>
            </w:rPr>
            <w:fldChar w:fldCharType="end"/>
          </w:r>
        </w:p>
      </w:tc>
      <w:tc>
        <w:tcPr>
          <w:tcW w:w="2350" w:type="pct"/>
        </w:tcPr>
        <w:p w14:paraId="058BF827" w14:textId="77777777" w:rsidR="00C03AFD" w:rsidRDefault="00C03AFD" w:rsidP="00C03AFD">
          <w:pPr>
            <w:pStyle w:val="Footer"/>
            <w:jc w:val="right"/>
          </w:pPr>
          <w:r>
            <w:rPr>
              <w:noProof/>
              <w:lang w:val="en-AU" w:eastAsia="en-AU"/>
            </w:rPr>
            <w:drawing>
              <wp:inline distT="0" distB="0" distL="0" distR="0" wp14:anchorId="5ADE14B3" wp14:editId="14CD0C85">
                <wp:extent cx="432000" cy="452144"/>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452144"/>
                        </a:xfrm>
                        <a:prstGeom prst="rect">
                          <a:avLst/>
                        </a:prstGeom>
                      </pic:spPr>
                    </pic:pic>
                  </a:graphicData>
                </a:graphic>
              </wp:inline>
            </w:drawing>
          </w:r>
        </w:p>
      </w:tc>
    </w:tr>
  </w:tbl>
  <w:p w14:paraId="6B173BE3" w14:textId="77777777" w:rsidR="00C03AFD" w:rsidRDefault="00C03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0" w:type="dxa"/>
      <w:tblInd w:w="-90" w:type="dxa"/>
      <w:tblLayout w:type="fixed"/>
      <w:tblCellMar>
        <w:left w:w="0" w:type="dxa"/>
        <w:right w:w="0" w:type="dxa"/>
      </w:tblCellMar>
      <w:tblLook w:val="04A0" w:firstRow="1" w:lastRow="0" w:firstColumn="1" w:lastColumn="0" w:noHBand="0" w:noVBand="1"/>
    </w:tblPr>
    <w:tblGrid>
      <w:gridCol w:w="10005"/>
      <w:gridCol w:w="875"/>
    </w:tblGrid>
    <w:tr w:rsidR="00BB532F" w14:paraId="6C1D7CD9" w14:textId="77777777" w:rsidTr="0047547E">
      <w:trPr>
        <w:trHeight w:val="811"/>
      </w:trPr>
      <w:tc>
        <w:tcPr>
          <w:tcW w:w="10005" w:type="dxa"/>
          <w:vAlign w:val="bottom"/>
        </w:tcPr>
        <w:p w14:paraId="50DED707" w14:textId="017AFC1C" w:rsidR="00BB532F" w:rsidRPr="00051237" w:rsidRDefault="00BB532F" w:rsidP="006D241D">
          <w:pPr>
            <w:pStyle w:val="Footer"/>
            <w:tabs>
              <w:tab w:val="center" w:pos="5315"/>
            </w:tabs>
          </w:pPr>
          <w:r>
            <w:rPr>
              <w:color w:val="000000" w:themeColor="text1"/>
            </w:rPr>
            <w:tab/>
          </w:r>
          <w:r w:rsidR="009C12FA">
            <w:rPr>
              <w:color w:val="000000" w:themeColor="text1"/>
            </w:rPr>
            <w:ptab w:relativeTo="indent" w:alignment="center" w:leader="none"/>
          </w:r>
          <w:r>
            <w:rPr>
              <w:noProof/>
              <w:lang w:eastAsia="en-AU"/>
            </w:rPr>
            <w:fldChar w:fldCharType="begin"/>
          </w:r>
          <w:r>
            <w:rPr>
              <w:noProof/>
              <w:lang w:eastAsia="en-AU"/>
            </w:rPr>
            <w:instrText xml:space="preserve"> PAGE  \* Arabic </w:instrText>
          </w:r>
          <w:r>
            <w:rPr>
              <w:noProof/>
              <w:lang w:eastAsia="en-AU"/>
            </w:rPr>
            <w:fldChar w:fldCharType="separate"/>
          </w:r>
          <w:r w:rsidR="00E73089">
            <w:rPr>
              <w:noProof/>
              <w:lang w:eastAsia="en-AU"/>
            </w:rPr>
            <w:t>1</w:t>
          </w:r>
          <w:r>
            <w:rPr>
              <w:noProof/>
              <w:lang w:eastAsia="en-AU"/>
            </w:rPr>
            <w:fldChar w:fldCharType="end"/>
          </w:r>
        </w:p>
      </w:tc>
      <w:tc>
        <w:tcPr>
          <w:tcW w:w="875" w:type="dxa"/>
        </w:tcPr>
        <w:p w14:paraId="0FEC0236" w14:textId="77777777" w:rsidR="00BB532F" w:rsidRDefault="003A1185" w:rsidP="006D241D">
          <w:pPr>
            <w:pStyle w:val="Footer"/>
            <w:jc w:val="right"/>
          </w:pPr>
          <w:r>
            <w:rPr>
              <w:noProof/>
              <w:lang w:val="en-AU" w:eastAsia="en-AU"/>
            </w:rPr>
            <w:drawing>
              <wp:inline distT="0" distB="0" distL="0" distR="0" wp14:anchorId="0A54FAC3" wp14:editId="7924B52C">
                <wp:extent cx="555625" cy="5816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_Work_For_NSW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625" cy="581660"/>
                        </a:xfrm>
                        <a:prstGeom prst="rect">
                          <a:avLst/>
                        </a:prstGeom>
                      </pic:spPr>
                    </pic:pic>
                  </a:graphicData>
                </a:graphic>
              </wp:inline>
            </w:drawing>
          </w:r>
        </w:p>
      </w:tc>
    </w:tr>
  </w:tbl>
  <w:p w14:paraId="424B899E" w14:textId="77777777" w:rsidR="00BB532F" w:rsidRDefault="00BB5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F438" w14:textId="77777777" w:rsidR="00EB4FA6" w:rsidRDefault="00EB4FA6" w:rsidP="00BB532F">
      <w:pPr>
        <w:spacing w:after="0" w:line="240" w:lineRule="auto"/>
      </w:pPr>
      <w:r>
        <w:separator/>
      </w:r>
    </w:p>
  </w:footnote>
  <w:footnote w:type="continuationSeparator" w:id="0">
    <w:p w14:paraId="143087EF" w14:textId="77777777" w:rsidR="00EB4FA6" w:rsidRDefault="00EB4FA6" w:rsidP="00BB532F">
      <w:pPr>
        <w:spacing w:after="0" w:line="240" w:lineRule="auto"/>
      </w:pPr>
      <w:r>
        <w:continuationSeparator/>
      </w:r>
    </w:p>
  </w:footnote>
  <w:footnote w:type="continuationNotice" w:id="1">
    <w:p w14:paraId="16AAC7EC" w14:textId="77777777" w:rsidR="00EB4FA6" w:rsidRDefault="00EB4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9B12" w14:textId="77777777" w:rsidR="00EB4FA6" w:rsidRDefault="00EB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2"/>
      <w:gridCol w:w="3688"/>
    </w:tblGrid>
    <w:tr w:rsidR="007E2FB7" w14:paraId="029ED57D" w14:textId="77777777" w:rsidTr="00894A73">
      <w:trPr>
        <w:trHeight w:val="813"/>
      </w:trPr>
      <w:tc>
        <w:tcPr>
          <w:tcW w:w="7082" w:type="dxa"/>
        </w:tcPr>
        <w:p w14:paraId="332FA071" w14:textId="77777777" w:rsidR="007E2FB7" w:rsidRDefault="007E2FB7" w:rsidP="001C2248">
          <w:pPr>
            <w:pStyle w:val="TitleSub"/>
            <w:spacing w:after="0"/>
            <w:rPr>
              <w:rFonts w:ascii="Arial" w:hAnsi="Arial" w:cs="Arial"/>
            </w:rPr>
          </w:pPr>
          <w:r w:rsidRPr="001E49B2">
            <w:rPr>
              <w:rFonts w:ascii="Arial" w:hAnsi="Arial" w:cs="Arial"/>
            </w:rPr>
            <w:t>Role Description</w:t>
          </w:r>
        </w:p>
        <w:p w14:paraId="452AEA8A" w14:textId="77777777" w:rsidR="00935EE2" w:rsidRPr="00935EE2" w:rsidRDefault="00935EE2" w:rsidP="001C2248">
          <w:pPr>
            <w:pStyle w:val="TitleSub"/>
            <w:spacing w:after="0"/>
            <w:rPr>
              <w:rFonts w:ascii="Arial" w:hAnsi="Arial" w:cs="Arial"/>
              <w:b/>
            </w:rPr>
          </w:pPr>
          <w:r w:rsidRPr="00935EE2">
            <w:rPr>
              <w:rFonts w:ascii="Arial" w:hAnsi="Arial" w:cs="Arial"/>
              <w:b/>
            </w:rPr>
            <w:t>Chief Operating Officer</w:t>
          </w:r>
        </w:p>
      </w:tc>
      <w:tc>
        <w:tcPr>
          <w:tcW w:w="3688" w:type="dxa"/>
        </w:tcPr>
        <w:p w14:paraId="1A7481A8" w14:textId="77777777" w:rsidR="000477E1" w:rsidRPr="000477E1" w:rsidRDefault="000477E1" w:rsidP="00030565">
          <w:pPr>
            <w:jc w:val="right"/>
          </w:pPr>
          <w:r>
            <w:rPr>
              <w:noProof/>
              <w:lang w:val="en-AU" w:eastAsia="en-AU"/>
            </w:rPr>
            <w:drawing>
              <wp:inline distT="0" distB="0" distL="0" distR="0" wp14:anchorId="1965F69A" wp14:editId="77B232D5">
                <wp:extent cx="1562100"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1dc9e1-34ac-ea11-90ff-002590979d77.png"/>
                        <pic:cNvPicPr/>
                      </pic:nvPicPr>
                      <pic:blipFill>
                        <a:blip r:embed="rId1" cstate="print"/>
                        <a:stretch>
                          <a:fillRect/>
                        </a:stretch>
                      </pic:blipFill>
                      <pic:spPr>
                        <a:xfrm>
                          <a:off x="0" y="0"/>
                          <a:ext cx="1562100" cy="552450"/>
                        </a:xfrm>
                        <a:prstGeom prst="rect">
                          <a:avLst/>
                        </a:prstGeom>
                      </pic:spPr>
                    </pic:pic>
                  </a:graphicData>
                </a:graphic>
              </wp:inline>
            </w:drawing>
          </w:r>
        </w:p>
      </w:tc>
    </w:tr>
  </w:tbl>
  <w:p w14:paraId="2270CC84" w14:textId="77777777" w:rsidR="007E2FB7" w:rsidRDefault="007E2FB7" w:rsidP="00A21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C1C28"/>
    <w:multiLevelType w:val="hybridMultilevel"/>
    <w:tmpl w:val="A70E3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1C57AD"/>
    <w:multiLevelType w:val="hybridMultilevel"/>
    <w:tmpl w:val="BB76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316"/>
    <w:multiLevelType w:val="hybridMultilevel"/>
    <w:tmpl w:val="31C8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E0F7F"/>
    <w:multiLevelType w:val="hybridMultilevel"/>
    <w:tmpl w:val="AF920406"/>
    <w:lvl w:ilvl="0" w:tplc="A8007EB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72E7E"/>
    <w:multiLevelType w:val="hybridMultilevel"/>
    <w:tmpl w:val="A73E8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1B53A3"/>
    <w:multiLevelType w:val="hybridMultilevel"/>
    <w:tmpl w:val="AB58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B2771E"/>
    <w:multiLevelType w:val="hybridMultilevel"/>
    <w:tmpl w:val="64A6D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5B28B8"/>
    <w:multiLevelType w:val="hybridMultilevel"/>
    <w:tmpl w:val="1B4A42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C6526C"/>
    <w:multiLevelType w:val="hybridMultilevel"/>
    <w:tmpl w:val="3A0EA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04D23D8"/>
    <w:multiLevelType w:val="hybridMultilevel"/>
    <w:tmpl w:val="83025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DE2AAA"/>
    <w:multiLevelType w:val="hybridMultilevel"/>
    <w:tmpl w:val="CCB61D5E"/>
    <w:lvl w:ilvl="0" w:tplc="0798AC28">
      <w:start w:val="1"/>
      <w:numFmt w:val="bullet"/>
      <w:lvlText w:val=""/>
      <w:lvlJc w:val="left"/>
      <w:pPr>
        <w:ind w:left="720" w:hanging="360"/>
      </w:pPr>
      <w:rPr>
        <w:rFonts w:ascii="Symbol" w:hAnsi="Symbol" w:hint="default"/>
      </w:rPr>
    </w:lvl>
    <w:lvl w:ilvl="1" w:tplc="E99EDA3A">
      <w:start w:val="1"/>
      <w:numFmt w:val="bullet"/>
      <w:lvlText w:val="o"/>
      <w:lvlJc w:val="left"/>
      <w:pPr>
        <w:ind w:left="1440" w:hanging="360"/>
      </w:pPr>
      <w:rPr>
        <w:rFonts w:ascii="Courier New" w:hAnsi="Courier New" w:hint="default"/>
      </w:rPr>
    </w:lvl>
    <w:lvl w:ilvl="2" w:tplc="81D8D136">
      <w:start w:val="1"/>
      <w:numFmt w:val="bullet"/>
      <w:lvlText w:val=""/>
      <w:lvlJc w:val="left"/>
      <w:pPr>
        <w:ind w:left="2160" w:hanging="360"/>
      </w:pPr>
      <w:rPr>
        <w:rFonts w:ascii="Wingdings" w:hAnsi="Wingdings" w:hint="default"/>
      </w:rPr>
    </w:lvl>
    <w:lvl w:ilvl="3" w:tplc="8D4ADBF4">
      <w:start w:val="1"/>
      <w:numFmt w:val="bullet"/>
      <w:lvlText w:val=""/>
      <w:lvlJc w:val="left"/>
      <w:pPr>
        <w:ind w:left="2880" w:hanging="360"/>
      </w:pPr>
      <w:rPr>
        <w:rFonts w:ascii="Symbol" w:hAnsi="Symbol" w:hint="default"/>
      </w:rPr>
    </w:lvl>
    <w:lvl w:ilvl="4" w:tplc="B65A375E">
      <w:start w:val="1"/>
      <w:numFmt w:val="bullet"/>
      <w:lvlText w:val="o"/>
      <w:lvlJc w:val="left"/>
      <w:pPr>
        <w:ind w:left="3600" w:hanging="360"/>
      </w:pPr>
      <w:rPr>
        <w:rFonts w:ascii="Courier New" w:hAnsi="Courier New" w:hint="default"/>
      </w:rPr>
    </w:lvl>
    <w:lvl w:ilvl="5" w:tplc="95AEA44E">
      <w:start w:val="1"/>
      <w:numFmt w:val="bullet"/>
      <w:lvlText w:val=""/>
      <w:lvlJc w:val="left"/>
      <w:pPr>
        <w:ind w:left="4320" w:hanging="360"/>
      </w:pPr>
      <w:rPr>
        <w:rFonts w:ascii="Wingdings" w:hAnsi="Wingdings" w:hint="default"/>
      </w:rPr>
    </w:lvl>
    <w:lvl w:ilvl="6" w:tplc="D3E6DDC0">
      <w:start w:val="1"/>
      <w:numFmt w:val="bullet"/>
      <w:lvlText w:val=""/>
      <w:lvlJc w:val="left"/>
      <w:pPr>
        <w:ind w:left="5040" w:hanging="360"/>
      </w:pPr>
      <w:rPr>
        <w:rFonts w:ascii="Symbol" w:hAnsi="Symbol" w:hint="default"/>
      </w:rPr>
    </w:lvl>
    <w:lvl w:ilvl="7" w:tplc="93FA65C8">
      <w:start w:val="1"/>
      <w:numFmt w:val="bullet"/>
      <w:lvlText w:val="o"/>
      <w:lvlJc w:val="left"/>
      <w:pPr>
        <w:ind w:left="5760" w:hanging="360"/>
      </w:pPr>
      <w:rPr>
        <w:rFonts w:ascii="Courier New" w:hAnsi="Courier New" w:hint="default"/>
      </w:rPr>
    </w:lvl>
    <w:lvl w:ilvl="8" w:tplc="07603698">
      <w:start w:val="1"/>
      <w:numFmt w:val="bullet"/>
      <w:lvlText w:val=""/>
      <w:lvlJc w:val="left"/>
      <w:pPr>
        <w:ind w:left="6480" w:hanging="360"/>
      </w:pPr>
      <w:rPr>
        <w:rFonts w:ascii="Wingdings" w:hAnsi="Wingdings" w:hint="default"/>
      </w:rPr>
    </w:lvl>
  </w:abstractNum>
  <w:num w:numId="1" w16cid:durableId="194314922">
    <w:abstractNumId w:val="12"/>
  </w:num>
  <w:num w:numId="2" w16cid:durableId="1818187451">
    <w:abstractNumId w:val="0"/>
  </w:num>
  <w:num w:numId="3" w16cid:durableId="1328363205">
    <w:abstractNumId w:val="3"/>
  </w:num>
  <w:num w:numId="4" w16cid:durableId="582761384">
    <w:abstractNumId w:val="5"/>
  </w:num>
  <w:num w:numId="5" w16cid:durableId="467631423">
    <w:abstractNumId w:val="11"/>
  </w:num>
  <w:num w:numId="6" w16cid:durableId="1616517331">
    <w:abstractNumId w:val="0"/>
  </w:num>
  <w:num w:numId="7" w16cid:durableId="2118865878">
    <w:abstractNumId w:val="0"/>
  </w:num>
  <w:num w:numId="8" w16cid:durableId="683021073">
    <w:abstractNumId w:val="0"/>
  </w:num>
  <w:num w:numId="9" w16cid:durableId="489101098">
    <w:abstractNumId w:val="0"/>
  </w:num>
  <w:num w:numId="10" w16cid:durableId="1382828579">
    <w:abstractNumId w:val="0"/>
  </w:num>
  <w:num w:numId="11" w16cid:durableId="2014258653">
    <w:abstractNumId w:val="6"/>
  </w:num>
  <w:num w:numId="12" w16cid:durableId="184756661">
    <w:abstractNumId w:val="8"/>
  </w:num>
  <w:num w:numId="13" w16cid:durableId="1424062529">
    <w:abstractNumId w:val="7"/>
  </w:num>
  <w:num w:numId="14" w16cid:durableId="1462068892">
    <w:abstractNumId w:val="4"/>
  </w:num>
  <w:num w:numId="15" w16cid:durableId="1488207857">
    <w:abstractNumId w:val="9"/>
  </w:num>
  <w:num w:numId="16" w16cid:durableId="2038657819">
    <w:abstractNumId w:val="10"/>
  </w:num>
  <w:num w:numId="17" w16cid:durableId="1936594800">
    <w:abstractNumId w:val="1"/>
  </w:num>
  <w:num w:numId="18" w16cid:durableId="85854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2F"/>
    <w:rsid w:val="00005219"/>
    <w:rsid w:val="0001016C"/>
    <w:rsid w:val="0001706E"/>
    <w:rsid w:val="00020023"/>
    <w:rsid w:val="00022223"/>
    <w:rsid w:val="00024E73"/>
    <w:rsid w:val="00026543"/>
    <w:rsid w:val="00027E23"/>
    <w:rsid w:val="00030565"/>
    <w:rsid w:val="0003263C"/>
    <w:rsid w:val="00035639"/>
    <w:rsid w:val="0003564E"/>
    <w:rsid w:val="00037FD5"/>
    <w:rsid w:val="000411F6"/>
    <w:rsid w:val="000477E1"/>
    <w:rsid w:val="00060B58"/>
    <w:rsid w:val="000645C8"/>
    <w:rsid w:val="00067161"/>
    <w:rsid w:val="00071332"/>
    <w:rsid w:val="000840F5"/>
    <w:rsid w:val="000A2621"/>
    <w:rsid w:val="000C00E5"/>
    <w:rsid w:val="000C3CC8"/>
    <w:rsid w:val="000D12B3"/>
    <w:rsid w:val="000D799A"/>
    <w:rsid w:val="000F231F"/>
    <w:rsid w:val="00104EC7"/>
    <w:rsid w:val="00114448"/>
    <w:rsid w:val="00116296"/>
    <w:rsid w:val="001336E8"/>
    <w:rsid w:val="0013413E"/>
    <w:rsid w:val="00134F5E"/>
    <w:rsid w:val="00137502"/>
    <w:rsid w:val="00153F10"/>
    <w:rsid w:val="00162560"/>
    <w:rsid w:val="00165754"/>
    <w:rsid w:val="001671DC"/>
    <w:rsid w:val="00172DFE"/>
    <w:rsid w:val="0018091E"/>
    <w:rsid w:val="001815E8"/>
    <w:rsid w:val="00185ABC"/>
    <w:rsid w:val="00194A32"/>
    <w:rsid w:val="00194E98"/>
    <w:rsid w:val="00194EDE"/>
    <w:rsid w:val="001A00F1"/>
    <w:rsid w:val="001A1AA1"/>
    <w:rsid w:val="001A1EC8"/>
    <w:rsid w:val="001A4F0B"/>
    <w:rsid w:val="001B1F0F"/>
    <w:rsid w:val="001B5DFD"/>
    <w:rsid w:val="001B75A6"/>
    <w:rsid w:val="001C0E5F"/>
    <w:rsid w:val="001C2248"/>
    <w:rsid w:val="001C23F4"/>
    <w:rsid w:val="001C5166"/>
    <w:rsid w:val="001C5A46"/>
    <w:rsid w:val="001D097C"/>
    <w:rsid w:val="001E0553"/>
    <w:rsid w:val="001E2792"/>
    <w:rsid w:val="001E27DB"/>
    <w:rsid w:val="001E49B2"/>
    <w:rsid w:val="001F2503"/>
    <w:rsid w:val="001F4B2B"/>
    <w:rsid w:val="00201E8B"/>
    <w:rsid w:val="00205A8A"/>
    <w:rsid w:val="00211F68"/>
    <w:rsid w:val="002136DE"/>
    <w:rsid w:val="002163D1"/>
    <w:rsid w:val="00231614"/>
    <w:rsid w:val="00237421"/>
    <w:rsid w:val="00240A8E"/>
    <w:rsid w:val="00263ACB"/>
    <w:rsid w:val="00266912"/>
    <w:rsid w:val="00270ABE"/>
    <w:rsid w:val="00280887"/>
    <w:rsid w:val="0028314F"/>
    <w:rsid w:val="00287C54"/>
    <w:rsid w:val="002A648F"/>
    <w:rsid w:val="002B0B83"/>
    <w:rsid w:val="002B1F76"/>
    <w:rsid w:val="002B5704"/>
    <w:rsid w:val="002C2823"/>
    <w:rsid w:val="002C616A"/>
    <w:rsid w:val="002D1428"/>
    <w:rsid w:val="002D336D"/>
    <w:rsid w:val="002D36BB"/>
    <w:rsid w:val="00300C40"/>
    <w:rsid w:val="00301747"/>
    <w:rsid w:val="00315BE8"/>
    <w:rsid w:val="00325E9D"/>
    <w:rsid w:val="00327F5C"/>
    <w:rsid w:val="00336011"/>
    <w:rsid w:val="00340ADC"/>
    <w:rsid w:val="00343491"/>
    <w:rsid w:val="00345199"/>
    <w:rsid w:val="00346D51"/>
    <w:rsid w:val="00351826"/>
    <w:rsid w:val="00351C3F"/>
    <w:rsid w:val="00351D50"/>
    <w:rsid w:val="00361F4E"/>
    <w:rsid w:val="00372A99"/>
    <w:rsid w:val="00373737"/>
    <w:rsid w:val="00373FD0"/>
    <w:rsid w:val="00374BAF"/>
    <w:rsid w:val="00375289"/>
    <w:rsid w:val="00377118"/>
    <w:rsid w:val="003927AE"/>
    <w:rsid w:val="0039395B"/>
    <w:rsid w:val="00394F4D"/>
    <w:rsid w:val="003A1185"/>
    <w:rsid w:val="003A2AFA"/>
    <w:rsid w:val="003A3538"/>
    <w:rsid w:val="003B0C3C"/>
    <w:rsid w:val="003B0F42"/>
    <w:rsid w:val="003B403A"/>
    <w:rsid w:val="003C00FD"/>
    <w:rsid w:val="003C031F"/>
    <w:rsid w:val="003C1D4E"/>
    <w:rsid w:val="003C2846"/>
    <w:rsid w:val="003C5EB3"/>
    <w:rsid w:val="003D5227"/>
    <w:rsid w:val="003E2663"/>
    <w:rsid w:val="00411F3E"/>
    <w:rsid w:val="00412765"/>
    <w:rsid w:val="0041525E"/>
    <w:rsid w:val="00416D58"/>
    <w:rsid w:val="004203B4"/>
    <w:rsid w:val="004209F6"/>
    <w:rsid w:val="00436621"/>
    <w:rsid w:val="00442732"/>
    <w:rsid w:val="00443BCB"/>
    <w:rsid w:val="0045299A"/>
    <w:rsid w:val="004650B3"/>
    <w:rsid w:val="00466287"/>
    <w:rsid w:val="0047547E"/>
    <w:rsid w:val="00477EB1"/>
    <w:rsid w:val="00492AA6"/>
    <w:rsid w:val="004951A1"/>
    <w:rsid w:val="00497EC1"/>
    <w:rsid w:val="004C45E2"/>
    <w:rsid w:val="004D0C22"/>
    <w:rsid w:val="004D15E4"/>
    <w:rsid w:val="004D20F2"/>
    <w:rsid w:val="004D27C8"/>
    <w:rsid w:val="004D68A6"/>
    <w:rsid w:val="004E44A5"/>
    <w:rsid w:val="004E474E"/>
    <w:rsid w:val="004E7F32"/>
    <w:rsid w:val="00502DBF"/>
    <w:rsid w:val="00506B3A"/>
    <w:rsid w:val="00521D19"/>
    <w:rsid w:val="00523CFF"/>
    <w:rsid w:val="00527FCF"/>
    <w:rsid w:val="005307BA"/>
    <w:rsid w:val="00530E2D"/>
    <w:rsid w:val="0054241F"/>
    <w:rsid w:val="00545AC6"/>
    <w:rsid w:val="00551038"/>
    <w:rsid w:val="005616B2"/>
    <w:rsid w:val="0057073B"/>
    <w:rsid w:val="005830B5"/>
    <w:rsid w:val="0059035B"/>
    <w:rsid w:val="00592092"/>
    <w:rsid w:val="005A397B"/>
    <w:rsid w:val="005B10E1"/>
    <w:rsid w:val="005B5053"/>
    <w:rsid w:val="005C632F"/>
    <w:rsid w:val="005C7AF5"/>
    <w:rsid w:val="005D4AF1"/>
    <w:rsid w:val="005D71EA"/>
    <w:rsid w:val="005E6C59"/>
    <w:rsid w:val="005E75FC"/>
    <w:rsid w:val="005F3D2A"/>
    <w:rsid w:val="005F4B69"/>
    <w:rsid w:val="005F5FD1"/>
    <w:rsid w:val="005F7EE8"/>
    <w:rsid w:val="00600C7E"/>
    <w:rsid w:val="006022B4"/>
    <w:rsid w:val="00603D53"/>
    <w:rsid w:val="00612673"/>
    <w:rsid w:val="00612AFA"/>
    <w:rsid w:val="00614552"/>
    <w:rsid w:val="00621D45"/>
    <w:rsid w:val="00623950"/>
    <w:rsid w:val="00626492"/>
    <w:rsid w:val="0063544E"/>
    <w:rsid w:val="00640189"/>
    <w:rsid w:val="006538BF"/>
    <w:rsid w:val="006539CA"/>
    <w:rsid w:val="00674D4C"/>
    <w:rsid w:val="00683870"/>
    <w:rsid w:val="00695EAB"/>
    <w:rsid w:val="006A2280"/>
    <w:rsid w:val="006A2A7F"/>
    <w:rsid w:val="006A3920"/>
    <w:rsid w:val="006A51AF"/>
    <w:rsid w:val="006B723B"/>
    <w:rsid w:val="006C2473"/>
    <w:rsid w:val="006C4218"/>
    <w:rsid w:val="006C78B3"/>
    <w:rsid w:val="006D1FBC"/>
    <w:rsid w:val="006D241D"/>
    <w:rsid w:val="006E28E7"/>
    <w:rsid w:val="006F6652"/>
    <w:rsid w:val="006F7124"/>
    <w:rsid w:val="006F7FA4"/>
    <w:rsid w:val="00701F8B"/>
    <w:rsid w:val="007041EA"/>
    <w:rsid w:val="0072061A"/>
    <w:rsid w:val="007249EC"/>
    <w:rsid w:val="00735B28"/>
    <w:rsid w:val="00735E89"/>
    <w:rsid w:val="00742966"/>
    <w:rsid w:val="0075293B"/>
    <w:rsid w:val="00753EEE"/>
    <w:rsid w:val="00767553"/>
    <w:rsid w:val="007736B4"/>
    <w:rsid w:val="00773975"/>
    <w:rsid w:val="00776DCB"/>
    <w:rsid w:val="00780299"/>
    <w:rsid w:val="007862DE"/>
    <w:rsid w:val="00786A0F"/>
    <w:rsid w:val="0079076A"/>
    <w:rsid w:val="00791BA8"/>
    <w:rsid w:val="00792A3E"/>
    <w:rsid w:val="00794CC1"/>
    <w:rsid w:val="00794E0E"/>
    <w:rsid w:val="00795244"/>
    <w:rsid w:val="007A641C"/>
    <w:rsid w:val="007B32AB"/>
    <w:rsid w:val="007B7C1F"/>
    <w:rsid w:val="007C0486"/>
    <w:rsid w:val="007C21C8"/>
    <w:rsid w:val="007D0444"/>
    <w:rsid w:val="007D0816"/>
    <w:rsid w:val="007D0E2E"/>
    <w:rsid w:val="007E2FB7"/>
    <w:rsid w:val="007E77DC"/>
    <w:rsid w:val="007F7D2F"/>
    <w:rsid w:val="00801E41"/>
    <w:rsid w:val="008044BB"/>
    <w:rsid w:val="00805561"/>
    <w:rsid w:val="00806FE1"/>
    <w:rsid w:val="00807ED1"/>
    <w:rsid w:val="00817B11"/>
    <w:rsid w:val="008203EE"/>
    <w:rsid w:val="008267A0"/>
    <w:rsid w:val="008308A7"/>
    <w:rsid w:val="0083547C"/>
    <w:rsid w:val="00843197"/>
    <w:rsid w:val="008476E6"/>
    <w:rsid w:val="0085706D"/>
    <w:rsid w:val="00860904"/>
    <w:rsid w:val="00861804"/>
    <w:rsid w:val="00894A73"/>
    <w:rsid w:val="00895190"/>
    <w:rsid w:val="0089597F"/>
    <w:rsid w:val="008A0EBB"/>
    <w:rsid w:val="008A13AC"/>
    <w:rsid w:val="008A4596"/>
    <w:rsid w:val="008B2BE2"/>
    <w:rsid w:val="008B74C1"/>
    <w:rsid w:val="008C0B4D"/>
    <w:rsid w:val="008C37C8"/>
    <w:rsid w:val="008D7766"/>
    <w:rsid w:val="008E08E3"/>
    <w:rsid w:val="008F23E9"/>
    <w:rsid w:val="00902EC0"/>
    <w:rsid w:val="009077E2"/>
    <w:rsid w:val="00910F45"/>
    <w:rsid w:val="00911725"/>
    <w:rsid w:val="00917E5E"/>
    <w:rsid w:val="00926AD1"/>
    <w:rsid w:val="009351E9"/>
    <w:rsid w:val="00935EE2"/>
    <w:rsid w:val="00940C04"/>
    <w:rsid w:val="009478AB"/>
    <w:rsid w:val="009523EC"/>
    <w:rsid w:val="00956E94"/>
    <w:rsid w:val="00957666"/>
    <w:rsid w:val="009614B8"/>
    <w:rsid w:val="00963288"/>
    <w:rsid w:val="00964A6C"/>
    <w:rsid w:val="00970179"/>
    <w:rsid w:val="00977E40"/>
    <w:rsid w:val="00981D06"/>
    <w:rsid w:val="00982D33"/>
    <w:rsid w:val="00985984"/>
    <w:rsid w:val="00994DCE"/>
    <w:rsid w:val="0099587E"/>
    <w:rsid w:val="009979FA"/>
    <w:rsid w:val="009B3103"/>
    <w:rsid w:val="009B74D9"/>
    <w:rsid w:val="009C12FA"/>
    <w:rsid w:val="009D72FE"/>
    <w:rsid w:val="009D747B"/>
    <w:rsid w:val="009E0386"/>
    <w:rsid w:val="009F61B1"/>
    <w:rsid w:val="00A00C30"/>
    <w:rsid w:val="00A02AEF"/>
    <w:rsid w:val="00A14A03"/>
    <w:rsid w:val="00A2072F"/>
    <w:rsid w:val="00A2122C"/>
    <w:rsid w:val="00A24264"/>
    <w:rsid w:val="00A32CD7"/>
    <w:rsid w:val="00A40DED"/>
    <w:rsid w:val="00A41E4E"/>
    <w:rsid w:val="00A4412E"/>
    <w:rsid w:val="00A47353"/>
    <w:rsid w:val="00A550B0"/>
    <w:rsid w:val="00A6675F"/>
    <w:rsid w:val="00A707E0"/>
    <w:rsid w:val="00A71A63"/>
    <w:rsid w:val="00A73C38"/>
    <w:rsid w:val="00A74798"/>
    <w:rsid w:val="00A77B0C"/>
    <w:rsid w:val="00A83932"/>
    <w:rsid w:val="00A85305"/>
    <w:rsid w:val="00A8686E"/>
    <w:rsid w:val="00A8732A"/>
    <w:rsid w:val="00A91173"/>
    <w:rsid w:val="00A970A2"/>
    <w:rsid w:val="00AA34F3"/>
    <w:rsid w:val="00AB0470"/>
    <w:rsid w:val="00AB120A"/>
    <w:rsid w:val="00AB50E4"/>
    <w:rsid w:val="00AC04D7"/>
    <w:rsid w:val="00AC0AEF"/>
    <w:rsid w:val="00AC1AF9"/>
    <w:rsid w:val="00AC742D"/>
    <w:rsid w:val="00AC7DC9"/>
    <w:rsid w:val="00AD7D39"/>
    <w:rsid w:val="00AE14D7"/>
    <w:rsid w:val="00AF01AC"/>
    <w:rsid w:val="00AF3FE7"/>
    <w:rsid w:val="00AF77F8"/>
    <w:rsid w:val="00AF7D0C"/>
    <w:rsid w:val="00B0574B"/>
    <w:rsid w:val="00B10AB7"/>
    <w:rsid w:val="00B2037F"/>
    <w:rsid w:val="00B262BC"/>
    <w:rsid w:val="00B32691"/>
    <w:rsid w:val="00B407F6"/>
    <w:rsid w:val="00B44CFB"/>
    <w:rsid w:val="00B623ED"/>
    <w:rsid w:val="00B635E3"/>
    <w:rsid w:val="00B72B4F"/>
    <w:rsid w:val="00B835C0"/>
    <w:rsid w:val="00B876AF"/>
    <w:rsid w:val="00B9055C"/>
    <w:rsid w:val="00B9098D"/>
    <w:rsid w:val="00BA759E"/>
    <w:rsid w:val="00BB12E9"/>
    <w:rsid w:val="00BB532F"/>
    <w:rsid w:val="00BC162D"/>
    <w:rsid w:val="00BC2FE4"/>
    <w:rsid w:val="00BD4DDA"/>
    <w:rsid w:val="00BE41D0"/>
    <w:rsid w:val="00BE4EAE"/>
    <w:rsid w:val="00BE6E24"/>
    <w:rsid w:val="00BF2D34"/>
    <w:rsid w:val="00BF5DDE"/>
    <w:rsid w:val="00C01CED"/>
    <w:rsid w:val="00C03AFD"/>
    <w:rsid w:val="00C23E79"/>
    <w:rsid w:val="00C271F9"/>
    <w:rsid w:val="00C470CB"/>
    <w:rsid w:val="00C517B6"/>
    <w:rsid w:val="00C63F0F"/>
    <w:rsid w:val="00C70636"/>
    <w:rsid w:val="00C70842"/>
    <w:rsid w:val="00C740FF"/>
    <w:rsid w:val="00C77701"/>
    <w:rsid w:val="00C77DC4"/>
    <w:rsid w:val="00C8578E"/>
    <w:rsid w:val="00C861F7"/>
    <w:rsid w:val="00C91F09"/>
    <w:rsid w:val="00CA3DE5"/>
    <w:rsid w:val="00CA76B5"/>
    <w:rsid w:val="00CC76F2"/>
    <w:rsid w:val="00CD323E"/>
    <w:rsid w:val="00CD3632"/>
    <w:rsid w:val="00CE105E"/>
    <w:rsid w:val="00CE1E5E"/>
    <w:rsid w:val="00CF2A85"/>
    <w:rsid w:val="00D312DA"/>
    <w:rsid w:val="00D351CC"/>
    <w:rsid w:val="00D55E55"/>
    <w:rsid w:val="00D6084A"/>
    <w:rsid w:val="00D64165"/>
    <w:rsid w:val="00D663ED"/>
    <w:rsid w:val="00D66BB4"/>
    <w:rsid w:val="00D67A17"/>
    <w:rsid w:val="00D74882"/>
    <w:rsid w:val="00D759EE"/>
    <w:rsid w:val="00D956AA"/>
    <w:rsid w:val="00DA31AC"/>
    <w:rsid w:val="00DA45C4"/>
    <w:rsid w:val="00DA543F"/>
    <w:rsid w:val="00DA6190"/>
    <w:rsid w:val="00DA68D9"/>
    <w:rsid w:val="00DC0173"/>
    <w:rsid w:val="00DC11EA"/>
    <w:rsid w:val="00DC4056"/>
    <w:rsid w:val="00DC6FA6"/>
    <w:rsid w:val="00DD0FE8"/>
    <w:rsid w:val="00DE2472"/>
    <w:rsid w:val="00DE498C"/>
    <w:rsid w:val="00DE58C6"/>
    <w:rsid w:val="00DE6C80"/>
    <w:rsid w:val="00DF1540"/>
    <w:rsid w:val="00DF2209"/>
    <w:rsid w:val="00DF5EB4"/>
    <w:rsid w:val="00E25470"/>
    <w:rsid w:val="00E27471"/>
    <w:rsid w:val="00E310E1"/>
    <w:rsid w:val="00E44564"/>
    <w:rsid w:val="00E55704"/>
    <w:rsid w:val="00E565B9"/>
    <w:rsid w:val="00E72D70"/>
    <w:rsid w:val="00E73089"/>
    <w:rsid w:val="00E747B4"/>
    <w:rsid w:val="00E80A46"/>
    <w:rsid w:val="00E83B02"/>
    <w:rsid w:val="00E85FA0"/>
    <w:rsid w:val="00E87997"/>
    <w:rsid w:val="00E95F38"/>
    <w:rsid w:val="00EA3D0A"/>
    <w:rsid w:val="00EA7689"/>
    <w:rsid w:val="00EA7A67"/>
    <w:rsid w:val="00EB4FA6"/>
    <w:rsid w:val="00EC0B04"/>
    <w:rsid w:val="00EC4A51"/>
    <w:rsid w:val="00EC5C1D"/>
    <w:rsid w:val="00ED176B"/>
    <w:rsid w:val="00ED5CC6"/>
    <w:rsid w:val="00ED7783"/>
    <w:rsid w:val="00ED7943"/>
    <w:rsid w:val="00EE1300"/>
    <w:rsid w:val="00EF159C"/>
    <w:rsid w:val="00F07C69"/>
    <w:rsid w:val="00F15669"/>
    <w:rsid w:val="00F31B35"/>
    <w:rsid w:val="00F339CD"/>
    <w:rsid w:val="00F33A43"/>
    <w:rsid w:val="00F41650"/>
    <w:rsid w:val="00F47143"/>
    <w:rsid w:val="00F83D95"/>
    <w:rsid w:val="00F9569D"/>
    <w:rsid w:val="00FA36E3"/>
    <w:rsid w:val="00FA6647"/>
    <w:rsid w:val="00FC2B46"/>
    <w:rsid w:val="00FC306C"/>
    <w:rsid w:val="00FC6457"/>
    <w:rsid w:val="00FC6ECA"/>
    <w:rsid w:val="00FD3076"/>
    <w:rsid w:val="00FD46BA"/>
    <w:rsid w:val="00FE1CBC"/>
    <w:rsid w:val="00FE2E58"/>
    <w:rsid w:val="00FE5458"/>
    <w:rsid w:val="00FF35CF"/>
    <w:rsid w:val="00FF467A"/>
    <w:rsid w:val="00FF6513"/>
    <w:rsid w:val="01A3CB8B"/>
    <w:rsid w:val="0268487B"/>
    <w:rsid w:val="054F1BF0"/>
    <w:rsid w:val="075CA909"/>
    <w:rsid w:val="076500FA"/>
    <w:rsid w:val="086D117B"/>
    <w:rsid w:val="087441D9"/>
    <w:rsid w:val="0A5BA3C8"/>
    <w:rsid w:val="0BB09A7B"/>
    <w:rsid w:val="0C36EA19"/>
    <w:rsid w:val="0D712BFF"/>
    <w:rsid w:val="0F3F921B"/>
    <w:rsid w:val="10C4DAC4"/>
    <w:rsid w:val="110CDBB8"/>
    <w:rsid w:val="122B74C5"/>
    <w:rsid w:val="12A7B3A1"/>
    <w:rsid w:val="133A7D37"/>
    <w:rsid w:val="15631587"/>
    <w:rsid w:val="16EC3FB3"/>
    <w:rsid w:val="177B24C4"/>
    <w:rsid w:val="1783124A"/>
    <w:rsid w:val="17C50955"/>
    <w:rsid w:val="18106F57"/>
    <w:rsid w:val="187A49B8"/>
    <w:rsid w:val="1C4E95E7"/>
    <w:rsid w:val="2055BAA9"/>
    <w:rsid w:val="22C5C4F1"/>
    <w:rsid w:val="2326BEEC"/>
    <w:rsid w:val="24ADDAE6"/>
    <w:rsid w:val="252AC240"/>
    <w:rsid w:val="258126D7"/>
    <w:rsid w:val="28B8C799"/>
    <w:rsid w:val="2C2ECD4A"/>
    <w:rsid w:val="2E087798"/>
    <w:rsid w:val="3029655D"/>
    <w:rsid w:val="30FC06BF"/>
    <w:rsid w:val="321B6237"/>
    <w:rsid w:val="32DBE8BB"/>
    <w:rsid w:val="33386411"/>
    <w:rsid w:val="33FAA5B4"/>
    <w:rsid w:val="34E498B9"/>
    <w:rsid w:val="35ED6F60"/>
    <w:rsid w:val="362196A8"/>
    <w:rsid w:val="3663A264"/>
    <w:rsid w:val="36EE2413"/>
    <w:rsid w:val="3A25C4D5"/>
    <w:rsid w:val="3A57230D"/>
    <w:rsid w:val="3A613C18"/>
    <w:rsid w:val="3BB81514"/>
    <w:rsid w:val="3C101BF4"/>
    <w:rsid w:val="3CE126BB"/>
    <w:rsid w:val="3D8D6ABD"/>
    <w:rsid w:val="3E5D4194"/>
    <w:rsid w:val="4732A709"/>
    <w:rsid w:val="4871DD89"/>
    <w:rsid w:val="48A0183E"/>
    <w:rsid w:val="4C5B462E"/>
    <w:rsid w:val="4F3BC7E1"/>
    <w:rsid w:val="4F5C6AA1"/>
    <w:rsid w:val="519D3EFA"/>
    <w:rsid w:val="537AF195"/>
    <w:rsid w:val="53F4B945"/>
    <w:rsid w:val="55390EFC"/>
    <w:rsid w:val="5618574D"/>
    <w:rsid w:val="565935DC"/>
    <w:rsid w:val="57D461C0"/>
    <w:rsid w:val="5B6754E1"/>
    <w:rsid w:val="5BC848B8"/>
    <w:rsid w:val="61A3D609"/>
    <w:rsid w:val="6694ED0F"/>
    <w:rsid w:val="6932A912"/>
    <w:rsid w:val="6A7CEA0E"/>
    <w:rsid w:val="6A800CFA"/>
    <w:rsid w:val="6A90C6DE"/>
    <w:rsid w:val="6B318FF2"/>
    <w:rsid w:val="6B5CE12F"/>
    <w:rsid w:val="6B7EB522"/>
    <w:rsid w:val="6C1CF4E3"/>
    <w:rsid w:val="6CE688B0"/>
    <w:rsid w:val="6D15B205"/>
    <w:rsid w:val="6F47B580"/>
    <w:rsid w:val="6FCF504F"/>
    <w:rsid w:val="6FEB8184"/>
    <w:rsid w:val="71A0D176"/>
    <w:rsid w:val="71B9F9D3"/>
    <w:rsid w:val="740DC6E3"/>
    <w:rsid w:val="75AE4BE4"/>
    <w:rsid w:val="76F7E8E1"/>
    <w:rsid w:val="773BDCEB"/>
    <w:rsid w:val="78D5131E"/>
    <w:rsid w:val="7B1CB90A"/>
    <w:rsid w:val="7E0315A2"/>
    <w:rsid w:val="7E1A3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0D0"/>
  <w15:docId w15:val="{495B1B35-39A7-4E62-8981-43248873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5"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04"/>
  </w:style>
  <w:style w:type="paragraph" w:styleId="Heading1">
    <w:name w:val="heading 1"/>
    <w:basedOn w:val="Normal"/>
    <w:next w:val="Normal"/>
    <w:link w:val="Heading1Char"/>
    <w:uiPriority w:val="1"/>
    <w:qFormat/>
    <w:rsid w:val="00994DCE"/>
    <w:pPr>
      <w:keepNext/>
      <w:spacing w:after="120" w:line="400" w:lineRule="atLeast"/>
      <w:outlineLvl w:val="0"/>
    </w:pPr>
    <w:rPr>
      <w:rFonts w:eastAsiaTheme="minorHAnsi" w:cs="Arial"/>
      <w:b/>
      <w:bCs/>
      <w:kern w:val="32"/>
      <w:sz w:val="26"/>
      <w:szCs w:val="32"/>
      <w:lang w:val="en-AU"/>
    </w:rPr>
  </w:style>
  <w:style w:type="paragraph" w:styleId="Heading2">
    <w:name w:val="heading 2"/>
    <w:basedOn w:val="Normal"/>
    <w:next w:val="Normal"/>
    <w:link w:val="Heading2Char"/>
    <w:uiPriority w:val="1"/>
    <w:qFormat/>
    <w:rsid w:val="00994DCE"/>
    <w:pPr>
      <w:keepNext/>
      <w:spacing w:after="120" w:line="260" w:lineRule="atLeast"/>
      <w:outlineLvl w:val="1"/>
    </w:pPr>
    <w:rPr>
      <w:rFonts w:eastAsiaTheme="minorHAnsi" w:cs="Arial"/>
      <w:b/>
      <w:bCs/>
      <w:iCs/>
      <w:color w:val="6D6E71"/>
      <w:sz w:val="24"/>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SCGreen">
    <w:name w:val="PSC_Green"/>
    <w:basedOn w:val="TableNormal"/>
    <w:uiPriority w:val="99"/>
    <w:rsid w:val="00BB532F"/>
    <w:pPr>
      <w:spacing w:after="0" w:line="280" w:lineRule="atLeast"/>
    </w:pPr>
    <w:rPr>
      <w:rFonts w:eastAsiaTheme="minorHAnsi" w:cs="Times New Roman"/>
      <w:color w:val="FFFFFF" w:themeColor="background1"/>
      <w:sz w:val="20"/>
      <w:szCs w:val="20"/>
      <w:lang w:val="en-AU"/>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BB532F"/>
    <w:pPr>
      <w:spacing w:before="40" w:after="40" w:line="280" w:lineRule="atLeast"/>
    </w:pPr>
    <w:rPr>
      <w:rFonts w:eastAsiaTheme="minorHAnsi" w:cs="Times New Roman"/>
      <w:color w:val="FFFFFF"/>
      <w:sz w:val="20"/>
      <w:szCs w:val="20"/>
      <w:lang w:val="en-AU"/>
    </w:rPr>
  </w:style>
  <w:style w:type="table" w:customStyle="1" w:styleId="PSCPurple">
    <w:name w:val="PSC_Purple"/>
    <w:basedOn w:val="TableNormal"/>
    <w:uiPriority w:val="99"/>
    <w:rsid w:val="00BB532F"/>
    <w:pPr>
      <w:spacing w:after="0" w:line="240" w:lineRule="auto"/>
    </w:pPr>
    <w:rPr>
      <w:rFonts w:eastAsiaTheme="minorHAnsi" w:cs="Times New Roman"/>
      <w:sz w:val="20"/>
      <w:szCs w:val="20"/>
      <w:lang w:val="en-AU"/>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BB532F"/>
    <w:rPr>
      <w:color w:val="auto"/>
    </w:rPr>
  </w:style>
  <w:style w:type="paragraph" w:customStyle="1" w:styleId="TableTextWhite0">
    <w:name w:val="Table_Text_White"/>
    <w:basedOn w:val="Normal"/>
    <w:qFormat/>
    <w:rsid w:val="00BB532F"/>
    <w:pPr>
      <w:spacing w:before="40" w:after="40" w:line="280" w:lineRule="atLeast"/>
    </w:pPr>
    <w:rPr>
      <w:rFonts w:eastAsiaTheme="minorHAnsi" w:cs="Times New Roman"/>
      <w:b/>
      <w:color w:val="FFFFFF"/>
      <w:szCs w:val="20"/>
      <w:lang w:val="en-AU"/>
    </w:rPr>
  </w:style>
  <w:style w:type="paragraph" w:styleId="Header">
    <w:name w:val="header"/>
    <w:basedOn w:val="Normal"/>
    <w:link w:val="HeaderChar"/>
    <w:uiPriority w:val="99"/>
    <w:unhideWhenUsed/>
    <w:rsid w:val="00BB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2F"/>
  </w:style>
  <w:style w:type="paragraph" w:styleId="Footer">
    <w:name w:val="footer"/>
    <w:basedOn w:val="Normal"/>
    <w:link w:val="FooterChar"/>
    <w:uiPriority w:val="99"/>
    <w:unhideWhenUsed/>
    <w:rsid w:val="00BB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2F"/>
  </w:style>
  <w:style w:type="paragraph" w:styleId="BalloonText">
    <w:name w:val="Balloon Text"/>
    <w:basedOn w:val="Normal"/>
    <w:link w:val="BalloonTextChar"/>
    <w:uiPriority w:val="99"/>
    <w:semiHidden/>
    <w:unhideWhenUsed/>
    <w:rsid w:val="00BB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32F"/>
    <w:rPr>
      <w:rFonts w:ascii="Tahoma" w:hAnsi="Tahoma" w:cs="Tahoma"/>
      <w:sz w:val="16"/>
      <w:szCs w:val="16"/>
    </w:rPr>
  </w:style>
  <w:style w:type="paragraph" w:styleId="Title">
    <w:name w:val="Title"/>
    <w:basedOn w:val="Normal"/>
    <w:next w:val="Normal"/>
    <w:link w:val="TitleChar"/>
    <w:uiPriority w:val="14"/>
    <w:rsid w:val="00BB532F"/>
    <w:pPr>
      <w:autoSpaceDE w:val="0"/>
      <w:autoSpaceDN w:val="0"/>
      <w:adjustRightInd w:val="0"/>
      <w:spacing w:after="0" w:line="448" w:lineRule="atLeast"/>
      <w:textAlignment w:val="center"/>
    </w:pPr>
    <w:rPr>
      <w:rFonts w:ascii="Georgia" w:eastAsiaTheme="minorHAnsi" w:hAnsi="Georgia" w:cs="Georgia"/>
      <w:b/>
      <w:bCs/>
      <w:color w:val="000000"/>
      <w:sz w:val="42"/>
      <w:szCs w:val="42"/>
    </w:rPr>
  </w:style>
  <w:style w:type="character" w:customStyle="1" w:styleId="TitleChar">
    <w:name w:val="Title Char"/>
    <w:basedOn w:val="DefaultParagraphFont"/>
    <w:link w:val="Title"/>
    <w:uiPriority w:val="14"/>
    <w:rsid w:val="00BB532F"/>
    <w:rPr>
      <w:rFonts w:ascii="Georgia" w:eastAsiaTheme="minorHAnsi" w:hAnsi="Georgia" w:cs="Georgia"/>
      <w:b/>
      <w:bCs/>
      <w:color w:val="000000"/>
      <w:sz w:val="42"/>
      <w:szCs w:val="42"/>
    </w:rPr>
  </w:style>
  <w:style w:type="table" w:styleId="TableGrid">
    <w:name w:val="Table Grid"/>
    <w:basedOn w:val="TableNormal"/>
    <w:uiPriority w:val="59"/>
    <w:rsid w:val="007E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ub">
    <w:name w:val="Title Sub"/>
    <w:basedOn w:val="Normal"/>
    <w:qFormat/>
    <w:rsid w:val="007E2FB7"/>
    <w:pPr>
      <w:autoSpaceDE w:val="0"/>
      <w:autoSpaceDN w:val="0"/>
      <w:adjustRightInd w:val="0"/>
      <w:spacing w:after="120" w:line="420" w:lineRule="atLeast"/>
      <w:textAlignment w:val="center"/>
    </w:pPr>
    <w:rPr>
      <w:rFonts w:ascii="Georgia" w:eastAsiaTheme="minorHAnsi" w:hAnsi="Georgia" w:cs="Georgia"/>
      <w:color w:val="000000"/>
      <w:spacing w:val="-10"/>
      <w:sz w:val="42"/>
      <w:szCs w:val="42"/>
    </w:rPr>
  </w:style>
  <w:style w:type="character" w:customStyle="1" w:styleId="Style1">
    <w:name w:val="Style1"/>
    <w:basedOn w:val="DefaultParagraphFont"/>
    <w:uiPriority w:val="1"/>
    <w:rsid w:val="007E2FB7"/>
    <w:rPr>
      <w:rFonts w:ascii="Georgia" w:hAnsi="Georgia"/>
      <w:sz w:val="42"/>
    </w:rPr>
  </w:style>
  <w:style w:type="character" w:styleId="PlaceholderText">
    <w:name w:val="Placeholder Text"/>
    <w:basedOn w:val="DefaultParagraphFont"/>
    <w:uiPriority w:val="99"/>
    <w:semiHidden/>
    <w:rsid w:val="00237421"/>
    <w:rPr>
      <w:color w:val="808080"/>
    </w:rPr>
  </w:style>
  <w:style w:type="paragraph" w:styleId="ListBullet">
    <w:name w:val="List Bullet"/>
    <w:basedOn w:val="Normal"/>
    <w:uiPriority w:val="2"/>
    <w:qFormat/>
    <w:rsid w:val="002D36BB"/>
    <w:pPr>
      <w:numPr>
        <w:numId w:val="2"/>
      </w:numPr>
      <w:tabs>
        <w:tab w:val="clear" w:pos="360"/>
        <w:tab w:val="num" w:pos="284"/>
      </w:tabs>
      <w:spacing w:after="0" w:line="280" w:lineRule="atLeast"/>
      <w:ind w:left="284" w:hanging="284"/>
    </w:pPr>
    <w:rPr>
      <w:rFonts w:ascii="Georgia" w:eastAsiaTheme="minorHAnsi" w:hAnsi="Georgia" w:cs="Times New Roman"/>
      <w:szCs w:val="20"/>
      <w:lang w:val="en-AU"/>
    </w:rPr>
  </w:style>
  <w:style w:type="paragraph" w:customStyle="1" w:styleId="TableBullet">
    <w:name w:val="Table Bullet"/>
    <w:basedOn w:val="ListBullet"/>
    <w:qFormat/>
    <w:rsid w:val="002D36BB"/>
    <w:pPr>
      <w:tabs>
        <w:tab w:val="clear" w:pos="284"/>
        <w:tab w:val="num" w:pos="360"/>
      </w:tabs>
      <w:ind w:left="360" w:hanging="360"/>
    </w:pPr>
    <w:rPr>
      <w:rFonts w:ascii="Arial" w:hAnsi="Arial"/>
      <w:sz w:val="20"/>
    </w:rPr>
  </w:style>
  <w:style w:type="character" w:customStyle="1" w:styleId="Style2">
    <w:name w:val="Style2"/>
    <w:basedOn w:val="DefaultParagraphFont"/>
    <w:uiPriority w:val="1"/>
    <w:rsid w:val="0028314F"/>
    <w:rPr>
      <w:rFonts w:ascii="Georgia" w:hAnsi="Georgia"/>
      <w:sz w:val="22"/>
    </w:rPr>
  </w:style>
  <w:style w:type="paragraph" w:styleId="ListParagraph">
    <w:name w:val="List Paragraph"/>
    <w:basedOn w:val="Normal"/>
    <w:link w:val="ListParagraphChar"/>
    <w:uiPriority w:val="34"/>
    <w:qFormat/>
    <w:rsid w:val="0013413E"/>
    <w:pPr>
      <w:ind w:left="720"/>
      <w:contextualSpacing/>
    </w:pPr>
  </w:style>
  <w:style w:type="character" w:customStyle="1" w:styleId="Heading1Char">
    <w:name w:val="Heading 1 Char"/>
    <w:basedOn w:val="DefaultParagraphFont"/>
    <w:link w:val="Heading1"/>
    <w:uiPriority w:val="1"/>
    <w:rsid w:val="00994DCE"/>
    <w:rPr>
      <w:rFonts w:ascii="Arial" w:eastAsiaTheme="minorHAnsi" w:hAnsi="Arial" w:cs="Arial"/>
      <w:b/>
      <w:bCs/>
      <w:kern w:val="32"/>
      <w:sz w:val="26"/>
      <w:szCs w:val="32"/>
      <w:lang w:val="en-AU"/>
    </w:rPr>
  </w:style>
  <w:style w:type="character" w:customStyle="1" w:styleId="Heading2Char">
    <w:name w:val="Heading 2 Char"/>
    <w:basedOn w:val="DefaultParagraphFont"/>
    <w:link w:val="Heading2"/>
    <w:uiPriority w:val="1"/>
    <w:rsid w:val="00994DCE"/>
    <w:rPr>
      <w:rFonts w:ascii="Arial" w:eastAsiaTheme="minorHAnsi" w:hAnsi="Arial" w:cs="Arial"/>
      <w:b/>
      <w:bCs/>
      <w:iCs/>
      <w:color w:val="6D6E71"/>
      <w:sz w:val="24"/>
      <w:szCs w:val="28"/>
      <w:lang w:val="en-AU"/>
    </w:rPr>
  </w:style>
  <w:style w:type="character" w:styleId="Hyperlink">
    <w:name w:val="Hyperlink"/>
    <w:basedOn w:val="DefaultParagraphFont"/>
    <w:uiPriority w:val="15"/>
    <w:semiHidden/>
    <w:rsid w:val="00994DCE"/>
    <w:rPr>
      <w:rFonts w:ascii="Arial" w:hAnsi="Arial"/>
      <w:color w:val="0000FF" w:themeColor="hyperlink"/>
      <w:sz w:val="20"/>
      <w:u w:val="single"/>
    </w:rPr>
  </w:style>
  <w:style w:type="character" w:customStyle="1" w:styleId="ListParagraphChar">
    <w:name w:val="List Paragraph Char"/>
    <w:link w:val="ListParagraph"/>
    <w:uiPriority w:val="34"/>
    <w:locked/>
    <w:rsid w:val="00CA3DE5"/>
  </w:style>
  <w:style w:type="paragraph" w:styleId="PlainText">
    <w:name w:val="Plain Text"/>
    <w:basedOn w:val="Normal"/>
    <w:link w:val="PlainTextChar"/>
    <w:uiPriority w:val="99"/>
    <w:unhideWhenUsed/>
    <w:rsid w:val="004D15E4"/>
    <w:pPr>
      <w:spacing w:after="0" w:line="240" w:lineRule="auto"/>
    </w:pPr>
    <w:rPr>
      <w:rFonts w:ascii="Calibri" w:eastAsiaTheme="minorHAnsi" w:hAnsi="Calibri"/>
      <w:szCs w:val="21"/>
      <w:lang w:val="en-AU"/>
    </w:rPr>
  </w:style>
  <w:style w:type="character" w:customStyle="1" w:styleId="PlainTextChar">
    <w:name w:val="Plain Text Char"/>
    <w:basedOn w:val="DefaultParagraphFont"/>
    <w:link w:val="PlainText"/>
    <w:uiPriority w:val="99"/>
    <w:rsid w:val="004D15E4"/>
    <w:rPr>
      <w:rFonts w:ascii="Calibri" w:eastAsiaTheme="minorHAnsi" w:hAnsi="Calibri"/>
      <w:szCs w:val="21"/>
      <w:lang w:val="en-AU"/>
    </w:rPr>
  </w:style>
  <w:style w:type="paragraph" w:styleId="CommentText">
    <w:name w:val="annotation text"/>
    <w:basedOn w:val="Normal"/>
    <w:link w:val="CommentTextChar"/>
    <w:uiPriority w:val="99"/>
    <w:unhideWhenUsed/>
    <w:rsid w:val="00351D50"/>
    <w:pPr>
      <w:spacing w:line="240" w:lineRule="auto"/>
    </w:pPr>
    <w:rPr>
      <w:sz w:val="20"/>
      <w:szCs w:val="20"/>
    </w:rPr>
  </w:style>
  <w:style w:type="character" w:customStyle="1" w:styleId="CommentTextChar">
    <w:name w:val="Comment Text Char"/>
    <w:basedOn w:val="DefaultParagraphFont"/>
    <w:link w:val="CommentText"/>
    <w:uiPriority w:val="99"/>
    <w:rsid w:val="00351D50"/>
    <w:rPr>
      <w:sz w:val="20"/>
      <w:szCs w:val="20"/>
    </w:rPr>
  </w:style>
  <w:style w:type="character" w:styleId="CommentReference">
    <w:name w:val="annotation reference"/>
    <w:basedOn w:val="DefaultParagraphFont"/>
    <w:uiPriority w:val="99"/>
    <w:semiHidden/>
    <w:unhideWhenUsed/>
    <w:rsid w:val="00351D50"/>
    <w:rPr>
      <w:sz w:val="16"/>
      <w:szCs w:val="16"/>
    </w:rPr>
  </w:style>
  <w:style w:type="paragraph" w:styleId="CommentSubject">
    <w:name w:val="annotation subject"/>
    <w:basedOn w:val="CommentText"/>
    <w:next w:val="CommentText"/>
    <w:link w:val="CommentSubjectChar"/>
    <w:uiPriority w:val="99"/>
    <w:semiHidden/>
    <w:unhideWhenUsed/>
    <w:rsid w:val="006539CA"/>
    <w:rPr>
      <w:b/>
      <w:bCs/>
    </w:rPr>
  </w:style>
  <w:style w:type="character" w:customStyle="1" w:styleId="CommentSubjectChar">
    <w:name w:val="Comment Subject Char"/>
    <w:basedOn w:val="CommentTextChar"/>
    <w:link w:val="CommentSubject"/>
    <w:uiPriority w:val="99"/>
    <w:semiHidden/>
    <w:rsid w:val="006539CA"/>
    <w:rPr>
      <w:b/>
      <w:bCs/>
      <w:sz w:val="20"/>
      <w:szCs w:val="20"/>
    </w:rPr>
  </w:style>
  <w:style w:type="paragraph" w:styleId="Revision">
    <w:name w:val="Revision"/>
    <w:hidden/>
    <w:uiPriority w:val="99"/>
    <w:semiHidden/>
    <w:rsid w:val="00A71A63"/>
    <w:pPr>
      <w:spacing w:after="0" w:line="240" w:lineRule="auto"/>
    </w:pPr>
  </w:style>
  <w:style w:type="character" w:styleId="Mention">
    <w:name w:val="Mention"/>
    <w:basedOn w:val="DefaultParagraphFont"/>
    <w:uiPriority w:val="99"/>
    <w:unhideWhenUsed/>
    <w:rsid w:val="00592092"/>
    <w:rPr>
      <w:color w:val="2B579A"/>
      <w:shd w:val="clear" w:color="auto" w:fill="E1DFDD"/>
    </w:rPr>
  </w:style>
  <w:style w:type="character" w:styleId="UnresolvedMention">
    <w:name w:val="Unresolved Mention"/>
    <w:basedOn w:val="DefaultParagraphFont"/>
    <w:uiPriority w:val="99"/>
    <w:semiHidden/>
    <w:unhideWhenUsed/>
    <w:rsid w:val="00A20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8434">
      <w:bodyDiv w:val="1"/>
      <w:marLeft w:val="0"/>
      <w:marRight w:val="0"/>
      <w:marTop w:val="0"/>
      <w:marBottom w:val="0"/>
      <w:divBdr>
        <w:top w:val="none" w:sz="0" w:space="0" w:color="auto"/>
        <w:left w:val="none" w:sz="0" w:space="0" w:color="auto"/>
        <w:bottom w:val="none" w:sz="0" w:space="0" w:color="auto"/>
        <w:right w:val="none" w:sz="0" w:space="0" w:color="auto"/>
      </w:divBdr>
    </w:div>
    <w:div w:id="383332513">
      <w:bodyDiv w:val="1"/>
      <w:marLeft w:val="0"/>
      <w:marRight w:val="0"/>
      <w:marTop w:val="0"/>
      <w:marBottom w:val="0"/>
      <w:divBdr>
        <w:top w:val="none" w:sz="0" w:space="0" w:color="auto"/>
        <w:left w:val="none" w:sz="0" w:space="0" w:color="auto"/>
        <w:bottom w:val="none" w:sz="0" w:space="0" w:color="auto"/>
        <w:right w:val="none" w:sz="0" w:space="0" w:color="auto"/>
      </w:divBdr>
    </w:div>
    <w:div w:id="401023740">
      <w:bodyDiv w:val="1"/>
      <w:marLeft w:val="0"/>
      <w:marRight w:val="0"/>
      <w:marTop w:val="0"/>
      <w:marBottom w:val="0"/>
      <w:divBdr>
        <w:top w:val="none" w:sz="0" w:space="0" w:color="auto"/>
        <w:left w:val="none" w:sz="0" w:space="0" w:color="auto"/>
        <w:bottom w:val="none" w:sz="0" w:space="0" w:color="auto"/>
        <w:right w:val="none" w:sz="0" w:space="0" w:color="auto"/>
      </w:divBdr>
    </w:div>
    <w:div w:id="560101141">
      <w:bodyDiv w:val="1"/>
      <w:marLeft w:val="0"/>
      <w:marRight w:val="0"/>
      <w:marTop w:val="0"/>
      <w:marBottom w:val="0"/>
      <w:divBdr>
        <w:top w:val="none" w:sz="0" w:space="0" w:color="auto"/>
        <w:left w:val="none" w:sz="0" w:space="0" w:color="auto"/>
        <w:bottom w:val="none" w:sz="0" w:space="0" w:color="auto"/>
        <w:right w:val="none" w:sz="0" w:space="0" w:color="auto"/>
      </w:divBdr>
    </w:div>
    <w:div w:id="586505442">
      <w:bodyDiv w:val="1"/>
      <w:marLeft w:val="0"/>
      <w:marRight w:val="0"/>
      <w:marTop w:val="0"/>
      <w:marBottom w:val="0"/>
      <w:divBdr>
        <w:top w:val="none" w:sz="0" w:space="0" w:color="auto"/>
        <w:left w:val="none" w:sz="0" w:space="0" w:color="auto"/>
        <w:bottom w:val="none" w:sz="0" w:space="0" w:color="auto"/>
        <w:right w:val="none" w:sz="0" w:space="0" w:color="auto"/>
      </w:divBdr>
    </w:div>
    <w:div w:id="764299731">
      <w:bodyDiv w:val="1"/>
      <w:marLeft w:val="0"/>
      <w:marRight w:val="0"/>
      <w:marTop w:val="0"/>
      <w:marBottom w:val="0"/>
      <w:divBdr>
        <w:top w:val="none" w:sz="0" w:space="0" w:color="auto"/>
        <w:left w:val="none" w:sz="0" w:space="0" w:color="auto"/>
        <w:bottom w:val="none" w:sz="0" w:space="0" w:color="auto"/>
        <w:right w:val="none" w:sz="0" w:space="0" w:color="auto"/>
      </w:divBdr>
    </w:div>
    <w:div w:id="1249575640">
      <w:bodyDiv w:val="1"/>
      <w:marLeft w:val="0"/>
      <w:marRight w:val="0"/>
      <w:marTop w:val="0"/>
      <w:marBottom w:val="0"/>
      <w:divBdr>
        <w:top w:val="none" w:sz="0" w:space="0" w:color="auto"/>
        <w:left w:val="none" w:sz="0" w:space="0" w:color="auto"/>
        <w:bottom w:val="none" w:sz="0" w:space="0" w:color="auto"/>
        <w:right w:val="none" w:sz="0" w:space="0" w:color="auto"/>
      </w:divBdr>
    </w:div>
    <w:div w:id="1531842552">
      <w:bodyDiv w:val="1"/>
      <w:marLeft w:val="0"/>
      <w:marRight w:val="0"/>
      <w:marTop w:val="0"/>
      <w:marBottom w:val="0"/>
      <w:divBdr>
        <w:top w:val="none" w:sz="0" w:space="0" w:color="auto"/>
        <w:left w:val="none" w:sz="0" w:space="0" w:color="auto"/>
        <w:bottom w:val="none" w:sz="0" w:space="0" w:color="auto"/>
        <w:right w:val="none" w:sz="0" w:space="0" w:color="auto"/>
      </w:divBdr>
    </w:div>
    <w:div w:id="1538003190">
      <w:bodyDiv w:val="1"/>
      <w:marLeft w:val="0"/>
      <w:marRight w:val="0"/>
      <w:marTop w:val="0"/>
      <w:marBottom w:val="0"/>
      <w:divBdr>
        <w:top w:val="none" w:sz="0" w:space="0" w:color="auto"/>
        <w:left w:val="none" w:sz="0" w:space="0" w:color="auto"/>
        <w:bottom w:val="none" w:sz="0" w:space="0" w:color="auto"/>
        <w:right w:val="none" w:sz="0" w:space="0" w:color="auto"/>
      </w:divBdr>
    </w:div>
    <w:div w:id="1683363463">
      <w:bodyDiv w:val="1"/>
      <w:marLeft w:val="0"/>
      <w:marRight w:val="0"/>
      <w:marTop w:val="0"/>
      <w:marBottom w:val="0"/>
      <w:divBdr>
        <w:top w:val="none" w:sz="0" w:space="0" w:color="auto"/>
        <w:left w:val="none" w:sz="0" w:space="0" w:color="auto"/>
        <w:bottom w:val="none" w:sz="0" w:space="0" w:color="auto"/>
        <w:right w:val="none" w:sz="0" w:space="0" w:color="auto"/>
      </w:divBdr>
    </w:div>
    <w:div w:id="18217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nsw.gov.au/content/dam/main-education/teaching-and-learning/aec/media/documents/partnershipagreement.pdf"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ducation.nsw.gov.au/policy-library/policies/pd-2008-0385" TargetMode="External"/><Relationship Id="rId17" Type="http://schemas.openxmlformats.org/officeDocument/2006/relationships/image" Target="media/image3.png"/><Relationship Id="rId25" Type="http://schemas.openxmlformats.org/officeDocument/2006/relationships/theme" Target="theme/theme1.xml"/><Relationship Id="rId20" Type="http://schemas.openxmlformats.org/officeDocument/2006/relationships/header" Target="header1.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sc.nsw.gov.au/workforce-management/capability-framework/the-capability-framewor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F:\Websites\PublicServiceCommission\web\PSCRD\DocumentGeneration\Template\PSC_Basi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FAFE4C066754194ED92984791C083" ma:contentTypeVersion="20" ma:contentTypeDescription="Create a new document." ma:contentTypeScope="" ma:versionID="443c5e73c6b7a2a915465a7aacffd5ef">
  <xsd:schema xmlns:xsd="http://www.w3.org/2001/XMLSchema" xmlns:xs="http://www.w3.org/2001/XMLSchema" xmlns:p="http://schemas.microsoft.com/office/2006/metadata/properties" xmlns:ns2="bd4f1309-a453-4f93-a9fb-7c0c03c245b3" xmlns:ns3="dbeaeb20-c405-40b5-a7aa-d360995628ee" targetNamespace="http://schemas.microsoft.com/office/2006/metadata/properties" ma:root="true" ma:fieldsID="c451481d97a765873508c2a11a802342" ns2:_="" ns3:_="">
    <xsd:import namespace="bd4f1309-a453-4f93-a9fb-7c0c03c245b3"/>
    <xsd:import namespace="dbeaeb20-c405-40b5-a7aa-d36099562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Filing"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f1309-a453-4f93-a9fb-7c0c03c24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iling" ma:index="24" nillable="true" ma:displayName="Filing" ma:format="Dropdown" ma:internalName="Filing">
      <xsd:simpleType>
        <xsd:restriction base="dms:Text">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aeb20-c405-40b5-a7aa-d360995628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11d354-aadc-4462-8885-5b82c43d2916}" ma:internalName="TaxCatchAll" ma:showField="CatchAllData" ma:web="dbeaeb20-c405-40b5-a7aa-d36099562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1EB2FBBF37B89C4C9C28124DD4152774" ma:contentTypeVersion="4" ma:contentTypeDescription="Create a new document." ma:contentTypeScope="" ma:versionID="6d2c45e7e85180f945dfbc3d506709d5">
  <xsd:schema xmlns:xsd="http://www.w3.org/2001/XMLSchema" xmlns:xs="http://www.w3.org/2001/XMLSchema" xmlns:p="http://schemas.microsoft.com/office/2006/metadata/properties" xmlns:ns2="de8ea5af-1158-40a7-be7c-a4090eb97a69" targetNamespace="http://schemas.microsoft.com/office/2006/metadata/properties" ma:root="true" ma:fieldsID="7f14b0034c3f5f57107431bd5d026d87" ns2:_="">
    <xsd:import namespace="de8ea5af-1158-40a7-be7c-a4090eb97a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ea5af-1158-40a7-be7c-a4090eb9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dbeaeb20-c405-40b5-a7aa-d360995628ee">
      <UserInfo>
        <DisplayName>Sorcha O'Neill</DisplayName>
        <AccountId>291</AccountId>
        <AccountType/>
      </UserInfo>
    </SharedWithUsers>
    <Filing xmlns="bd4f1309-a453-4f93-a9fb-7c0c03c245b3" xsi:nil="true"/>
    <TaxCatchAll xmlns="dbeaeb20-c405-40b5-a7aa-d360995628ee" xsi:nil="true"/>
    <lcf76f155ced4ddcb4097134ff3c332f xmlns="bd4f1309-a453-4f93-a9fb-7c0c03c245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7EB667-DD6D-4D43-AEA1-D4A1CC3246C8}"/>
</file>

<file path=customXml/itemProps2.xml><?xml version="1.0" encoding="utf-8"?>
<ds:datastoreItem xmlns:ds="http://schemas.openxmlformats.org/officeDocument/2006/customXml" ds:itemID="{89948AD4-3784-49A1-BB63-A69B7DD0B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ea5af-1158-40a7-be7c-a4090eb97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D24DA-2B18-495F-98AA-766251A6D5C9}">
  <ds:schemaRefs>
    <ds:schemaRef ds:uri="http://schemas.microsoft.com/sharepoint/v3/contenttype/forms"/>
  </ds:schemaRefs>
</ds:datastoreItem>
</file>

<file path=customXml/itemProps4.xml><?xml version="1.0" encoding="utf-8"?>
<ds:datastoreItem xmlns:ds="http://schemas.openxmlformats.org/officeDocument/2006/customXml" ds:itemID="{B451C2EF-3861-4EBE-8750-50C37B3ED00C}">
  <ds:schemaRefs>
    <ds:schemaRef ds:uri="http://schemas.openxmlformats.org/officeDocument/2006/bibliography"/>
  </ds:schemaRefs>
</ds:datastoreItem>
</file>

<file path=customXml/itemProps5.xml><?xml version="1.0" encoding="utf-8"?>
<ds:datastoreItem xmlns:ds="http://schemas.openxmlformats.org/officeDocument/2006/customXml" ds:itemID="{96167D19-92F7-441F-9BFE-5E47D757F318}">
  <ds:schemaRefs>
    <ds:schemaRef ds:uri="http://schemas.microsoft.com/office/2006/metadata/properties"/>
    <ds:schemaRef ds:uri="http://schemas.microsoft.com/office/infopath/2007/PartnerControls"/>
    <ds:schemaRef ds:uri="a55021e0-93cd-486e-996c-7d5d4c88ac24"/>
  </ds:schemaRefs>
</ds:datastoreItem>
</file>

<file path=docProps/app.xml><?xml version="1.0" encoding="utf-8"?>
<Properties xmlns="http://schemas.openxmlformats.org/officeDocument/2006/extended-properties" xmlns:vt="http://schemas.openxmlformats.org/officeDocument/2006/docPropsVTypes">
  <Template>PSC_Basic_Template</Template>
  <TotalTime>13</TotalTime>
  <Pages>9</Pages>
  <Words>2632</Words>
  <Characters>15008</Characters>
  <Application>Microsoft Office Word</Application>
  <DocSecurity>0</DocSecurity>
  <Lines>125</Lines>
  <Paragraphs>35</Paragraphs>
  <ScaleCrop>false</ScaleCrop>
  <Company/>
  <LinksUpToDate>false</LinksUpToDate>
  <CharactersWithSpaces>17605</CharactersWithSpaces>
  <SharedDoc>false</SharedDoc>
  <HLinks>
    <vt:vector size="18" baseType="variant">
      <vt:variant>
        <vt:i4>1048580</vt:i4>
      </vt:variant>
      <vt:variant>
        <vt:i4>6</vt:i4>
      </vt:variant>
      <vt:variant>
        <vt:i4>0</vt:i4>
      </vt:variant>
      <vt:variant>
        <vt:i4>5</vt:i4>
      </vt:variant>
      <vt:variant>
        <vt:lpwstr>https://www.psc.nsw.gov.au/workforce-management/capability-framework/the-capability-framework</vt:lpwstr>
      </vt:variant>
      <vt:variant>
        <vt:lpwstr/>
      </vt:variant>
      <vt:variant>
        <vt:i4>3932201</vt:i4>
      </vt:variant>
      <vt:variant>
        <vt:i4>3</vt:i4>
      </vt:variant>
      <vt:variant>
        <vt:i4>0</vt:i4>
      </vt:variant>
      <vt:variant>
        <vt:i4>5</vt:i4>
      </vt:variant>
      <vt:variant>
        <vt:lpwstr>https://education.nsw.gov.au/content/dam/main-education/teaching-and-learning/aec/media/documents/partnershipagreement.pdf</vt:lpwstr>
      </vt:variant>
      <vt:variant>
        <vt:lpwstr/>
      </vt:variant>
      <vt:variant>
        <vt:i4>6488179</vt:i4>
      </vt:variant>
      <vt:variant>
        <vt:i4>0</vt:i4>
      </vt:variant>
      <vt:variant>
        <vt:i4>0</vt:i4>
      </vt:variant>
      <vt:variant>
        <vt:i4>5</vt:i4>
      </vt:variant>
      <vt:variant>
        <vt:lpwstr>https://policies.education.nsw.gov.au/policy-library/policies/aboriginal-education-and-training-policy?refid=285843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Anbarasu Palanisamy</dc:creator>
  <cp:keywords/>
  <cp:lastModifiedBy>Narelle Reynolds</cp:lastModifiedBy>
  <cp:revision>6</cp:revision>
  <dcterms:created xsi:type="dcterms:W3CDTF">2023-08-01T21:17:00Z</dcterms:created>
  <dcterms:modified xsi:type="dcterms:W3CDTF">2025-05-07T02:52:00Z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a10f3b6b3200b016b4875ad5a9b6badf9facabe4062cf730d6e147a2a80bd0e0</vt:lpwstr>
  </property>
  <property fmtid="{D5CDD505-2E9C-101B-9397-08002B2CF9AE}" pid="3" name="MSIP_Label_b603dfd7-d93a-4381-a340-2995d8282205_Enabled">
    <vt:lpwstr>true</vt:lpwstr>
  </property>
  <property fmtid="{D5CDD505-2E9C-101B-9397-08002B2CF9AE}" pid="4" name="MSIP_Label_b603dfd7-d93a-4381-a340-2995d8282205_SetDate">
    <vt:lpwstr>2023-07-28T04:15:55Z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4504c8ed-268b-428f-8b6b-9cc8728c73dc</vt:lpwstr>
  </property>
  <property fmtid="{D5CDD505-2E9C-101B-9397-08002B2CF9AE}" pid="9" name="MSIP_Label_b603dfd7-d93a-4381-a340-2995d8282205_ContentBits">
    <vt:lpwstr>0</vt:lpwstr>
  </property>
  <property fmtid="{D5CDD505-2E9C-101B-9397-08002B2CF9AE}" pid="10" name="ContentTypeId">
    <vt:lpwstr>0x010100327FAFE4C066754194ED92984791C083</vt:lpwstr>
  </property>
</Properties>
</file>