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7270" w14:textId="77777777" w:rsidR="00B53FCE" w:rsidRDefault="00233756" w:rsidP="00684CDB">
      <w:pPr>
        <w:pStyle w:val="Title"/>
      </w:pPr>
      <w:r>
        <w:t xml:space="preserve">Enterprise Computing </w:t>
      </w:r>
      <w:r w:rsidR="00962DCD">
        <w:t>S</w:t>
      </w:r>
      <w:r w:rsidR="00962DCD" w:rsidRPr="00962DCD">
        <w:t>tage</w:t>
      </w:r>
      <w:r w:rsidR="007C6D55">
        <w:t xml:space="preserve"> </w:t>
      </w:r>
      <w:r>
        <w:t>6</w:t>
      </w:r>
      <w:r w:rsidR="00367F27">
        <w:t xml:space="preserve"> </w:t>
      </w:r>
      <w:r w:rsidR="007C6D55">
        <w:t>(</w:t>
      </w:r>
      <w:r w:rsidR="00367F27">
        <w:t>Year</w:t>
      </w:r>
      <w:r w:rsidR="007C6D55">
        <w:t xml:space="preserve"> </w:t>
      </w:r>
      <w:r>
        <w:t>12</w:t>
      </w:r>
      <w:r w:rsidR="007C6D55">
        <w:t xml:space="preserve">) </w:t>
      </w:r>
      <w:r w:rsidR="00367F27">
        <w:t xml:space="preserve">– </w:t>
      </w:r>
      <w:r w:rsidR="00ED0929">
        <w:t>s</w:t>
      </w:r>
      <w:r w:rsidR="00962DCD" w:rsidRPr="00962DCD">
        <w:t xml:space="preserve">ample </w:t>
      </w:r>
      <w:r w:rsidR="00473C36">
        <w:t>assessment schedule</w:t>
      </w:r>
    </w:p>
    <w:p w14:paraId="6A76FD04" w14:textId="77777777" w:rsidR="00953037" w:rsidRDefault="00BC2871" w:rsidP="00FC7EBB">
      <w:pPr>
        <w:pStyle w:val="Subtitle0"/>
      </w:pPr>
      <w:r>
        <w:br w:type="page"/>
      </w:r>
      <w:r w:rsidR="00953037">
        <w:lastRenderedPageBreak/>
        <w:t>Contents</w:t>
      </w:r>
    </w:p>
    <w:p w14:paraId="5AECCCDB" w14:textId="1CBEFF74" w:rsidR="00DA7FEA" w:rsidRDefault="00603A3A">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60003706" w:history="1">
        <w:r w:rsidR="00DA7FEA" w:rsidRPr="00C67A2D">
          <w:rPr>
            <w:rStyle w:val="Hyperlink"/>
          </w:rPr>
          <w:t>About this resource</w:t>
        </w:r>
        <w:r w:rsidR="00DA7FEA">
          <w:rPr>
            <w:webHidden/>
          </w:rPr>
          <w:tab/>
        </w:r>
        <w:r w:rsidR="00DA7FEA">
          <w:rPr>
            <w:webHidden/>
          </w:rPr>
          <w:fldChar w:fldCharType="begin"/>
        </w:r>
        <w:r w:rsidR="00DA7FEA">
          <w:rPr>
            <w:webHidden/>
          </w:rPr>
          <w:instrText xml:space="preserve"> PAGEREF _Toc160003706 \h </w:instrText>
        </w:r>
        <w:r w:rsidR="00DA7FEA">
          <w:rPr>
            <w:webHidden/>
          </w:rPr>
        </w:r>
        <w:r w:rsidR="00DA7FEA">
          <w:rPr>
            <w:webHidden/>
          </w:rPr>
          <w:fldChar w:fldCharType="separate"/>
        </w:r>
        <w:r w:rsidR="00DA7FEA">
          <w:rPr>
            <w:webHidden/>
          </w:rPr>
          <w:t>2</w:t>
        </w:r>
        <w:r w:rsidR="00DA7FEA">
          <w:rPr>
            <w:webHidden/>
          </w:rPr>
          <w:fldChar w:fldCharType="end"/>
        </w:r>
      </w:hyperlink>
    </w:p>
    <w:p w14:paraId="497BDDBA" w14:textId="04ECD1F4" w:rsidR="00DA7FEA" w:rsidRDefault="00E46CCD">
      <w:pPr>
        <w:pStyle w:val="TOC2"/>
        <w:rPr>
          <w:rFonts w:asciiTheme="minorHAnsi" w:eastAsiaTheme="minorEastAsia" w:hAnsiTheme="minorHAnsi" w:cstheme="minorBidi"/>
          <w:kern w:val="2"/>
          <w:szCs w:val="22"/>
          <w:lang w:eastAsia="en-AU"/>
          <w14:ligatures w14:val="standardContextual"/>
        </w:rPr>
      </w:pPr>
      <w:hyperlink w:anchor="_Toc160003707" w:history="1">
        <w:r w:rsidR="00DA7FEA" w:rsidRPr="00C67A2D">
          <w:rPr>
            <w:rStyle w:val="Hyperlink"/>
          </w:rPr>
          <w:t>Purpose of resource</w:t>
        </w:r>
        <w:r w:rsidR="00DA7FEA">
          <w:rPr>
            <w:webHidden/>
          </w:rPr>
          <w:tab/>
        </w:r>
        <w:r w:rsidR="00DA7FEA">
          <w:rPr>
            <w:webHidden/>
          </w:rPr>
          <w:fldChar w:fldCharType="begin"/>
        </w:r>
        <w:r w:rsidR="00DA7FEA">
          <w:rPr>
            <w:webHidden/>
          </w:rPr>
          <w:instrText xml:space="preserve"> PAGEREF _Toc160003707 \h </w:instrText>
        </w:r>
        <w:r w:rsidR="00DA7FEA">
          <w:rPr>
            <w:webHidden/>
          </w:rPr>
        </w:r>
        <w:r w:rsidR="00DA7FEA">
          <w:rPr>
            <w:webHidden/>
          </w:rPr>
          <w:fldChar w:fldCharType="separate"/>
        </w:r>
        <w:r w:rsidR="00DA7FEA">
          <w:rPr>
            <w:webHidden/>
          </w:rPr>
          <w:t>2</w:t>
        </w:r>
        <w:r w:rsidR="00DA7FEA">
          <w:rPr>
            <w:webHidden/>
          </w:rPr>
          <w:fldChar w:fldCharType="end"/>
        </w:r>
      </w:hyperlink>
    </w:p>
    <w:p w14:paraId="2FF5FF30" w14:textId="170AB577" w:rsidR="00DA7FEA" w:rsidRDefault="00E46CCD">
      <w:pPr>
        <w:pStyle w:val="TOC2"/>
        <w:rPr>
          <w:rFonts w:asciiTheme="minorHAnsi" w:eastAsiaTheme="minorEastAsia" w:hAnsiTheme="minorHAnsi" w:cstheme="minorBidi"/>
          <w:kern w:val="2"/>
          <w:szCs w:val="22"/>
          <w:lang w:eastAsia="en-AU"/>
          <w14:ligatures w14:val="standardContextual"/>
        </w:rPr>
      </w:pPr>
      <w:hyperlink w:anchor="_Toc160003708" w:history="1">
        <w:r w:rsidR="00DA7FEA" w:rsidRPr="00C67A2D">
          <w:rPr>
            <w:rStyle w:val="Hyperlink"/>
          </w:rPr>
          <w:t>Target audience</w:t>
        </w:r>
        <w:r w:rsidR="00DA7FEA">
          <w:rPr>
            <w:webHidden/>
          </w:rPr>
          <w:tab/>
        </w:r>
        <w:r w:rsidR="00DA7FEA">
          <w:rPr>
            <w:webHidden/>
          </w:rPr>
          <w:fldChar w:fldCharType="begin"/>
        </w:r>
        <w:r w:rsidR="00DA7FEA">
          <w:rPr>
            <w:webHidden/>
          </w:rPr>
          <w:instrText xml:space="preserve"> PAGEREF _Toc160003708 \h </w:instrText>
        </w:r>
        <w:r w:rsidR="00DA7FEA">
          <w:rPr>
            <w:webHidden/>
          </w:rPr>
        </w:r>
        <w:r w:rsidR="00DA7FEA">
          <w:rPr>
            <w:webHidden/>
          </w:rPr>
          <w:fldChar w:fldCharType="separate"/>
        </w:r>
        <w:r w:rsidR="00DA7FEA">
          <w:rPr>
            <w:webHidden/>
          </w:rPr>
          <w:t>2</w:t>
        </w:r>
        <w:r w:rsidR="00DA7FEA">
          <w:rPr>
            <w:webHidden/>
          </w:rPr>
          <w:fldChar w:fldCharType="end"/>
        </w:r>
      </w:hyperlink>
    </w:p>
    <w:p w14:paraId="0B4BAD62" w14:textId="21C993FD" w:rsidR="00DA7FEA" w:rsidRDefault="00E46CCD">
      <w:pPr>
        <w:pStyle w:val="TOC2"/>
        <w:rPr>
          <w:rFonts w:asciiTheme="minorHAnsi" w:eastAsiaTheme="minorEastAsia" w:hAnsiTheme="minorHAnsi" w:cstheme="minorBidi"/>
          <w:kern w:val="2"/>
          <w:szCs w:val="22"/>
          <w:lang w:eastAsia="en-AU"/>
          <w14:ligatures w14:val="standardContextual"/>
        </w:rPr>
      </w:pPr>
      <w:hyperlink w:anchor="_Toc160003709" w:history="1">
        <w:r w:rsidR="00DA7FEA" w:rsidRPr="00C67A2D">
          <w:rPr>
            <w:rStyle w:val="Hyperlink"/>
          </w:rPr>
          <w:t>When and how to use</w:t>
        </w:r>
        <w:r w:rsidR="00DA7FEA">
          <w:rPr>
            <w:webHidden/>
          </w:rPr>
          <w:tab/>
        </w:r>
        <w:r w:rsidR="00DA7FEA">
          <w:rPr>
            <w:webHidden/>
          </w:rPr>
          <w:fldChar w:fldCharType="begin"/>
        </w:r>
        <w:r w:rsidR="00DA7FEA">
          <w:rPr>
            <w:webHidden/>
          </w:rPr>
          <w:instrText xml:space="preserve"> PAGEREF _Toc160003709 \h </w:instrText>
        </w:r>
        <w:r w:rsidR="00DA7FEA">
          <w:rPr>
            <w:webHidden/>
          </w:rPr>
        </w:r>
        <w:r w:rsidR="00DA7FEA">
          <w:rPr>
            <w:webHidden/>
          </w:rPr>
          <w:fldChar w:fldCharType="separate"/>
        </w:r>
        <w:r w:rsidR="00DA7FEA">
          <w:rPr>
            <w:webHidden/>
          </w:rPr>
          <w:t>2</w:t>
        </w:r>
        <w:r w:rsidR="00DA7FEA">
          <w:rPr>
            <w:webHidden/>
          </w:rPr>
          <w:fldChar w:fldCharType="end"/>
        </w:r>
      </w:hyperlink>
    </w:p>
    <w:p w14:paraId="71472D04" w14:textId="27966390" w:rsidR="00DA7FEA" w:rsidRDefault="00E46CCD">
      <w:pPr>
        <w:pStyle w:val="TOC1"/>
        <w:rPr>
          <w:rFonts w:asciiTheme="minorHAnsi" w:eastAsiaTheme="minorEastAsia" w:hAnsiTheme="minorHAnsi" w:cstheme="minorBidi"/>
          <w:b w:val="0"/>
          <w:kern w:val="2"/>
          <w:szCs w:val="22"/>
          <w:lang w:eastAsia="en-AU"/>
          <w14:ligatures w14:val="standardContextual"/>
        </w:rPr>
      </w:pPr>
      <w:hyperlink w:anchor="_Toc160003710" w:history="1">
        <w:r w:rsidR="00DA7FEA" w:rsidRPr="00C67A2D">
          <w:rPr>
            <w:rStyle w:val="Hyperlink"/>
          </w:rPr>
          <w:t>School-based assessment requirements</w:t>
        </w:r>
        <w:r w:rsidR="00DA7FEA">
          <w:rPr>
            <w:webHidden/>
          </w:rPr>
          <w:tab/>
        </w:r>
        <w:r w:rsidR="00DA7FEA">
          <w:rPr>
            <w:webHidden/>
          </w:rPr>
          <w:fldChar w:fldCharType="begin"/>
        </w:r>
        <w:r w:rsidR="00DA7FEA">
          <w:rPr>
            <w:webHidden/>
          </w:rPr>
          <w:instrText xml:space="preserve"> PAGEREF _Toc160003710 \h </w:instrText>
        </w:r>
        <w:r w:rsidR="00DA7FEA">
          <w:rPr>
            <w:webHidden/>
          </w:rPr>
        </w:r>
        <w:r w:rsidR="00DA7FEA">
          <w:rPr>
            <w:webHidden/>
          </w:rPr>
          <w:fldChar w:fldCharType="separate"/>
        </w:r>
        <w:r w:rsidR="00DA7FEA">
          <w:rPr>
            <w:webHidden/>
          </w:rPr>
          <w:t>3</w:t>
        </w:r>
        <w:r w:rsidR="00DA7FEA">
          <w:rPr>
            <w:webHidden/>
          </w:rPr>
          <w:fldChar w:fldCharType="end"/>
        </w:r>
      </w:hyperlink>
    </w:p>
    <w:p w14:paraId="5296D6EE" w14:textId="3CFD6432" w:rsidR="00DA7FEA" w:rsidRDefault="00E46CCD">
      <w:pPr>
        <w:pStyle w:val="TOC1"/>
        <w:rPr>
          <w:rFonts w:asciiTheme="minorHAnsi" w:eastAsiaTheme="minorEastAsia" w:hAnsiTheme="minorHAnsi" w:cstheme="minorBidi"/>
          <w:b w:val="0"/>
          <w:kern w:val="2"/>
          <w:szCs w:val="22"/>
          <w:lang w:eastAsia="en-AU"/>
          <w14:ligatures w14:val="standardContextual"/>
        </w:rPr>
      </w:pPr>
      <w:hyperlink w:anchor="_Toc160003711" w:history="1">
        <w:r w:rsidR="00DA7FEA" w:rsidRPr="00C67A2D">
          <w:rPr>
            <w:rStyle w:val="Hyperlink"/>
          </w:rPr>
          <w:t>Enterprise Computing Stage 6 (Year 12) – sample assessment schedule</w:t>
        </w:r>
        <w:r w:rsidR="00DA7FEA">
          <w:rPr>
            <w:webHidden/>
          </w:rPr>
          <w:tab/>
        </w:r>
        <w:r w:rsidR="00DA7FEA">
          <w:rPr>
            <w:webHidden/>
          </w:rPr>
          <w:fldChar w:fldCharType="begin"/>
        </w:r>
        <w:r w:rsidR="00DA7FEA">
          <w:rPr>
            <w:webHidden/>
          </w:rPr>
          <w:instrText xml:space="preserve"> PAGEREF _Toc160003711 \h </w:instrText>
        </w:r>
        <w:r w:rsidR="00DA7FEA">
          <w:rPr>
            <w:webHidden/>
          </w:rPr>
        </w:r>
        <w:r w:rsidR="00DA7FEA">
          <w:rPr>
            <w:webHidden/>
          </w:rPr>
          <w:fldChar w:fldCharType="separate"/>
        </w:r>
        <w:r w:rsidR="00DA7FEA">
          <w:rPr>
            <w:webHidden/>
          </w:rPr>
          <w:t>4</w:t>
        </w:r>
        <w:r w:rsidR="00DA7FEA">
          <w:rPr>
            <w:webHidden/>
          </w:rPr>
          <w:fldChar w:fldCharType="end"/>
        </w:r>
      </w:hyperlink>
    </w:p>
    <w:p w14:paraId="7FC058A0" w14:textId="37384535" w:rsidR="00DA7FEA" w:rsidRDefault="00E46CCD">
      <w:pPr>
        <w:pStyle w:val="TOC1"/>
        <w:rPr>
          <w:rFonts w:asciiTheme="minorHAnsi" w:eastAsiaTheme="minorEastAsia" w:hAnsiTheme="minorHAnsi" w:cstheme="minorBidi"/>
          <w:b w:val="0"/>
          <w:kern w:val="2"/>
          <w:szCs w:val="22"/>
          <w:lang w:eastAsia="en-AU"/>
          <w14:ligatures w14:val="standardContextual"/>
        </w:rPr>
      </w:pPr>
      <w:hyperlink w:anchor="_Toc160003712" w:history="1">
        <w:r w:rsidR="00DA7FEA" w:rsidRPr="00C67A2D">
          <w:rPr>
            <w:rStyle w:val="Hyperlink"/>
          </w:rPr>
          <w:t>Support and alignment</w:t>
        </w:r>
        <w:r w:rsidR="00DA7FEA">
          <w:rPr>
            <w:webHidden/>
          </w:rPr>
          <w:tab/>
        </w:r>
        <w:r w:rsidR="00DA7FEA">
          <w:rPr>
            <w:webHidden/>
          </w:rPr>
          <w:fldChar w:fldCharType="begin"/>
        </w:r>
        <w:r w:rsidR="00DA7FEA">
          <w:rPr>
            <w:webHidden/>
          </w:rPr>
          <w:instrText xml:space="preserve"> PAGEREF _Toc160003712 \h </w:instrText>
        </w:r>
        <w:r w:rsidR="00DA7FEA">
          <w:rPr>
            <w:webHidden/>
          </w:rPr>
        </w:r>
        <w:r w:rsidR="00DA7FEA">
          <w:rPr>
            <w:webHidden/>
          </w:rPr>
          <w:fldChar w:fldCharType="separate"/>
        </w:r>
        <w:r w:rsidR="00DA7FEA">
          <w:rPr>
            <w:webHidden/>
          </w:rPr>
          <w:t>6</w:t>
        </w:r>
        <w:r w:rsidR="00DA7FEA">
          <w:rPr>
            <w:webHidden/>
          </w:rPr>
          <w:fldChar w:fldCharType="end"/>
        </w:r>
      </w:hyperlink>
    </w:p>
    <w:p w14:paraId="1114EF1C" w14:textId="517F9F66" w:rsidR="00DA7FEA" w:rsidRDefault="00E46CCD">
      <w:pPr>
        <w:pStyle w:val="TOC1"/>
        <w:rPr>
          <w:rFonts w:asciiTheme="minorHAnsi" w:eastAsiaTheme="minorEastAsia" w:hAnsiTheme="minorHAnsi" w:cstheme="minorBidi"/>
          <w:b w:val="0"/>
          <w:kern w:val="2"/>
          <w:szCs w:val="22"/>
          <w:lang w:eastAsia="en-AU"/>
          <w14:ligatures w14:val="standardContextual"/>
        </w:rPr>
      </w:pPr>
      <w:hyperlink w:anchor="_Toc160003713" w:history="1">
        <w:r w:rsidR="00DA7FEA" w:rsidRPr="00C67A2D">
          <w:rPr>
            <w:rStyle w:val="Hyperlink"/>
          </w:rPr>
          <w:t>Evidence base</w:t>
        </w:r>
        <w:r w:rsidR="00DA7FEA">
          <w:rPr>
            <w:webHidden/>
          </w:rPr>
          <w:tab/>
        </w:r>
        <w:r w:rsidR="00DA7FEA">
          <w:rPr>
            <w:webHidden/>
          </w:rPr>
          <w:fldChar w:fldCharType="begin"/>
        </w:r>
        <w:r w:rsidR="00DA7FEA">
          <w:rPr>
            <w:webHidden/>
          </w:rPr>
          <w:instrText xml:space="preserve"> PAGEREF _Toc160003713 \h </w:instrText>
        </w:r>
        <w:r w:rsidR="00DA7FEA">
          <w:rPr>
            <w:webHidden/>
          </w:rPr>
        </w:r>
        <w:r w:rsidR="00DA7FEA">
          <w:rPr>
            <w:webHidden/>
          </w:rPr>
          <w:fldChar w:fldCharType="separate"/>
        </w:r>
        <w:r w:rsidR="00DA7FEA">
          <w:rPr>
            <w:webHidden/>
          </w:rPr>
          <w:t>7</w:t>
        </w:r>
        <w:r w:rsidR="00DA7FEA">
          <w:rPr>
            <w:webHidden/>
          </w:rPr>
          <w:fldChar w:fldCharType="end"/>
        </w:r>
      </w:hyperlink>
    </w:p>
    <w:p w14:paraId="4F2BC47E" w14:textId="6B25B7BF" w:rsidR="00FC7EBB" w:rsidRDefault="00603A3A" w:rsidP="008C3C5A">
      <w:pPr>
        <w:pStyle w:val="Heading1"/>
      </w:pPr>
      <w:r>
        <w:rPr>
          <w:b/>
          <w:noProof/>
        </w:rPr>
        <w:fldChar w:fldCharType="end"/>
      </w:r>
      <w:r w:rsidR="00FC7EBB">
        <w:rPr>
          <w:noProof/>
        </w:rPr>
        <w:br w:type="page"/>
      </w:r>
      <w:bookmarkStart w:id="0" w:name="_Toc160003706"/>
      <w:r w:rsidR="00FC7EBB" w:rsidRPr="009F36CD">
        <w:lastRenderedPageBreak/>
        <w:t>About this resource</w:t>
      </w:r>
      <w:bookmarkEnd w:id="0"/>
    </w:p>
    <w:p w14:paraId="5D1DF4C8" w14:textId="77777777" w:rsidR="009F36CD" w:rsidRDefault="009F36CD" w:rsidP="008C3C5A">
      <w:pPr>
        <w:pStyle w:val="Heading2"/>
      </w:pPr>
      <w:bookmarkStart w:id="1" w:name="_Toc160003707"/>
      <w:bookmarkStart w:id="2" w:name="_Hlk148102359"/>
      <w:bookmarkStart w:id="3" w:name="_Toc147483512"/>
      <w:r w:rsidRPr="009F36CD">
        <w:t>Purpose of resource</w:t>
      </w:r>
      <w:bookmarkEnd w:id="1"/>
    </w:p>
    <w:p w14:paraId="614482C8" w14:textId="4A52C977" w:rsidR="00473C36" w:rsidRDefault="00473C36" w:rsidP="00473C36">
      <w:r w:rsidRPr="00A36351">
        <w:t>This resource has been designed to support teachers by providing a range of tasks based on syllabus content</w:t>
      </w:r>
      <w:r>
        <w:t xml:space="preserve"> and adhering to the </w:t>
      </w:r>
      <w:r w:rsidR="003E2FC5">
        <w:t>school-</w:t>
      </w:r>
      <w:r>
        <w:t>based assessment standards.</w:t>
      </w:r>
    </w:p>
    <w:p w14:paraId="1C5A229A" w14:textId="77777777" w:rsidR="009F36CD" w:rsidRDefault="009F36CD" w:rsidP="009F36CD">
      <w:pPr>
        <w:pStyle w:val="Heading2"/>
      </w:pPr>
      <w:bookmarkStart w:id="4" w:name="_Toc160003708"/>
      <w:r w:rsidRPr="009F36CD">
        <w:t>Target audience</w:t>
      </w:r>
      <w:bookmarkEnd w:id="4"/>
    </w:p>
    <w:p w14:paraId="48EE2FA8" w14:textId="77777777" w:rsidR="00473C36" w:rsidRDefault="00473C36" w:rsidP="00473C36">
      <w:r w:rsidRPr="009F36CD">
        <w:t xml:space="preserve">This resource can be used by school leaders to support teachers with effective syllabus implementation. </w:t>
      </w:r>
    </w:p>
    <w:p w14:paraId="74A72555" w14:textId="77777777" w:rsidR="009F36CD" w:rsidRDefault="009F36CD" w:rsidP="009F36CD">
      <w:pPr>
        <w:pStyle w:val="Heading2"/>
      </w:pPr>
      <w:bookmarkStart w:id="5" w:name="_Toc160003709"/>
      <w:r w:rsidRPr="009F36CD">
        <w:t>When and how to use</w:t>
      </w:r>
      <w:bookmarkEnd w:id="5"/>
    </w:p>
    <w:bookmarkEnd w:id="2"/>
    <w:p w14:paraId="4B501DE5" w14:textId="6215963B" w:rsidR="00473C36" w:rsidRPr="00552100" w:rsidRDefault="00A52A2C" w:rsidP="00473C36">
      <w:r>
        <w:t xml:space="preserve">An assessment schedule is used to show the </w:t>
      </w:r>
      <w:r w:rsidR="00473C36" w:rsidRPr="00552100">
        <w:t>range of tasks based on syllabus content</w:t>
      </w:r>
      <w:r>
        <w:t xml:space="preserve"> that students will undertake and maps the outcomes assessed in each task. It</w:t>
      </w:r>
      <w:r>
        <w:rPr>
          <w:rStyle w:val="CommentReference"/>
        </w:rPr>
        <w:t xml:space="preserve"> </w:t>
      </w:r>
      <w:r w:rsidR="00473C36" w:rsidRPr="00552100">
        <w:t>can be modified to suit individual school contexts and procedures as required.</w:t>
      </w:r>
    </w:p>
    <w:p w14:paraId="5B97C94F" w14:textId="6507AA2D" w:rsidR="00E625FD" w:rsidRPr="00CB45A8" w:rsidRDefault="00E625FD" w:rsidP="00CB45A8">
      <w:pPr>
        <w:pStyle w:val="Heading1"/>
      </w:pPr>
      <w:r>
        <w:br w:type="page"/>
      </w:r>
      <w:bookmarkStart w:id="6" w:name="_Toc160003710"/>
      <w:r w:rsidR="00FB23BC" w:rsidRPr="00CB45A8">
        <w:lastRenderedPageBreak/>
        <w:t>School</w:t>
      </w:r>
      <w:r w:rsidR="00FB23BC">
        <w:t>-</w:t>
      </w:r>
      <w:r w:rsidR="00473C36" w:rsidRPr="00CB45A8">
        <w:t>based assessment requirements</w:t>
      </w:r>
      <w:bookmarkEnd w:id="6"/>
    </w:p>
    <w:p w14:paraId="6912C3D9" w14:textId="1DD03794" w:rsidR="00473C36" w:rsidRPr="00552100" w:rsidRDefault="00473C36" w:rsidP="00473C36">
      <w:bookmarkStart w:id="7" w:name="_Toc147483513"/>
      <w:bookmarkEnd w:id="3"/>
      <w:r w:rsidRPr="00552100">
        <w:t>The Year 1</w:t>
      </w:r>
      <w:r>
        <w:t>2</w:t>
      </w:r>
      <w:r w:rsidRPr="00552100">
        <w:t xml:space="preserve"> school-based assessment </w:t>
      </w:r>
      <w:r w:rsidR="00CB45A8">
        <w:t>schedule</w:t>
      </w:r>
      <w:r w:rsidRPr="00552100">
        <w:t xml:space="preserve"> is to reflect the following </w:t>
      </w:r>
      <w:hyperlink r:id="rId7" w:history="1">
        <w:r w:rsidR="6E5DA9B0" w:rsidRPr="1202902F">
          <w:rPr>
            <w:rStyle w:val="Hyperlink"/>
            <w:szCs w:val="22"/>
          </w:rPr>
          <w:t>NESA Assessment</w:t>
        </w:r>
      </w:hyperlink>
      <w:r w:rsidR="00BF5979">
        <w:t xml:space="preserve"> </w:t>
      </w:r>
      <w:r w:rsidRPr="00552100">
        <w:t>requirements:</w:t>
      </w:r>
    </w:p>
    <w:p w14:paraId="0FF0481B" w14:textId="2FF19F71" w:rsidR="00473C36" w:rsidRPr="00552100" w:rsidRDefault="00473C36" w:rsidP="00473C36">
      <w:pPr>
        <w:pStyle w:val="ListBullet"/>
        <w:numPr>
          <w:ilvl w:val="0"/>
          <w:numId w:val="1"/>
        </w:numPr>
        <w:suppressAutoHyphens w:val="0"/>
        <w:spacing w:after="0"/>
        <w:contextualSpacing/>
      </w:pPr>
      <w:r>
        <w:t xml:space="preserve">a maximum of </w:t>
      </w:r>
      <w:r w:rsidR="00FB23BC">
        <w:t>4</w:t>
      </w:r>
      <w:r w:rsidR="00FB23BC" w:rsidRPr="00552100">
        <w:t xml:space="preserve"> </w:t>
      </w:r>
      <w:r w:rsidRPr="00552100">
        <w:t>assessment tasks</w:t>
      </w:r>
    </w:p>
    <w:p w14:paraId="100AF958" w14:textId="77777777" w:rsidR="00473C36" w:rsidRPr="00552100" w:rsidRDefault="00473C36" w:rsidP="00473C36">
      <w:pPr>
        <w:pStyle w:val="ListBullet"/>
        <w:numPr>
          <w:ilvl w:val="0"/>
          <w:numId w:val="1"/>
        </w:numPr>
        <w:suppressAutoHyphens w:val="0"/>
        <w:spacing w:after="0"/>
        <w:contextualSpacing/>
      </w:pPr>
      <w:r w:rsidRPr="00552100">
        <w:t xml:space="preserve">the minimum weighting for an individual task is </w:t>
      </w:r>
      <w:r>
        <w:t>1</w:t>
      </w:r>
      <w:r w:rsidRPr="00552100">
        <w:t>0%</w:t>
      </w:r>
    </w:p>
    <w:p w14:paraId="100C6E07" w14:textId="77777777" w:rsidR="00473C36" w:rsidRPr="00552100" w:rsidRDefault="00473C36" w:rsidP="00473C36">
      <w:pPr>
        <w:pStyle w:val="ListBullet"/>
        <w:numPr>
          <w:ilvl w:val="0"/>
          <w:numId w:val="1"/>
        </w:numPr>
        <w:suppressAutoHyphens w:val="0"/>
        <w:spacing w:after="0"/>
        <w:contextualSpacing/>
      </w:pPr>
      <w:r w:rsidRPr="00552100">
        <w:t>the maximum weighting for an individual task is 40%</w:t>
      </w:r>
    </w:p>
    <w:p w14:paraId="47E5B9D7" w14:textId="77777777" w:rsidR="00473C36" w:rsidRDefault="00473C36" w:rsidP="00473C36">
      <w:pPr>
        <w:pStyle w:val="ListBullet"/>
        <w:numPr>
          <w:ilvl w:val="0"/>
          <w:numId w:val="1"/>
        </w:numPr>
        <w:suppressAutoHyphens w:val="0"/>
        <w:spacing w:after="0"/>
        <w:contextualSpacing/>
      </w:pPr>
      <w:r w:rsidRPr="00552100">
        <w:t xml:space="preserve">one task must be </w:t>
      </w:r>
      <w:r>
        <w:t>an individual project with a weighting of 30%</w:t>
      </w:r>
    </w:p>
    <w:p w14:paraId="72705AE4" w14:textId="76BBE692" w:rsidR="003F18BC" w:rsidRDefault="00473C36" w:rsidP="00FE10C2">
      <w:pPr>
        <w:pStyle w:val="ListBullet"/>
        <w:numPr>
          <w:ilvl w:val="0"/>
          <w:numId w:val="1"/>
        </w:numPr>
        <w:suppressAutoHyphens w:val="0"/>
        <w:spacing w:after="0"/>
        <w:contextualSpacing/>
      </w:pPr>
      <w:r w:rsidRPr="00473C36">
        <w:t>only one task may be a formal examination with a maximum weighting of 30%.</w:t>
      </w:r>
    </w:p>
    <w:p w14:paraId="3F544039" w14:textId="709092A0" w:rsidR="004775EA" w:rsidRPr="00CB45A8" w:rsidRDefault="00E625FD" w:rsidP="00CB45A8">
      <w:pPr>
        <w:pStyle w:val="Heading1"/>
      </w:pPr>
      <w:r>
        <w:br w:type="page"/>
      </w:r>
      <w:bookmarkStart w:id="8" w:name="_Toc160003711"/>
      <w:r w:rsidR="00233756" w:rsidRPr="00CB45A8">
        <w:lastRenderedPageBreak/>
        <w:t>Enterprise Computing</w:t>
      </w:r>
      <w:r w:rsidR="00885A4E" w:rsidRPr="00CB45A8">
        <w:t xml:space="preserve"> </w:t>
      </w:r>
      <w:r w:rsidR="00233756" w:rsidRPr="00CB45A8">
        <w:t>S</w:t>
      </w:r>
      <w:r w:rsidR="004775EA" w:rsidRPr="00CB45A8">
        <w:t>tage</w:t>
      </w:r>
      <w:r w:rsidR="00885A4E" w:rsidRPr="00CB45A8">
        <w:t xml:space="preserve"> </w:t>
      </w:r>
      <w:r w:rsidR="00233756" w:rsidRPr="00CB45A8">
        <w:t>6</w:t>
      </w:r>
      <w:r w:rsidR="004775EA" w:rsidRPr="00CB45A8">
        <w:t xml:space="preserve"> </w:t>
      </w:r>
      <w:r w:rsidR="00885A4E" w:rsidRPr="00CB45A8">
        <w:t>(</w:t>
      </w:r>
      <w:r w:rsidR="004775EA" w:rsidRPr="00CB45A8">
        <w:t>Year</w:t>
      </w:r>
      <w:r w:rsidR="00885A4E" w:rsidRPr="00CB45A8">
        <w:t xml:space="preserve"> </w:t>
      </w:r>
      <w:r w:rsidR="00233756" w:rsidRPr="00CB45A8">
        <w:t>12</w:t>
      </w:r>
      <w:r w:rsidR="00885A4E" w:rsidRPr="00CB45A8">
        <w:t xml:space="preserve">) </w:t>
      </w:r>
      <w:r w:rsidR="004775EA" w:rsidRPr="00CB45A8">
        <w:t xml:space="preserve">– </w:t>
      </w:r>
      <w:bookmarkEnd w:id="7"/>
      <w:r w:rsidR="00FB23BC">
        <w:t xml:space="preserve">sample </w:t>
      </w:r>
      <w:r w:rsidR="00473C36" w:rsidRPr="00CB45A8">
        <w:t>assessment schedule</w:t>
      </w:r>
      <w:bookmarkEnd w:id="8"/>
    </w:p>
    <w:p w14:paraId="1E30AC0B" w14:textId="6DC90C76" w:rsidR="0025103A" w:rsidRDefault="0025103A" w:rsidP="00684CDB">
      <w:pPr>
        <w:pStyle w:val="Caption"/>
      </w:pPr>
      <w:r>
        <w:t xml:space="preserve">Table </w:t>
      </w:r>
      <w:r w:rsidR="00EC5816">
        <w:fldChar w:fldCharType="begin"/>
      </w:r>
      <w:r w:rsidR="00EC5816">
        <w:instrText xml:space="preserve"> SEQ Table \* ARABIC </w:instrText>
      </w:r>
      <w:r w:rsidR="00EC5816">
        <w:fldChar w:fldCharType="separate"/>
      </w:r>
      <w:r>
        <w:rPr>
          <w:noProof/>
        </w:rPr>
        <w:t>1</w:t>
      </w:r>
      <w:r w:rsidR="00EC5816">
        <w:rPr>
          <w:noProof/>
        </w:rPr>
        <w:fldChar w:fldCharType="end"/>
      </w:r>
      <w:r>
        <w:t xml:space="preserve"> – </w:t>
      </w:r>
      <w:r w:rsidR="00233756">
        <w:t>Enterprise Computing</w:t>
      </w:r>
      <w:r w:rsidR="00BD355D">
        <w:t xml:space="preserve"> Stage 6</w:t>
      </w:r>
      <w:r w:rsidR="00233756">
        <w:t xml:space="preserve"> </w:t>
      </w:r>
      <w:r w:rsidR="00BD355D">
        <w:t>(</w:t>
      </w:r>
      <w:r w:rsidR="00233756">
        <w:t>Year 12</w:t>
      </w:r>
      <w:r w:rsidR="00BD355D">
        <w:t>)</w:t>
      </w:r>
      <w:r>
        <w:t xml:space="preserve"> </w:t>
      </w:r>
      <w:r w:rsidR="00473C36">
        <w:t>sample assessment schedule</w:t>
      </w:r>
    </w:p>
    <w:tbl>
      <w:tblPr>
        <w:tblW w:w="4830" w:type="pct"/>
        <w:tblBorders>
          <w:left w:val="single" w:sz="4"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Sample assessment schedule outlining components of schedule, 4 tasks and component weighting."/>
      </w:tblPr>
      <w:tblGrid>
        <w:gridCol w:w="2201"/>
        <w:gridCol w:w="2513"/>
        <w:gridCol w:w="2513"/>
        <w:gridCol w:w="2932"/>
        <w:gridCol w:w="2372"/>
        <w:gridCol w:w="1536"/>
      </w:tblGrid>
      <w:tr w:rsidR="00473C36" w:rsidRPr="00F3092C" w14:paraId="5AD46D33" w14:textId="77777777">
        <w:trPr>
          <w:trHeight w:val="680"/>
          <w:tblHeader/>
        </w:trPr>
        <w:tc>
          <w:tcPr>
            <w:tcW w:w="782" w:type="pct"/>
            <w:tcBorders>
              <w:bottom w:val="nil"/>
              <w:right w:val="nil"/>
            </w:tcBorders>
            <w:shd w:val="clear" w:color="auto" w:fill="002664"/>
          </w:tcPr>
          <w:p w14:paraId="4C44D399" w14:textId="77777777" w:rsidR="00473C36" w:rsidRDefault="00473C36">
            <w:pPr>
              <w:widowControl w:val="0"/>
              <w:mirrorIndents/>
              <w:rPr>
                <w:b/>
                <w:szCs w:val="22"/>
              </w:rPr>
            </w:pPr>
            <w:r>
              <w:rPr>
                <w:b/>
              </w:rPr>
              <w:t>Components</w:t>
            </w:r>
          </w:p>
        </w:tc>
        <w:tc>
          <w:tcPr>
            <w:tcW w:w="893" w:type="pct"/>
            <w:tcBorders>
              <w:left w:val="nil"/>
              <w:bottom w:val="nil"/>
              <w:right w:val="nil"/>
            </w:tcBorders>
            <w:shd w:val="clear" w:color="auto" w:fill="002664"/>
          </w:tcPr>
          <w:p w14:paraId="077677DE" w14:textId="77777777" w:rsidR="00473C36" w:rsidRDefault="00473C36">
            <w:pPr>
              <w:widowControl w:val="0"/>
              <w:mirrorIndents/>
              <w:rPr>
                <w:b/>
                <w:szCs w:val="22"/>
              </w:rPr>
            </w:pPr>
            <w:r>
              <w:rPr>
                <w:b/>
              </w:rPr>
              <w:t>Task 1</w:t>
            </w:r>
            <w:r>
              <w:rPr>
                <w:b/>
              </w:rPr>
              <w:br/>
              <w:t xml:space="preserve">Data </w:t>
            </w:r>
            <w:r w:rsidR="007927CF">
              <w:rPr>
                <w:b/>
              </w:rPr>
              <w:t>s</w:t>
            </w:r>
            <w:r>
              <w:rPr>
                <w:b/>
              </w:rPr>
              <w:t xml:space="preserve">cience </w:t>
            </w:r>
            <w:r w:rsidR="007927CF">
              <w:rPr>
                <w:b/>
              </w:rPr>
              <w:t>t</w:t>
            </w:r>
            <w:r>
              <w:rPr>
                <w:b/>
              </w:rPr>
              <w:t>ask</w:t>
            </w:r>
          </w:p>
        </w:tc>
        <w:tc>
          <w:tcPr>
            <w:tcW w:w="893" w:type="pct"/>
            <w:tcBorders>
              <w:left w:val="nil"/>
              <w:bottom w:val="nil"/>
              <w:right w:val="nil"/>
            </w:tcBorders>
            <w:shd w:val="clear" w:color="auto" w:fill="002664"/>
          </w:tcPr>
          <w:p w14:paraId="66E1269C" w14:textId="77777777" w:rsidR="00473C36" w:rsidRDefault="00473C36">
            <w:pPr>
              <w:widowControl w:val="0"/>
              <w:mirrorIndents/>
              <w:rPr>
                <w:b/>
                <w:szCs w:val="22"/>
              </w:rPr>
            </w:pPr>
            <w:r>
              <w:rPr>
                <w:b/>
              </w:rPr>
              <w:t>Task 2</w:t>
            </w:r>
            <w:r>
              <w:rPr>
                <w:b/>
              </w:rPr>
              <w:br/>
              <w:t xml:space="preserve">Data </w:t>
            </w:r>
            <w:r w:rsidR="007927CF">
              <w:rPr>
                <w:b/>
              </w:rPr>
              <w:t>v</w:t>
            </w:r>
            <w:r>
              <w:rPr>
                <w:b/>
              </w:rPr>
              <w:t xml:space="preserve">isualisation </w:t>
            </w:r>
            <w:r w:rsidR="007927CF">
              <w:rPr>
                <w:b/>
              </w:rPr>
              <w:t>t</w:t>
            </w:r>
            <w:r>
              <w:rPr>
                <w:b/>
              </w:rPr>
              <w:t>ask</w:t>
            </w:r>
          </w:p>
        </w:tc>
        <w:tc>
          <w:tcPr>
            <w:tcW w:w="1042" w:type="pct"/>
            <w:tcBorders>
              <w:left w:val="nil"/>
              <w:bottom w:val="nil"/>
              <w:right w:val="nil"/>
            </w:tcBorders>
            <w:shd w:val="clear" w:color="auto" w:fill="002664"/>
          </w:tcPr>
          <w:p w14:paraId="669319E4" w14:textId="0565628F" w:rsidR="00473C36" w:rsidRDefault="00473C36">
            <w:pPr>
              <w:widowControl w:val="0"/>
              <w:mirrorIndents/>
              <w:rPr>
                <w:b/>
                <w:szCs w:val="22"/>
              </w:rPr>
            </w:pPr>
            <w:r>
              <w:rPr>
                <w:b/>
              </w:rPr>
              <w:t>Task 3</w:t>
            </w:r>
            <w:r>
              <w:rPr>
                <w:b/>
              </w:rPr>
              <w:br/>
            </w:r>
            <w:r w:rsidR="00A264CF">
              <w:rPr>
                <w:b/>
              </w:rPr>
              <w:t xml:space="preserve">Individual </w:t>
            </w:r>
            <w:r w:rsidR="004B237C">
              <w:rPr>
                <w:b/>
              </w:rPr>
              <w:t xml:space="preserve">enterprise </w:t>
            </w:r>
            <w:r w:rsidR="007927CF">
              <w:rPr>
                <w:b/>
              </w:rPr>
              <w:t>p</w:t>
            </w:r>
            <w:r>
              <w:rPr>
                <w:b/>
              </w:rPr>
              <w:t>roject</w:t>
            </w:r>
          </w:p>
        </w:tc>
        <w:tc>
          <w:tcPr>
            <w:tcW w:w="843" w:type="pct"/>
            <w:tcBorders>
              <w:left w:val="nil"/>
              <w:bottom w:val="nil"/>
              <w:right w:val="nil"/>
            </w:tcBorders>
            <w:shd w:val="clear" w:color="auto" w:fill="002664"/>
          </w:tcPr>
          <w:p w14:paraId="34553D42" w14:textId="3DD579D1" w:rsidR="00473C36" w:rsidRDefault="00473C36">
            <w:pPr>
              <w:widowControl w:val="0"/>
              <w:mirrorIndents/>
              <w:rPr>
                <w:b/>
                <w:szCs w:val="22"/>
              </w:rPr>
            </w:pPr>
            <w:r>
              <w:rPr>
                <w:b/>
              </w:rPr>
              <w:t>Task 4</w:t>
            </w:r>
            <w:r>
              <w:rPr>
                <w:b/>
              </w:rPr>
              <w:br/>
              <w:t xml:space="preserve">HSC </w:t>
            </w:r>
            <w:r w:rsidR="004B237C">
              <w:rPr>
                <w:b/>
              </w:rPr>
              <w:t>trial examination</w:t>
            </w:r>
          </w:p>
        </w:tc>
        <w:tc>
          <w:tcPr>
            <w:tcW w:w="546" w:type="pct"/>
            <w:tcBorders>
              <w:left w:val="nil"/>
              <w:bottom w:val="nil"/>
            </w:tcBorders>
            <w:shd w:val="clear" w:color="auto" w:fill="002664"/>
          </w:tcPr>
          <w:p w14:paraId="451BE95D" w14:textId="77777777" w:rsidR="00473C36" w:rsidRDefault="00473C36">
            <w:pPr>
              <w:widowControl w:val="0"/>
              <w:mirrorIndents/>
              <w:rPr>
                <w:b/>
                <w:szCs w:val="22"/>
              </w:rPr>
            </w:pPr>
            <w:r>
              <w:rPr>
                <w:b/>
              </w:rPr>
              <w:t>Component weighting</w:t>
            </w:r>
          </w:p>
        </w:tc>
      </w:tr>
      <w:tr w:rsidR="00473C36" w:rsidRPr="00F3092C" w14:paraId="4015937E" w14:textId="77777777">
        <w:tc>
          <w:tcPr>
            <w:tcW w:w="782" w:type="pct"/>
            <w:shd w:val="clear" w:color="auto" w:fill="FFFFFF"/>
            <w:noWrap/>
          </w:tcPr>
          <w:p w14:paraId="226E2442" w14:textId="77777777" w:rsidR="00473C36" w:rsidRDefault="00473C36">
            <w:pPr>
              <w:widowControl w:val="0"/>
              <w:mirrorIndents/>
              <w:rPr>
                <w:b/>
                <w:szCs w:val="22"/>
              </w:rPr>
            </w:pPr>
            <w:r>
              <w:rPr>
                <w:b/>
              </w:rPr>
              <w:t>Due date</w:t>
            </w:r>
          </w:p>
        </w:tc>
        <w:tc>
          <w:tcPr>
            <w:tcW w:w="893" w:type="pct"/>
            <w:shd w:val="clear" w:color="auto" w:fill="FFFFFF"/>
            <w:noWrap/>
          </w:tcPr>
          <w:p w14:paraId="7671AC93" w14:textId="77777777" w:rsidR="00473C36" w:rsidRDefault="00473C36">
            <w:pPr>
              <w:widowControl w:val="0"/>
              <w:mirrorIndents/>
              <w:rPr>
                <w:b/>
                <w:szCs w:val="22"/>
              </w:rPr>
            </w:pPr>
            <w:r w:rsidRPr="00552100">
              <w:t xml:space="preserve">Term </w:t>
            </w:r>
            <w:r w:rsidR="000859C7">
              <w:t>4</w:t>
            </w:r>
            <w:r w:rsidRPr="00552100">
              <w:t xml:space="preserve"> Week 9</w:t>
            </w:r>
          </w:p>
        </w:tc>
        <w:tc>
          <w:tcPr>
            <w:tcW w:w="893" w:type="pct"/>
            <w:shd w:val="clear" w:color="auto" w:fill="FFFFFF"/>
            <w:noWrap/>
          </w:tcPr>
          <w:p w14:paraId="01F670E0" w14:textId="4E8DD221" w:rsidR="00473C36" w:rsidRDefault="00473C36">
            <w:pPr>
              <w:widowControl w:val="0"/>
              <w:mirrorIndents/>
              <w:rPr>
                <w:b/>
                <w:szCs w:val="22"/>
              </w:rPr>
            </w:pPr>
            <w:r w:rsidRPr="00552100">
              <w:t xml:space="preserve">Term </w:t>
            </w:r>
            <w:r w:rsidR="000859C7">
              <w:t>1</w:t>
            </w:r>
            <w:r w:rsidRPr="00552100">
              <w:t xml:space="preserve"> Week </w:t>
            </w:r>
            <w:r w:rsidR="004F4FC4">
              <w:t>10</w:t>
            </w:r>
          </w:p>
        </w:tc>
        <w:tc>
          <w:tcPr>
            <w:tcW w:w="1042" w:type="pct"/>
            <w:shd w:val="clear" w:color="auto" w:fill="FFFFFF"/>
            <w:noWrap/>
          </w:tcPr>
          <w:p w14:paraId="66550363" w14:textId="4BC552B8" w:rsidR="00473C36" w:rsidRDefault="00473C36">
            <w:pPr>
              <w:widowControl w:val="0"/>
              <w:mirrorIndents/>
              <w:rPr>
                <w:b/>
                <w:szCs w:val="22"/>
              </w:rPr>
            </w:pPr>
            <w:r w:rsidRPr="00552100">
              <w:t xml:space="preserve">Term </w:t>
            </w:r>
            <w:r w:rsidR="004F4FC4">
              <w:t>2</w:t>
            </w:r>
            <w:r w:rsidRPr="00552100">
              <w:t xml:space="preserve"> </w:t>
            </w:r>
            <w:r>
              <w:t xml:space="preserve">Week </w:t>
            </w:r>
            <w:r w:rsidR="004F4FC4">
              <w:t>10</w:t>
            </w:r>
          </w:p>
        </w:tc>
        <w:tc>
          <w:tcPr>
            <w:tcW w:w="843" w:type="pct"/>
            <w:shd w:val="clear" w:color="auto" w:fill="FFFFFF"/>
            <w:noWrap/>
          </w:tcPr>
          <w:p w14:paraId="666FC7C7" w14:textId="1DD15ADF" w:rsidR="00473C36" w:rsidRDefault="00473C36">
            <w:pPr>
              <w:widowControl w:val="0"/>
              <w:mirrorIndents/>
              <w:rPr>
                <w:b/>
                <w:szCs w:val="22"/>
              </w:rPr>
            </w:pPr>
            <w:r>
              <w:t>Term 3 Weeks 5</w:t>
            </w:r>
            <w:r w:rsidR="004B237C">
              <w:t>–</w:t>
            </w:r>
            <w:r>
              <w:t>6</w:t>
            </w:r>
          </w:p>
        </w:tc>
        <w:tc>
          <w:tcPr>
            <w:tcW w:w="546" w:type="pct"/>
            <w:shd w:val="clear" w:color="auto" w:fill="FFFFFF"/>
            <w:noWrap/>
          </w:tcPr>
          <w:p w14:paraId="695013D4" w14:textId="77777777" w:rsidR="00473C36" w:rsidRDefault="00473C36">
            <w:pPr>
              <w:widowControl w:val="0"/>
              <w:mirrorIndents/>
              <w:rPr>
                <w:b/>
                <w:szCs w:val="22"/>
              </w:rPr>
            </w:pPr>
          </w:p>
        </w:tc>
      </w:tr>
      <w:tr w:rsidR="00473C36" w:rsidRPr="00F3092C" w14:paraId="1DA7C462" w14:textId="77777777">
        <w:tc>
          <w:tcPr>
            <w:tcW w:w="782" w:type="pct"/>
            <w:shd w:val="clear" w:color="auto" w:fill="EBEBEB"/>
            <w:noWrap/>
          </w:tcPr>
          <w:p w14:paraId="16C81CB2" w14:textId="77777777" w:rsidR="00473C36" w:rsidRDefault="00473C36">
            <w:pPr>
              <w:widowControl w:val="0"/>
              <w:mirrorIndents/>
              <w:rPr>
                <w:b/>
                <w:szCs w:val="22"/>
              </w:rPr>
            </w:pPr>
            <w:r>
              <w:rPr>
                <w:b/>
              </w:rPr>
              <w:t>Outcomes assessed</w:t>
            </w:r>
          </w:p>
        </w:tc>
        <w:tc>
          <w:tcPr>
            <w:tcW w:w="893" w:type="pct"/>
            <w:shd w:val="clear" w:color="auto" w:fill="EBEBEB"/>
            <w:noWrap/>
          </w:tcPr>
          <w:p w14:paraId="16019CED" w14:textId="769C7F82" w:rsidR="00473C36" w:rsidRDefault="00473C36">
            <w:pPr>
              <w:widowControl w:val="0"/>
              <w:mirrorIndents/>
              <w:rPr>
                <w:b/>
                <w:szCs w:val="22"/>
              </w:rPr>
            </w:pPr>
            <w:r w:rsidRPr="004026B0">
              <w:t>EC-12-02</w:t>
            </w:r>
            <w:r>
              <w:t xml:space="preserve">, </w:t>
            </w:r>
            <w:r w:rsidRPr="004026B0">
              <w:t>EC-12-04</w:t>
            </w:r>
            <w:r>
              <w:t xml:space="preserve">, </w:t>
            </w:r>
            <w:r w:rsidRPr="004026B0">
              <w:t>EC-12-05</w:t>
            </w:r>
          </w:p>
        </w:tc>
        <w:tc>
          <w:tcPr>
            <w:tcW w:w="893" w:type="pct"/>
            <w:shd w:val="clear" w:color="auto" w:fill="EBEBEB"/>
            <w:noWrap/>
          </w:tcPr>
          <w:p w14:paraId="56EDF5C8" w14:textId="6CD49D3A" w:rsidR="00473C36" w:rsidRDefault="00473C36">
            <w:pPr>
              <w:widowControl w:val="0"/>
              <w:mirrorIndents/>
              <w:rPr>
                <w:b/>
                <w:szCs w:val="22"/>
              </w:rPr>
            </w:pPr>
            <w:r w:rsidRPr="004026B0">
              <w:t>EC-12-01</w:t>
            </w:r>
            <w:r>
              <w:t>,</w:t>
            </w:r>
            <w:r w:rsidR="00DB0DD3" w:rsidRPr="004026B0">
              <w:t xml:space="preserve"> EC-12-05</w:t>
            </w:r>
            <w:r w:rsidR="00DB0DD3">
              <w:t>,</w:t>
            </w:r>
            <w:r>
              <w:t xml:space="preserve"> </w:t>
            </w:r>
            <w:r w:rsidRPr="004026B0">
              <w:t>EC-12-06</w:t>
            </w:r>
            <w:r>
              <w:t xml:space="preserve">, </w:t>
            </w:r>
            <w:r w:rsidRPr="004026B0">
              <w:t>EC-12-11</w:t>
            </w:r>
          </w:p>
        </w:tc>
        <w:tc>
          <w:tcPr>
            <w:tcW w:w="1042" w:type="pct"/>
            <w:shd w:val="clear" w:color="auto" w:fill="EBEBEB"/>
            <w:noWrap/>
          </w:tcPr>
          <w:p w14:paraId="01FAD0A7" w14:textId="33A0B5C7" w:rsidR="00473C36" w:rsidRDefault="00473C36">
            <w:pPr>
              <w:widowControl w:val="0"/>
              <w:mirrorIndents/>
              <w:rPr>
                <w:b/>
                <w:szCs w:val="22"/>
              </w:rPr>
            </w:pPr>
            <w:r w:rsidRPr="004026B0">
              <w:t>EC-12-0</w:t>
            </w:r>
            <w:r w:rsidR="00BD355D">
              <w:t>6</w:t>
            </w:r>
            <w:r>
              <w:t xml:space="preserve">, </w:t>
            </w:r>
            <w:r w:rsidRPr="004026B0">
              <w:t>EC-12-0</w:t>
            </w:r>
            <w:r w:rsidR="00BD355D">
              <w:t>7</w:t>
            </w:r>
            <w:r>
              <w:t xml:space="preserve">, </w:t>
            </w:r>
            <w:r w:rsidRPr="004026B0">
              <w:t>EC-12-08</w:t>
            </w:r>
            <w:r>
              <w:t xml:space="preserve">, </w:t>
            </w:r>
            <w:r w:rsidRPr="004026B0">
              <w:t>EC-12-09</w:t>
            </w:r>
            <w:r>
              <w:t xml:space="preserve">, </w:t>
            </w:r>
            <w:r w:rsidRPr="004026B0">
              <w:t>EC-12-10</w:t>
            </w:r>
            <w:r w:rsidR="00D92BC8">
              <w:t>, EC-12-11</w:t>
            </w:r>
          </w:p>
        </w:tc>
        <w:tc>
          <w:tcPr>
            <w:tcW w:w="843" w:type="pct"/>
            <w:shd w:val="clear" w:color="auto" w:fill="EBEBEB"/>
            <w:noWrap/>
          </w:tcPr>
          <w:p w14:paraId="0E2345BA" w14:textId="376A68F0" w:rsidR="00473C36" w:rsidRDefault="00473C36">
            <w:pPr>
              <w:widowControl w:val="0"/>
              <w:mirrorIndents/>
              <w:rPr>
                <w:b/>
                <w:szCs w:val="22"/>
              </w:rPr>
            </w:pPr>
            <w:r w:rsidRPr="004026B0">
              <w:t>EC-12-01</w:t>
            </w:r>
            <w:r>
              <w:t xml:space="preserve">, </w:t>
            </w:r>
            <w:r w:rsidRPr="004026B0">
              <w:t>EC-12-02</w:t>
            </w:r>
            <w:r>
              <w:t xml:space="preserve">, </w:t>
            </w:r>
            <w:r w:rsidRPr="004026B0">
              <w:t>EC-12-03</w:t>
            </w:r>
            <w:r>
              <w:t xml:space="preserve">, </w:t>
            </w:r>
            <w:r w:rsidRPr="004026B0">
              <w:t>EC-12-04</w:t>
            </w:r>
            <w:r>
              <w:t xml:space="preserve">, </w:t>
            </w:r>
            <w:r w:rsidRPr="004026B0">
              <w:t>EC-12-05</w:t>
            </w:r>
            <w:r>
              <w:t xml:space="preserve">, </w:t>
            </w:r>
            <w:r w:rsidRPr="004026B0">
              <w:t>EC-12-06</w:t>
            </w:r>
            <w:r>
              <w:t xml:space="preserve">, </w:t>
            </w:r>
            <w:r w:rsidRPr="004026B0">
              <w:t>EC-12-0</w:t>
            </w:r>
            <w:r>
              <w:t xml:space="preserve">7, </w:t>
            </w:r>
            <w:r w:rsidRPr="004026B0">
              <w:t>EC-12-08</w:t>
            </w:r>
            <w:r>
              <w:t xml:space="preserve">, </w:t>
            </w:r>
            <w:r w:rsidRPr="004026B0">
              <w:t>EC-12-09</w:t>
            </w:r>
            <w:r>
              <w:t xml:space="preserve">, </w:t>
            </w:r>
            <w:r w:rsidRPr="004026B0">
              <w:t>EC-12-10</w:t>
            </w:r>
            <w:r>
              <w:t xml:space="preserve">, </w:t>
            </w:r>
            <w:r w:rsidRPr="004026B0">
              <w:t>EC-12-11</w:t>
            </w:r>
          </w:p>
        </w:tc>
        <w:tc>
          <w:tcPr>
            <w:tcW w:w="546" w:type="pct"/>
            <w:shd w:val="clear" w:color="auto" w:fill="EBEBEB"/>
            <w:noWrap/>
          </w:tcPr>
          <w:p w14:paraId="7A36A6BE" w14:textId="77777777" w:rsidR="00473C36" w:rsidRDefault="00473C36">
            <w:pPr>
              <w:widowControl w:val="0"/>
              <w:mirrorIndents/>
              <w:rPr>
                <w:b/>
                <w:szCs w:val="22"/>
              </w:rPr>
            </w:pPr>
          </w:p>
        </w:tc>
      </w:tr>
      <w:tr w:rsidR="00473C36" w:rsidRPr="00F3092C" w14:paraId="4CEF803D" w14:textId="77777777">
        <w:tc>
          <w:tcPr>
            <w:tcW w:w="782" w:type="pct"/>
            <w:shd w:val="clear" w:color="auto" w:fill="FFFFFF"/>
            <w:noWrap/>
          </w:tcPr>
          <w:p w14:paraId="482592BB" w14:textId="77777777" w:rsidR="00473C36" w:rsidRDefault="00473C36">
            <w:pPr>
              <w:widowControl w:val="0"/>
              <w:mirrorIndents/>
              <w:rPr>
                <w:b/>
                <w:szCs w:val="22"/>
              </w:rPr>
            </w:pPr>
            <w:r>
              <w:rPr>
                <w:b/>
              </w:rPr>
              <w:t>Knowledge and understanding of course content</w:t>
            </w:r>
          </w:p>
        </w:tc>
        <w:tc>
          <w:tcPr>
            <w:tcW w:w="893" w:type="pct"/>
            <w:shd w:val="clear" w:color="auto" w:fill="FFFFFF"/>
            <w:noWrap/>
          </w:tcPr>
          <w:p w14:paraId="647AF370" w14:textId="77777777" w:rsidR="00473C36" w:rsidRDefault="00473C36">
            <w:pPr>
              <w:widowControl w:val="0"/>
              <w:mirrorIndents/>
              <w:jc w:val="center"/>
              <w:rPr>
                <w:b/>
                <w:szCs w:val="22"/>
              </w:rPr>
            </w:pPr>
            <w:r w:rsidRPr="00552100">
              <w:t>10</w:t>
            </w:r>
          </w:p>
        </w:tc>
        <w:tc>
          <w:tcPr>
            <w:tcW w:w="893" w:type="pct"/>
            <w:shd w:val="clear" w:color="auto" w:fill="FFFFFF"/>
            <w:noWrap/>
          </w:tcPr>
          <w:p w14:paraId="5BD9F1EB" w14:textId="77777777" w:rsidR="00473C36" w:rsidRDefault="00473C36">
            <w:pPr>
              <w:widowControl w:val="0"/>
              <w:mirrorIndents/>
              <w:jc w:val="center"/>
              <w:rPr>
                <w:b/>
                <w:szCs w:val="22"/>
              </w:rPr>
            </w:pPr>
            <w:r w:rsidRPr="00552100">
              <w:t>10</w:t>
            </w:r>
          </w:p>
        </w:tc>
        <w:tc>
          <w:tcPr>
            <w:tcW w:w="1042" w:type="pct"/>
            <w:shd w:val="clear" w:color="auto" w:fill="FFFFFF"/>
            <w:noWrap/>
          </w:tcPr>
          <w:p w14:paraId="5322A33B" w14:textId="77777777" w:rsidR="00473C36" w:rsidRDefault="00473C36">
            <w:pPr>
              <w:widowControl w:val="0"/>
              <w:mirrorIndents/>
              <w:jc w:val="center"/>
              <w:rPr>
                <w:b/>
                <w:szCs w:val="22"/>
              </w:rPr>
            </w:pPr>
            <w:r>
              <w:t>15</w:t>
            </w:r>
          </w:p>
        </w:tc>
        <w:tc>
          <w:tcPr>
            <w:tcW w:w="843" w:type="pct"/>
            <w:shd w:val="clear" w:color="auto" w:fill="FFFFFF"/>
            <w:noWrap/>
          </w:tcPr>
          <w:p w14:paraId="72DCE69F" w14:textId="77777777" w:rsidR="00473C36" w:rsidRDefault="00473C36">
            <w:pPr>
              <w:widowControl w:val="0"/>
              <w:mirrorIndents/>
              <w:jc w:val="center"/>
              <w:rPr>
                <w:b/>
                <w:szCs w:val="22"/>
              </w:rPr>
            </w:pPr>
            <w:r>
              <w:rPr>
                <w:bCs/>
              </w:rPr>
              <w:t>15</w:t>
            </w:r>
          </w:p>
        </w:tc>
        <w:tc>
          <w:tcPr>
            <w:tcW w:w="546" w:type="pct"/>
            <w:shd w:val="clear" w:color="auto" w:fill="FFFFFF"/>
            <w:noWrap/>
          </w:tcPr>
          <w:p w14:paraId="1F8859F3" w14:textId="77777777" w:rsidR="00473C36" w:rsidRDefault="00473C36">
            <w:pPr>
              <w:widowControl w:val="0"/>
              <w:mirrorIndents/>
              <w:jc w:val="center"/>
              <w:rPr>
                <w:b/>
                <w:szCs w:val="22"/>
              </w:rPr>
            </w:pPr>
            <w:r>
              <w:rPr>
                <w:bCs/>
              </w:rPr>
              <w:t>50%</w:t>
            </w:r>
          </w:p>
        </w:tc>
      </w:tr>
      <w:tr w:rsidR="00473C36" w:rsidRPr="00F3092C" w14:paraId="1E83BC66" w14:textId="77777777">
        <w:tc>
          <w:tcPr>
            <w:tcW w:w="782" w:type="pct"/>
            <w:shd w:val="clear" w:color="auto" w:fill="EBEBEB"/>
            <w:noWrap/>
          </w:tcPr>
          <w:p w14:paraId="1B179082" w14:textId="77777777" w:rsidR="00473C36" w:rsidRDefault="00473C36">
            <w:pPr>
              <w:widowControl w:val="0"/>
              <w:mirrorIndents/>
              <w:rPr>
                <w:b/>
                <w:szCs w:val="22"/>
              </w:rPr>
            </w:pPr>
            <w:r>
              <w:rPr>
                <w:b/>
              </w:rPr>
              <w:t xml:space="preserve">Knowledge and skills in the </w:t>
            </w:r>
            <w:r>
              <w:rPr>
                <w:b/>
              </w:rPr>
              <w:lastRenderedPageBreak/>
              <w:t>practical application of the content</w:t>
            </w:r>
          </w:p>
        </w:tc>
        <w:tc>
          <w:tcPr>
            <w:tcW w:w="893" w:type="pct"/>
            <w:shd w:val="clear" w:color="auto" w:fill="EBEBEB"/>
            <w:noWrap/>
          </w:tcPr>
          <w:p w14:paraId="720F97BA" w14:textId="77777777" w:rsidR="00473C36" w:rsidRDefault="00CB45A8">
            <w:pPr>
              <w:widowControl w:val="0"/>
              <w:mirrorIndents/>
              <w:jc w:val="center"/>
              <w:rPr>
                <w:b/>
                <w:szCs w:val="22"/>
              </w:rPr>
            </w:pPr>
            <w:r>
              <w:lastRenderedPageBreak/>
              <w:t>10</w:t>
            </w:r>
          </w:p>
        </w:tc>
        <w:tc>
          <w:tcPr>
            <w:tcW w:w="893" w:type="pct"/>
            <w:shd w:val="clear" w:color="auto" w:fill="EBEBEB"/>
            <w:noWrap/>
          </w:tcPr>
          <w:p w14:paraId="5B3CA5DE" w14:textId="77777777" w:rsidR="00473C36" w:rsidRDefault="00473C36">
            <w:pPr>
              <w:widowControl w:val="0"/>
              <w:mirrorIndents/>
              <w:jc w:val="center"/>
              <w:rPr>
                <w:b/>
                <w:szCs w:val="22"/>
              </w:rPr>
            </w:pPr>
            <w:r>
              <w:t>1</w:t>
            </w:r>
            <w:r w:rsidR="00CB45A8">
              <w:t>0</w:t>
            </w:r>
          </w:p>
        </w:tc>
        <w:tc>
          <w:tcPr>
            <w:tcW w:w="1042" w:type="pct"/>
            <w:shd w:val="clear" w:color="auto" w:fill="EBEBEB"/>
            <w:noWrap/>
          </w:tcPr>
          <w:p w14:paraId="40B413AF" w14:textId="77777777" w:rsidR="00473C36" w:rsidRDefault="00473C36">
            <w:pPr>
              <w:widowControl w:val="0"/>
              <w:mirrorIndents/>
              <w:jc w:val="center"/>
              <w:rPr>
                <w:b/>
                <w:szCs w:val="22"/>
              </w:rPr>
            </w:pPr>
            <w:r>
              <w:t>15</w:t>
            </w:r>
          </w:p>
        </w:tc>
        <w:tc>
          <w:tcPr>
            <w:tcW w:w="843" w:type="pct"/>
            <w:shd w:val="clear" w:color="auto" w:fill="EBEBEB"/>
            <w:noWrap/>
          </w:tcPr>
          <w:p w14:paraId="5763F8D7" w14:textId="77777777" w:rsidR="00473C36" w:rsidRDefault="00473C36">
            <w:pPr>
              <w:widowControl w:val="0"/>
              <w:mirrorIndents/>
              <w:jc w:val="center"/>
              <w:rPr>
                <w:b/>
                <w:szCs w:val="22"/>
              </w:rPr>
            </w:pPr>
            <w:r>
              <w:rPr>
                <w:bCs/>
              </w:rPr>
              <w:t>15</w:t>
            </w:r>
          </w:p>
        </w:tc>
        <w:tc>
          <w:tcPr>
            <w:tcW w:w="546" w:type="pct"/>
            <w:shd w:val="clear" w:color="auto" w:fill="EBEBEB"/>
            <w:noWrap/>
          </w:tcPr>
          <w:p w14:paraId="314E28E6" w14:textId="77777777" w:rsidR="00473C36" w:rsidRDefault="00473C36">
            <w:pPr>
              <w:widowControl w:val="0"/>
              <w:mirrorIndents/>
              <w:jc w:val="center"/>
              <w:rPr>
                <w:b/>
                <w:szCs w:val="22"/>
              </w:rPr>
            </w:pPr>
            <w:r>
              <w:rPr>
                <w:bCs/>
              </w:rPr>
              <w:t>50%</w:t>
            </w:r>
          </w:p>
        </w:tc>
      </w:tr>
      <w:tr w:rsidR="00473C36" w:rsidRPr="00F3092C" w14:paraId="71A4C473" w14:textId="77777777">
        <w:tc>
          <w:tcPr>
            <w:tcW w:w="782" w:type="pct"/>
            <w:shd w:val="clear" w:color="auto" w:fill="FFFFFF"/>
            <w:noWrap/>
          </w:tcPr>
          <w:p w14:paraId="3EDF5B6A" w14:textId="77777777" w:rsidR="00473C36" w:rsidRDefault="00473C36">
            <w:pPr>
              <w:widowControl w:val="0"/>
              <w:mirrorIndents/>
              <w:rPr>
                <w:b/>
                <w:szCs w:val="22"/>
              </w:rPr>
            </w:pPr>
            <w:r>
              <w:rPr>
                <w:b/>
              </w:rPr>
              <w:t>Total task weighting</w:t>
            </w:r>
          </w:p>
        </w:tc>
        <w:tc>
          <w:tcPr>
            <w:tcW w:w="893" w:type="pct"/>
            <w:shd w:val="clear" w:color="auto" w:fill="FFFFFF"/>
            <w:noWrap/>
          </w:tcPr>
          <w:p w14:paraId="19C2BA7E" w14:textId="77777777" w:rsidR="00473C36" w:rsidRDefault="00CB45A8">
            <w:pPr>
              <w:widowControl w:val="0"/>
              <w:mirrorIndents/>
              <w:jc w:val="center"/>
              <w:rPr>
                <w:b/>
                <w:szCs w:val="22"/>
              </w:rPr>
            </w:pPr>
            <w:r>
              <w:t>20</w:t>
            </w:r>
            <w:r w:rsidR="00473C36" w:rsidRPr="00552100">
              <w:t>%</w:t>
            </w:r>
          </w:p>
        </w:tc>
        <w:tc>
          <w:tcPr>
            <w:tcW w:w="893" w:type="pct"/>
            <w:shd w:val="clear" w:color="auto" w:fill="FFFFFF"/>
            <w:noWrap/>
          </w:tcPr>
          <w:p w14:paraId="5E79241A" w14:textId="77777777" w:rsidR="00473C36" w:rsidRDefault="00473C36">
            <w:pPr>
              <w:widowControl w:val="0"/>
              <w:mirrorIndents/>
              <w:jc w:val="center"/>
              <w:rPr>
                <w:b/>
                <w:szCs w:val="22"/>
              </w:rPr>
            </w:pPr>
            <w:r>
              <w:t>2</w:t>
            </w:r>
            <w:r w:rsidR="00CB45A8">
              <w:t>0</w:t>
            </w:r>
            <w:r w:rsidRPr="00552100">
              <w:t>%</w:t>
            </w:r>
          </w:p>
        </w:tc>
        <w:tc>
          <w:tcPr>
            <w:tcW w:w="1042" w:type="pct"/>
            <w:shd w:val="clear" w:color="auto" w:fill="FFFFFF"/>
            <w:noWrap/>
          </w:tcPr>
          <w:p w14:paraId="686AD95A" w14:textId="77777777" w:rsidR="00473C36" w:rsidRDefault="00473C36">
            <w:pPr>
              <w:widowControl w:val="0"/>
              <w:mirrorIndents/>
              <w:jc w:val="center"/>
              <w:rPr>
                <w:b/>
                <w:szCs w:val="22"/>
              </w:rPr>
            </w:pPr>
            <w:r>
              <w:t>3</w:t>
            </w:r>
            <w:r w:rsidRPr="00552100">
              <w:t>0%</w:t>
            </w:r>
          </w:p>
        </w:tc>
        <w:tc>
          <w:tcPr>
            <w:tcW w:w="843" w:type="pct"/>
            <w:shd w:val="clear" w:color="auto" w:fill="FFFFFF"/>
            <w:noWrap/>
          </w:tcPr>
          <w:p w14:paraId="66213EB7" w14:textId="77777777" w:rsidR="00473C36" w:rsidRDefault="00473C36">
            <w:pPr>
              <w:widowControl w:val="0"/>
              <w:mirrorIndents/>
              <w:jc w:val="center"/>
              <w:rPr>
                <w:b/>
                <w:szCs w:val="22"/>
              </w:rPr>
            </w:pPr>
            <w:r>
              <w:t>3</w:t>
            </w:r>
            <w:r w:rsidRPr="00552100">
              <w:t>0%</w:t>
            </w:r>
          </w:p>
        </w:tc>
        <w:tc>
          <w:tcPr>
            <w:tcW w:w="546" w:type="pct"/>
            <w:shd w:val="clear" w:color="auto" w:fill="FFFFFF"/>
            <w:noWrap/>
          </w:tcPr>
          <w:p w14:paraId="246FD756" w14:textId="77777777" w:rsidR="00473C36" w:rsidRDefault="00473C36">
            <w:pPr>
              <w:widowControl w:val="0"/>
              <w:mirrorIndents/>
              <w:jc w:val="center"/>
              <w:rPr>
                <w:b/>
                <w:szCs w:val="22"/>
              </w:rPr>
            </w:pPr>
            <w:r>
              <w:rPr>
                <w:bCs/>
              </w:rPr>
              <w:t>100%</w:t>
            </w:r>
          </w:p>
        </w:tc>
      </w:tr>
    </w:tbl>
    <w:bookmarkStart w:id="9" w:name="_Toc112409827"/>
    <w:bookmarkStart w:id="10" w:name="_Toc147483515"/>
    <w:p w14:paraId="5911512F" w14:textId="15B717FB" w:rsidR="00E258F6" w:rsidRDefault="00AD1A01" w:rsidP="00E258F6">
      <w:pPr>
        <w:pStyle w:val="Imageattributioncaption"/>
      </w:pPr>
      <w:r>
        <w:fldChar w:fldCharType="begin"/>
      </w:r>
      <w:r w:rsidR="004B237C">
        <w:instrText>HYPERLINK "https://curriculum.nsw.edu.au/learning-areas/tas/enterprise-computing-11-12-2022/overview"</w:instrText>
      </w:r>
      <w:r>
        <w:fldChar w:fldCharType="separate"/>
      </w:r>
      <w:r w:rsidR="00233756" w:rsidRPr="00AD1A01">
        <w:rPr>
          <w:rStyle w:val="Hyperlink"/>
        </w:rPr>
        <w:t>Enterprise Computing</w:t>
      </w:r>
      <w:r w:rsidR="00E258F6" w:rsidRPr="00AD1A01">
        <w:rPr>
          <w:rStyle w:val="Hyperlink"/>
        </w:rPr>
        <w:t xml:space="preserve"> </w:t>
      </w:r>
      <w:r w:rsidR="00233756" w:rsidRPr="00AD1A01">
        <w:rPr>
          <w:rStyle w:val="Hyperlink"/>
        </w:rPr>
        <w:t>11</w:t>
      </w:r>
      <w:r w:rsidR="00F877E2">
        <w:rPr>
          <w:rStyle w:val="Hyperlink"/>
        </w:rPr>
        <w:t>–</w:t>
      </w:r>
      <w:r w:rsidR="00233756" w:rsidRPr="00AD1A01">
        <w:rPr>
          <w:rStyle w:val="Hyperlink"/>
        </w:rPr>
        <w:t>12</w:t>
      </w:r>
      <w:r w:rsidR="00E258F6" w:rsidRPr="00AD1A01">
        <w:rPr>
          <w:rStyle w:val="Hyperlink"/>
        </w:rPr>
        <w:t xml:space="preserve"> Syllabus</w:t>
      </w:r>
      <w:r>
        <w:fldChar w:fldCharType="end"/>
      </w:r>
      <w:r w:rsidR="00E258F6" w:rsidRPr="00E258F6">
        <w:t xml:space="preserve"> © NSW Education Standards Authority (NESA) for and on behalf of the Crown in right of the State of New South Wales,</w:t>
      </w:r>
      <w:r w:rsidR="00233756">
        <w:t xml:space="preserve"> 2022</w:t>
      </w:r>
      <w:r w:rsidR="00E258F6" w:rsidRPr="00E258F6">
        <w:t>.</w:t>
      </w:r>
    </w:p>
    <w:p w14:paraId="37448523" w14:textId="7893F956" w:rsidR="00997B84" w:rsidRPr="00997B84" w:rsidRDefault="00997B84" w:rsidP="00997B84">
      <w:r w:rsidRPr="00552100">
        <w:t xml:space="preserve">The </w:t>
      </w:r>
      <w:hyperlink r:id="rId8" w:anchor="performance-band-descriptions-for-enterprise-computing-enterprise_computing_11_12_2022" w:history="1">
        <w:r w:rsidR="004B237C" w:rsidRPr="001871E6">
          <w:rPr>
            <w:rStyle w:val="Hyperlink"/>
          </w:rPr>
          <w:t>Performance band descript</w:t>
        </w:r>
        <w:r w:rsidR="004B237C">
          <w:rPr>
            <w:rStyle w:val="Hyperlink"/>
          </w:rPr>
          <w:t>ions</w:t>
        </w:r>
      </w:hyperlink>
      <w:r w:rsidR="004B237C" w:rsidRPr="00552100">
        <w:t xml:space="preserve"> </w:t>
      </w:r>
      <w:r w:rsidRPr="00552100">
        <w:t>should be used to report student achievement</w:t>
      </w:r>
      <w:r w:rsidR="001871E6">
        <w:t>.</w:t>
      </w:r>
    </w:p>
    <w:p w14:paraId="08645703" w14:textId="77777777" w:rsidR="00E625FD" w:rsidRPr="00CB45A8" w:rsidRDefault="00E915B8" w:rsidP="00CB45A8">
      <w:pPr>
        <w:pStyle w:val="Heading1"/>
      </w:pPr>
      <w:bookmarkStart w:id="11" w:name="_Toc1022999069"/>
      <w:bookmarkStart w:id="12" w:name="_Toc112409828"/>
      <w:bookmarkStart w:id="13" w:name="_Toc147483516"/>
      <w:bookmarkEnd w:id="9"/>
      <w:bookmarkEnd w:id="10"/>
      <w:r>
        <w:br w:type="page"/>
      </w:r>
      <w:bookmarkStart w:id="14" w:name="_Toc160003712"/>
      <w:r w:rsidR="00E625FD" w:rsidRPr="00CB45A8">
        <w:lastRenderedPageBreak/>
        <w:t>Support and alignment</w:t>
      </w:r>
      <w:bookmarkEnd w:id="14"/>
    </w:p>
    <w:p w14:paraId="0C6AC6E4" w14:textId="2EDBE495" w:rsidR="00233756" w:rsidRPr="00336620" w:rsidRDefault="009F36CD" w:rsidP="00233756">
      <w:bookmarkStart w:id="15" w:name="_Hlk148102399"/>
      <w:bookmarkEnd w:id="11"/>
      <w:bookmarkEnd w:id="12"/>
      <w:bookmarkEnd w:id="13"/>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w:t>
      </w:r>
      <w:r w:rsidR="00233756" w:rsidRPr="00336620">
        <w:t xml:space="preserve">TAS curriculum team by emailing </w:t>
      </w:r>
      <w:hyperlink r:id="rId9" w:history="1">
        <w:r w:rsidR="00233756" w:rsidRPr="00336620">
          <w:rPr>
            <w:rStyle w:val="Hyperlink"/>
          </w:rPr>
          <w:t>TAS@det.nsw.edu.au</w:t>
        </w:r>
      </w:hyperlink>
      <w:r w:rsidR="00233756" w:rsidRPr="00336620">
        <w:t>.</w:t>
      </w:r>
    </w:p>
    <w:p w14:paraId="775CC02A" w14:textId="2B25A4A4" w:rsidR="009F36CD" w:rsidRPr="00C82E19" w:rsidRDefault="009F36CD" w:rsidP="009F36CD">
      <w:pPr>
        <w:rPr>
          <w:rFonts w:eastAsia="Arial"/>
        </w:rPr>
      </w:pPr>
      <w:r w:rsidRPr="19B962B9">
        <w:rPr>
          <w:b/>
          <w:bCs/>
        </w:rPr>
        <w:t xml:space="preserve">Differentiation: </w:t>
      </w:r>
      <w:r w:rsidR="004D18D4" w:rsidRPr="00233756">
        <w:t>f</w:t>
      </w:r>
      <w:r w:rsidRPr="19B962B9">
        <w:rPr>
          <w:rFonts w:eastAsia="Arial"/>
        </w:rPr>
        <w:t>urther advice to support Aboriginal and Torres Strait Islander students, EAL</w:t>
      </w:r>
      <w:r w:rsidR="0049593F">
        <w:rPr>
          <w:rFonts w:eastAsia="Arial"/>
        </w:rPr>
        <w:t>/</w:t>
      </w:r>
      <w:r w:rsidRPr="19B962B9">
        <w:rPr>
          <w:rFonts w:eastAsia="Arial"/>
        </w:rPr>
        <w:t xml:space="preserve">D students, students with a disability and/or additional needs and High Potential and gifted students can be found on the </w:t>
      </w:r>
      <w:hyperlink r:id="rId10">
        <w:r w:rsidRPr="19B962B9">
          <w:rPr>
            <w:rStyle w:val="Hyperlink"/>
            <w:rFonts w:eastAsia="Arial"/>
          </w:rPr>
          <w:t>Planning</w:t>
        </w:r>
        <w:r w:rsidR="0049593F">
          <w:rPr>
            <w:rStyle w:val="Hyperlink"/>
            <w:rFonts w:eastAsia="Arial"/>
          </w:rPr>
          <w:t>,</w:t>
        </w:r>
        <w:r w:rsidRPr="19B962B9">
          <w:rPr>
            <w:rStyle w:val="Hyperlink"/>
            <w:rFonts w:eastAsia="Arial"/>
          </w:rPr>
          <w:t xml:space="preserve"> programming and assessing 7</w:t>
        </w:r>
        <w:r w:rsidR="0049593F">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1" w:history="1">
        <w:r w:rsidRPr="00BD39B0">
          <w:rPr>
            <w:rStyle w:val="Hyperlink"/>
          </w:rPr>
          <w:t>Inclusion and differentiation</w:t>
        </w:r>
        <w:r w:rsidR="0049593F" w:rsidRPr="0049593F">
          <w:rPr>
            <w:rStyle w:val="Hyperlink"/>
          </w:rPr>
          <w:t xml:space="preserve"> advice </w:t>
        </w:r>
        <w:r w:rsidRPr="00BD39B0">
          <w:rPr>
            <w:rStyle w:val="Hyperlink"/>
          </w:rPr>
          <w:t>7</w:t>
        </w:r>
        <w:r w:rsidR="004D18D4">
          <w:rPr>
            <w:rStyle w:val="Hyperlink"/>
          </w:rPr>
          <w:t>–</w:t>
        </w:r>
        <w:r w:rsidRPr="00BD39B0">
          <w:rPr>
            <w:rStyle w:val="Hyperlink"/>
          </w:rPr>
          <w:t>10</w:t>
        </w:r>
      </w:hyperlink>
      <w:r>
        <w:t xml:space="preserve"> webpage.</w:t>
      </w:r>
    </w:p>
    <w:p w14:paraId="3C44F2F6" w14:textId="5E29FB46"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2">
        <w:r w:rsidRPr="19B962B9">
          <w:rPr>
            <w:rStyle w:val="Hyperlink"/>
            <w:rFonts w:eastAsia="Arial"/>
          </w:rPr>
          <w:t>Planning</w:t>
        </w:r>
        <w:r w:rsidR="0049593F">
          <w:rPr>
            <w:rStyle w:val="Hyperlink"/>
            <w:rFonts w:eastAsia="Arial"/>
          </w:rPr>
          <w:t>,</w:t>
        </w:r>
        <w:r w:rsidRPr="19B962B9">
          <w:rPr>
            <w:rStyle w:val="Hyperlink"/>
            <w:rFonts w:eastAsia="Arial"/>
          </w:rPr>
          <w:t xml:space="preserve"> programming and assessing 7</w:t>
        </w:r>
        <w:r w:rsidR="0049593F">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w:t>
      </w:r>
    </w:p>
    <w:p w14:paraId="3C2989D4" w14:textId="0B998227" w:rsidR="009F36CD" w:rsidRDefault="009F36CD" w:rsidP="009F36CD">
      <w:r w:rsidRPr="002E7C6F">
        <w:rPr>
          <w:b/>
          <w:bCs/>
        </w:rPr>
        <w:t>Consulted with</w:t>
      </w:r>
      <w:r>
        <w:t>: Curriculum and Reform</w:t>
      </w:r>
      <w:r w:rsidR="00233756">
        <w:t xml:space="preserve"> </w:t>
      </w:r>
      <w:r>
        <w:t>and subject matter experts</w:t>
      </w:r>
    </w:p>
    <w:p w14:paraId="20996847" w14:textId="4758E7BE" w:rsidR="009F36CD" w:rsidRDefault="009F36CD" w:rsidP="009F36CD">
      <w:r w:rsidRPr="002E7C6F">
        <w:rPr>
          <w:b/>
          <w:bCs/>
        </w:rPr>
        <w:t>Alignment to system priorities and/or needs</w:t>
      </w:r>
      <w:r>
        <w:t xml:space="preserve">: </w:t>
      </w:r>
      <w:hyperlink r:id="rId13" w:history="1">
        <w:r w:rsidRPr="00D336ED">
          <w:rPr>
            <w:rStyle w:val="Hyperlink"/>
          </w:rPr>
          <w:t>School Excellence Policy</w:t>
        </w:r>
      </w:hyperlink>
    </w:p>
    <w:p w14:paraId="3842329A"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14" w:history="1">
        <w:r w:rsidRPr="00D336ED">
          <w:rPr>
            <w:rStyle w:val="Hyperlink"/>
          </w:rPr>
          <w:t>School Excellence Framework</w:t>
        </w:r>
      </w:hyperlink>
      <w:r>
        <w:t xml:space="preserve"> elements of curriculum (curriculum provision) and effective classroom practice (lesson planning, explicit teaching).</w:t>
      </w:r>
    </w:p>
    <w:p w14:paraId="5E9C0A5F" w14:textId="77777777"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15">
        <w:r w:rsidRPr="708AD2A7">
          <w:rPr>
            <w:rStyle w:val="Hyperlink"/>
          </w:rPr>
          <w:t>Australian Professional Teaching Standards</w:t>
        </w:r>
      </w:hyperlink>
      <w:r>
        <w:t xml:space="preserve"> </w:t>
      </w:r>
      <w:r w:rsidR="00150BDB">
        <w:t>1.2.2, 2.2.2, 2.3.2</w:t>
      </w:r>
      <w:r w:rsidR="00CB45A8">
        <w:t>.</w:t>
      </w:r>
    </w:p>
    <w:p w14:paraId="2346C2D8" w14:textId="77777777" w:rsidR="00762C8B" w:rsidRDefault="00E15BE9" w:rsidP="004775EA">
      <w:pPr>
        <w:rPr>
          <w:rStyle w:val="Strong"/>
        </w:rPr>
      </w:pPr>
      <w:r w:rsidRPr="00E15BE9">
        <w:rPr>
          <w:rStyle w:val="Strong"/>
        </w:rPr>
        <w:t>Creation date:</w:t>
      </w:r>
      <w:bookmarkEnd w:id="15"/>
      <w:r w:rsidR="00233756">
        <w:rPr>
          <w:rStyle w:val="Strong"/>
        </w:rPr>
        <w:t xml:space="preserve"> </w:t>
      </w:r>
      <w:r w:rsidR="00233756" w:rsidRPr="00233756">
        <w:rPr>
          <w:rStyle w:val="Strong"/>
          <w:b w:val="0"/>
          <w:bCs w:val="0"/>
        </w:rPr>
        <w:t>2024</w:t>
      </w:r>
    </w:p>
    <w:p w14:paraId="6CAD9442" w14:textId="77777777" w:rsidR="00ED4BFA" w:rsidRPr="00CB45A8" w:rsidRDefault="00ED4BFA" w:rsidP="00CB45A8">
      <w:pPr>
        <w:pStyle w:val="Heading1"/>
      </w:pPr>
      <w:bookmarkStart w:id="16" w:name="_Toc147483517"/>
      <w:bookmarkStart w:id="17" w:name="_Toc160003713"/>
      <w:r w:rsidRPr="00CB45A8">
        <w:lastRenderedPageBreak/>
        <w:t xml:space="preserve">Evidence </w:t>
      </w:r>
      <w:r w:rsidR="004668C5" w:rsidRPr="00CB45A8">
        <w:t>base</w:t>
      </w:r>
      <w:bookmarkEnd w:id="16"/>
      <w:bookmarkEnd w:id="17"/>
    </w:p>
    <w:p w14:paraId="39849784" w14:textId="77777777" w:rsidR="00DA4E49" w:rsidRPr="00AE7FE3" w:rsidRDefault="00DA4E49" w:rsidP="00DA4E49">
      <w:pPr>
        <w:pStyle w:val="FeatureBox2"/>
      </w:pPr>
      <w:bookmarkStart w:id="18" w:name="_Hlk159835650"/>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B57334" w14:textId="77777777" w:rsidR="00DA4E49" w:rsidRPr="00AE7FE3" w:rsidRDefault="00DA4E49" w:rsidP="00DA4E49">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021159FA" w14:textId="77777777" w:rsidR="00DA4E49" w:rsidRDefault="00DA4E49" w:rsidP="00DA4E49">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Pr>
            <w:rStyle w:val="Hyperlink"/>
          </w:rPr>
          <w:t>https://educationstandards.nsw.edu.au</w:t>
        </w:r>
      </w:hyperlink>
      <w:r w:rsidRPr="00A1020E">
        <w:t xml:space="preserve"> </w:t>
      </w:r>
      <w:r w:rsidRPr="00AE7FE3">
        <w:t xml:space="preserve">and the NSW Curriculum website </w:t>
      </w:r>
      <w:hyperlink r:id="rId18" w:history="1">
        <w:r>
          <w:rPr>
            <w:rStyle w:val="Hyperlink"/>
          </w:rPr>
          <w:t>https://curriculum.nsw.edu.au</w:t>
        </w:r>
      </w:hyperlink>
      <w:r w:rsidRPr="00AE7FE3">
        <w:t>.</w:t>
      </w:r>
    </w:p>
    <w:bookmarkEnd w:id="18"/>
    <w:p w14:paraId="2295B91F" w14:textId="33E2EB93" w:rsidR="008B6F21" w:rsidRDefault="00EC5816" w:rsidP="008B6F21">
      <w:pPr>
        <w:spacing w:before="0" w:after="160"/>
      </w:pPr>
      <w:r>
        <w:fldChar w:fldCharType="begin"/>
      </w:r>
      <w:r w:rsidR="004B237C">
        <w:instrText>HYPERLINK "https://curriculum.nsw.edu.au/learning-areas/tas/enterprise-computing-11-12-2022/overview"</w:instrText>
      </w:r>
      <w:r>
        <w:fldChar w:fldCharType="separate"/>
      </w:r>
      <w:r w:rsidR="00233756" w:rsidRPr="00336620">
        <w:rPr>
          <w:rStyle w:val="Hyperlink"/>
        </w:rPr>
        <w:t>Enterprise Computing 11–12 Syllabus</w:t>
      </w:r>
      <w:r>
        <w:rPr>
          <w:rStyle w:val="Hyperlink"/>
        </w:rPr>
        <w:fldChar w:fldCharType="end"/>
      </w:r>
      <w:r w:rsidR="00233756">
        <w:t xml:space="preserve"> </w:t>
      </w:r>
      <w:r w:rsidR="008B6F21" w:rsidRPr="00915F7E">
        <w:t>©</w:t>
      </w:r>
      <w:r w:rsidR="008B6F21" w:rsidRPr="00C63EA7">
        <w:t xml:space="preserve"> NSW Education Standards Authority (NESA) for and on behalf of the Crown in right of the State of New South Wales, </w:t>
      </w:r>
      <w:r w:rsidR="00CB45A8">
        <w:t>2022</w:t>
      </w:r>
      <w:r w:rsidR="008B6F21" w:rsidRPr="00C63EA7">
        <w:t>.</w:t>
      </w:r>
    </w:p>
    <w:p w14:paraId="64EB8EDC" w14:textId="7B0D5946" w:rsidR="00962DCD" w:rsidRDefault="00ED4BFA" w:rsidP="00ED4BFA">
      <w:r>
        <w:t>Wiliam D (2013)</w:t>
      </w:r>
      <w:r w:rsidR="004775EA">
        <w:t xml:space="preserve"> </w:t>
      </w:r>
      <w:r w:rsidR="004775EA" w:rsidRPr="127B10CA">
        <w:rPr>
          <w:noProof/>
        </w:rPr>
        <w:t>‘</w:t>
      </w:r>
      <w:hyperlink r:id="rId19">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21(2):15–20, accessed</w:t>
      </w:r>
      <w:r w:rsidR="00AE67E4">
        <w:t xml:space="preserve"> </w:t>
      </w:r>
      <w:r w:rsidR="00452B2C">
        <w:t>20 February 2024</w:t>
      </w:r>
      <w:r w:rsidR="002334C4">
        <w:t>.</w:t>
      </w:r>
    </w:p>
    <w:p w14:paraId="3BD47B65" w14:textId="77777777" w:rsidR="00684CDB" w:rsidRDefault="00684CDB" w:rsidP="00ED4BFA">
      <w:pPr>
        <w:sectPr w:rsidR="00684CDB" w:rsidSect="00C419E6">
          <w:headerReference w:type="default" r:id="rId20"/>
          <w:footerReference w:type="even" r:id="rId21"/>
          <w:footerReference w:type="default" r:id="rId22"/>
          <w:headerReference w:type="first" r:id="rId23"/>
          <w:footerReference w:type="first" r:id="rId24"/>
          <w:pgSz w:w="16838" w:h="11906" w:orient="landscape"/>
          <w:pgMar w:top="1134" w:right="1134" w:bottom="1134" w:left="1134" w:header="709" w:footer="709" w:gutter="0"/>
          <w:pgNumType w:start="0"/>
          <w:cols w:space="708"/>
          <w:titlePg/>
          <w:docGrid w:linePitch="360"/>
        </w:sectPr>
      </w:pPr>
    </w:p>
    <w:p w14:paraId="5682EBBE" w14:textId="77777777" w:rsidR="00DA4E49" w:rsidRPr="00E80FFD" w:rsidRDefault="00DA4E49" w:rsidP="00DA4E49">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779AC664" w14:textId="77777777" w:rsidR="00DA4E49" w:rsidRPr="00E80FFD" w:rsidRDefault="00DA4E49" w:rsidP="00DA4E49">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7B9D987" w14:textId="77777777" w:rsidR="00DA4E49" w:rsidRDefault="00DA4E49" w:rsidP="00DA4E49">
      <w:r w:rsidRPr="00E80FFD">
        <w:t>Copyright material available in this resource</w:t>
      </w:r>
      <w:r>
        <w:t xml:space="preserve"> and owned by the NSW Department of Education is licensed under a </w:t>
      </w:r>
      <w:hyperlink r:id="rId25" w:history="1">
        <w:r w:rsidRPr="003B3E41">
          <w:rPr>
            <w:rStyle w:val="Hyperlink"/>
          </w:rPr>
          <w:t>Creative Commons Attribution 4.0 International (CC BY 4.0) license</w:t>
        </w:r>
      </w:hyperlink>
      <w:r>
        <w:t>.</w:t>
      </w:r>
    </w:p>
    <w:p w14:paraId="7FDAB26E" w14:textId="77777777" w:rsidR="00DA4E49" w:rsidRDefault="00DA4E49" w:rsidP="00DA4E49">
      <w:pPr>
        <w:spacing w:line="276" w:lineRule="auto"/>
      </w:pPr>
      <w:r>
        <w:rPr>
          <w:noProof/>
        </w:rPr>
        <w:drawing>
          <wp:inline distT="0" distB="0" distL="0" distR="0" wp14:anchorId="5EA787E2" wp14:editId="5C14C1E4">
            <wp:extent cx="1228725" cy="428625"/>
            <wp:effectExtent l="0" t="0" r="9525" b="9525"/>
            <wp:docPr id="32" name="Picture 32" descr="Creative Commons Attribution licens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FC347B" w14:textId="77777777" w:rsidR="00DA4E49" w:rsidRPr="00E80FFD" w:rsidRDefault="00DA4E49" w:rsidP="00DA4E49">
      <w:r w:rsidRPr="002D3434">
        <w:t xml:space="preserve">This license allows you to share and </w:t>
      </w:r>
      <w:r w:rsidRPr="00E80FFD">
        <w:t>adapt the material for any purpose, even commercially.</w:t>
      </w:r>
    </w:p>
    <w:p w14:paraId="7D75F260" w14:textId="77777777" w:rsidR="00DA4E49" w:rsidRPr="00E80FFD" w:rsidRDefault="00DA4E49" w:rsidP="00DA4E49">
      <w:r w:rsidRPr="00E80FFD">
        <w:t>Attribution should be given to © State of New South Wales (Department of Education), 202</w:t>
      </w:r>
      <w:r>
        <w:t>4</w:t>
      </w:r>
      <w:r w:rsidRPr="00E80FFD">
        <w:t>.</w:t>
      </w:r>
    </w:p>
    <w:p w14:paraId="30E046B6" w14:textId="77777777" w:rsidR="00DA4E49" w:rsidRPr="002D3434" w:rsidRDefault="00DA4E49" w:rsidP="00DA4E49">
      <w:r w:rsidRPr="00E80FFD">
        <w:t>Material in this resource not available</w:t>
      </w:r>
      <w:r w:rsidRPr="002D3434">
        <w:t xml:space="preserve"> under a Creative Commons license:</w:t>
      </w:r>
    </w:p>
    <w:p w14:paraId="27057515" w14:textId="77777777" w:rsidR="00DA4E49" w:rsidRPr="002D3434" w:rsidRDefault="00DA4E49" w:rsidP="00DA4E49">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17696C9D" w14:textId="77777777" w:rsidR="00DA4E49" w:rsidRPr="002D3434" w:rsidRDefault="00DA4E49" w:rsidP="00DA4E49">
      <w:pPr>
        <w:pStyle w:val="ListBullet"/>
        <w:spacing w:line="276" w:lineRule="auto"/>
        <w:contextualSpacing/>
      </w:pPr>
      <w:r w:rsidRPr="002D3434">
        <w:t>material owned by a third party that has been reproduced with permission. You will need to obtain permission from the third party to reuse its material.</w:t>
      </w:r>
    </w:p>
    <w:p w14:paraId="42788F8A" w14:textId="77777777" w:rsidR="00DA4E49" w:rsidRPr="003B3E41" w:rsidRDefault="00DA4E49" w:rsidP="00DA4E49">
      <w:pPr>
        <w:pStyle w:val="FeatureBox2"/>
        <w:spacing w:line="276" w:lineRule="auto"/>
        <w:rPr>
          <w:rStyle w:val="Strong"/>
        </w:rPr>
      </w:pPr>
      <w:r w:rsidRPr="003B3E41">
        <w:rPr>
          <w:rStyle w:val="Strong"/>
        </w:rPr>
        <w:t>Links to third-party material and websites</w:t>
      </w:r>
    </w:p>
    <w:p w14:paraId="26276612" w14:textId="77777777" w:rsidR="00DA4E49" w:rsidRDefault="00DA4E49" w:rsidP="00DA4E4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837836" w14:textId="77777777" w:rsidR="00DA4E49" w:rsidRPr="00EC22E4" w:rsidRDefault="00DA4E49" w:rsidP="00DA4E4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DA4E49" w:rsidRPr="00EC22E4" w:rsidSect="00C419E6">
      <w:headerReference w:type="default" r:id="rId27"/>
      <w:footerReference w:type="default" r:id="rId28"/>
      <w:headerReference w:type="first" r:id="rId29"/>
      <w:footerReference w:type="first" r:id="rId3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4D2" w14:textId="77777777" w:rsidR="00C419E6" w:rsidRDefault="00C419E6" w:rsidP="00E51733">
      <w:r>
        <w:separator/>
      </w:r>
    </w:p>
  </w:endnote>
  <w:endnote w:type="continuationSeparator" w:id="0">
    <w:p w14:paraId="39E7497A" w14:textId="77777777" w:rsidR="00C419E6" w:rsidRDefault="00C419E6" w:rsidP="00E51733">
      <w:r>
        <w:continuationSeparator/>
      </w:r>
    </w:p>
  </w:endnote>
  <w:endnote w:type="continuationNotice" w:id="1">
    <w:p w14:paraId="4259082A" w14:textId="77777777" w:rsidR="00C419E6" w:rsidRDefault="00C419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2A45" w14:textId="7214FEB9" w:rsidR="00F66145" w:rsidRPr="00E56264" w:rsidRDefault="00677835" w:rsidP="00F3092C">
    <w:pPr>
      <w:pStyle w:val="Footer"/>
      <w:tabs>
        <w:tab w:val="clear" w:pos="4513"/>
        <w:tab w:val="clear" w:pos="9026"/>
        <w:tab w:val="clear" w:pos="10773"/>
        <w:tab w:val="right" w:pos="14570"/>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A19F1">
      <w:rPr>
        <w:noProof/>
      </w:rPr>
      <w:t>Apr-24</w:t>
    </w:r>
    <w:r w:rsidRPr="00E56264">
      <w:fldChar w:fldCharType="end"/>
    </w:r>
    <w:r w:rsidR="00F3092C"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00F3092C" w:rsidRPr="00E5626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5D3D" w14:textId="5BBC087C" w:rsidR="00F66145" w:rsidRPr="00684CDB" w:rsidRDefault="00684CDB" w:rsidP="00F3092C">
    <w:pPr>
      <w:pStyle w:val="Footer"/>
      <w:tabs>
        <w:tab w:val="clear" w:pos="4513"/>
        <w:tab w:val="clear" w:pos="9026"/>
        <w:tab w:val="clear" w:pos="10773"/>
        <w:tab w:val="right" w:pos="14570"/>
      </w:tabs>
    </w:pPr>
    <w:r>
      <w:t xml:space="preserve">© NSW Department of Education, </w:t>
    </w:r>
    <w:r>
      <w:fldChar w:fldCharType="begin"/>
    </w:r>
    <w:r>
      <w:instrText xml:space="preserve"> DATE  \@ "MMM-yy"  \* MERGEFORMAT </w:instrText>
    </w:r>
    <w:r>
      <w:fldChar w:fldCharType="separate"/>
    </w:r>
    <w:r w:rsidR="00AA19F1">
      <w:rPr>
        <w:noProof/>
      </w:rPr>
      <w:t>Apr-24</w:t>
    </w:r>
    <w:r>
      <w:fldChar w:fldCharType="end"/>
    </w:r>
    <w:r w:rsidR="00F3092C">
      <w:rPr>
        <w:b/>
        <w:noProof/>
        <w:sz w:val="28"/>
        <w:szCs w:val="28"/>
      </w:rPr>
      <w:tab/>
    </w:r>
    <w:r w:rsidR="00DA4E49">
      <w:rPr>
        <w:b/>
        <w:noProof/>
        <w:sz w:val="28"/>
        <w:szCs w:val="28"/>
      </w:rPr>
      <w:drawing>
        <wp:inline distT="0" distB="0" distL="0" distR="0" wp14:anchorId="2CBBA552" wp14:editId="4645315B">
          <wp:extent cx="571500" cy="190500"/>
          <wp:effectExtent l="0" t="0" r="0" b="0"/>
          <wp:docPr id="1" name="Picture 2"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846E" w14:textId="77777777" w:rsidR="004D3F7B" w:rsidRPr="002F375A" w:rsidRDefault="004D3F7B" w:rsidP="004D3F7B">
    <w:pPr>
      <w:pStyle w:val="Logo"/>
      <w:ind w:right="-31"/>
      <w:jc w:val="right"/>
    </w:pPr>
    <w:r w:rsidRPr="008426B6">
      <w:rPr>
        <w:noProof/>
      </w:rPr>
      <w:drawing>
        <wp:inline distT="0" distB="0" distL="0" distR="0" wp14:anchorId="390F5E42" wp14:editId="1D9FCBD7">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F78" w14:textId="77777777" w:rsidR="00FA47A8" w:rsidRDefault="00FA47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540" w14:textId="77777777" w:rsidR="00FA47A8" w:rsidRPr="00E80FFD" w:rsidRDefault="00FA47A8"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922B" w14:textId="77777777" w:rsidR="00C419E6" w:rsidRDefault="00C419E6" w:rsidP="00E51733">
      <w:r>
        <w:separator/>
      </w:r>
    </w:p>
  </w:footnote>
  <w:footnote w:type="continuationSeparator" w:id="0">
    <w:p w14:paraId="1BB0A3ED" w14:textId="77777777" w:rsidR="00C419E6" w:rsidRDefault="00C419E6" w:rsidP="00E51733">
      <w:r>
        <w:continuationSeparator/>
      </w:r>
    </w:p>
  </w:footnote>
  <w:footnote w:type="continuationNotice" w:id="1">
    <w:p w14:paraId="6913D556" w14:textId="77777777" w:rsidR="00C419E6" w:rsidRDefault="00C419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206" w14:textId="77777777" w:rsidR="00684CDB" w:rsidRDefault="00233756" w:rsidP="00684CDB">
    <w:pPr>
      <w:pStyle w:val="Documentname"/>
    </w:pPr>
    <w:r>
      <w:t>Enterprise Computing</w:t>
    </w:r>
    <w:r w:rsidR="00603A3A" w:rsidRPr="00603A3A">
      <w:t xml:space="preserve"> Stage </w:t>
    </w:r>
    <w:r>
      <w:t>6</w:t>
    </w:r>
    <w:r w:rsidR="00603A3A" w:rsidRPr="00603A3A">
      <w:t xml:space="preserve"> (Year </w:t>
    </w:r>
    <w:r>
      <w:t>12</w:t>
    </w:r>
    <w:r w:rsidR="00603A3A" w:rsidRPr="00603A3A">
      <w:t xml:space="preserve">) – sample </w:t>
    </w:r>
    <w:r w:rsidR="00473C36">
      <w:t>assessment schedule</w:t>
    </w:r>
    <w:r w:rsidR="00603A3A" w:rsidRPr="00603A3A">
      <w:t xml:space="preserve"> </w:t>
    </w:r>
    <w:r w:rsidR="00684CDB" w:rsidRPr="00D2403C">
      <w:t xml:space="preserve">| </w:t>
    </w:r>
    <w:r w:rsidR="00684CDB">
      <w:fldChar w:fldCharType="begin"/>
    </w:r>
    <w:r w:rsidR="00684CDB">
      <w:instrText xml:space="preserve"> PAGE   \* MERGEFORMAT </w:instrText>
    </w:r>
    <w:r w:rsidR="00684CDB">
      <w:fldChar w:fldCharType="separate"/>
    </w:r>
    <w:r w:rsidR="00684CDB">
      <w:t>2</w:t>
    </w:r>
    <w:r w:rsidR="00684CD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E64" w14:textId="77777777" w:rsidR="00761246" w:rsidRPr="00684CDB" w:rsidRDefault="00E46CCD" w:rsidP="00F3092C">
    <w:pPr>
      <w:pStyle w:val="Header"/>
      <w:tabs>
        <w:tab w:val="right" w:pos="14570"/>
      </w:tabs>
      <w:spacing w:after="0"/>
    </w:pPr>
    <w:r>
      <w:pict w14:anchorId="4AC47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alt="" style="position:absolute;margin-left:-355.75pt;margin-top:-341.4pt;width:1439.8pt;height:734.9pt;z-index:-251658752;mso-wrap-edited:f;mso-width-percent:0;mso-height-percent:0;mso-position-horizontal-relative:margin;mso-position-vertical-relative:margin;mso-width-percent:0;mso-height-percent:0" o:allowincell="f">
          <v:imagedata r:id="rId1" o:title="Untitled design (1)" cropbottom="6069f"/>
          <w10:wrap anchorx="margin" anchory="margin"/>
        </v:shape>
      </w:pict>
    </w:r>
    <w:r w:rsidR="00684CDB" w:rsidRPr="009D43DD">
      <w:t>NSW Department of Education</w:t>
    </w:r>
    <w:r w:rsidR="00F3092C" w:rsidRPr="00684CD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2B09" w14:textId="77777777" w:rsidR="00FA47A8" w:rsidRDefault="00FA47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16E" w14:textId="77777777" w:rsidR="00FA47A8" w:rsidRPr="00FA6449" w:rsidRDefault="00FA47A8"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E8ACBD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097555525">
    <w:abstractNumId w:val="2"/>
  </w:num>
  <w:num w:numId="2" w16cid:durableId="135646848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813210573">
    <w:abstractNumId w:val="0"/>
  </w:num>
  <w:num w:numId="4" w16cid:durableId="708065559">
    <w:abstractNumId w:val="2"/>
  </w:num>
  <w:num w:numId="5" w16cid:durableId="2008897399">
    <w:abstractNumId w:val="5"/>
  </w:num>
  <w:num w:numId="6" w16cid:durableId="668870655">
    <w:abstractNumId w:val="3"/>
  </w:num>
  <w:num w:numId="7" w16cid:durableId="241139678">
    <w:abstractNumId w:val="2"/>
  </w:num>
  <w:num w:numId="8" w16cid:durableId="1305551648">
    <w:abstractNumId w:val="6"/>
  </w:num>
  <w:num w:numId="9" w16cid:durableId="801656743">
    <w:abstractNumId w:val="1"/>
  </w:num>
  <w:num w:numId="10" w16cid:durableId="179517543">
    <w:abstractNumId w:val="1"/>
  </w:num>
  <w:num w:numId="11" w16cid:durableId="2066639428">
    <w:abstractNumId w:val="2"/>
  </w:num>
  <w:num w:numId="12" w16cid:durableId="67191370">
    <w:abstractNumId w:val="2"/>
  </w:num>
  <w:num w:numId="13" w16cid:durableId="1483962672">
    <w:abstractNumId w:val="2"/>
  </w:num>
  <w:num w:numId="14" w16cid:durableId="86662568">
    <w:abstractNumId w:val="2"/>
  </w:num>
  <w:num w:numId="15" w16cid:durableId="1103187321">
    <w:abstractNumId w:val="2"/>
  </w:num>
  <w:num w:numId="16" w16cid:durableId="1696080360">
    <w:abstractNumId w:val="2"/>
  </w:num>
  <w:num w:numId="17" w16cid:durableId="62223154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8" w16cid:durableId="394161639">
    <w:abstractNumId w:val="0"/>
  </w:num>
  <w:num w:numId="19" w16cid:durableId="58401542">
    <w:abstractNumId w:val="2"/>
  </w:num>
  <w:num w:numId="20" w16cid:durableId="1680043809">
    <w:abstractNumId w:val="5"/>
  </w:num>
  <w:num w:numId="21" w16cid:durableId="499663685">
    <w:abstractNumId w:val="5"/>
  </w:num>
  <w:num w:numId="22" w16cid:durableId="16584173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CD"/>
    <w:rsid w:val="00000DE7"/>
    <w:rsid w:val="0000391E"/>
    <w:rsid w:val="00013D7A"/>
    <w:rsid w:val="00013FF2"/>
    <w:rsid w:val="000252CB"/>
    <w:rsid w:val="00034214"/>
    <w:rsid w:val="00045F0D"/>
    <w:rsid w:val="0004750C"/>
    <w:rsid w:val="00047862"/>
    <w:rsid w:val="00052663"/>
    <w:rsid w:val="00056914"/>
    <w:rsid w:val="0005709F"/>
    <w:rsid w:val="00061D5B"/>
    <w:rsid w:val="00065A05"/>
    <w:rsid w:val="00074F0F"/>
    <w:rsid w:val="00081AED"/>
    <w:rsid w:val="000859C7"/>
    <w:rsid w:val="00094873"/>
    <w:rsid w:val="000C1B93"/>
    <w:rsid w:val="000C24ED"/>
    <w:rsid w:val="000C6591"/>
    <w:rsid w:val="000D3BBE"/>
    <w:rsid w:val="000D7466"/>
    <w:rsid w:val="00112528"/>
    <w:rsid w:val="00133B63"/>
    <w:rsid w:val="00140D9B"/>
    <w:rsid w:val="001429DA"/>
    <w:rsid w:val="0014582B"/>
    <w:rsid w:val="00150BDB"/>
    <w:rsid w:val="00167244"/>
    <w:rsid w:val="00173515"/>
    <w:rsid w:val="00181768"/>
    <w:rsid w:val="001871E6"/>
    <w:rsid w:val="00190C6F"/>
    <w:rsid w:val="00190D3C"/>
    <w:rsid w:val="00191CC1"/>
    <w:rsid w:val="001A2D64"/>
    <w:rsid w:val="001A3009"/>
    <w:rsid w:val="001B1224"/>
    <w:rsid w:val="001C0D17"/>
    <w:rsid w:val="001C7E97"/>
    <w:rsid w:val="001D5230"/>
    <w:rsid w:val="001F3690"/>
    <w:rsid w:val="001F5C52"/>
    <w:rsid w:val="00202E19"/>
    <w:rsid w:val="002105AD"/>
    <w:rsid w:val="002334C4"/>
    <w:rsid w:val="00233756"/>
    <w:rsid w:val="00243900"/>
    <w:rsid w:val="00247C1F"/>
    <w:rsid w:val="00247CF9"/>
    <w:rsid w:val="0025103A"/>
    <w:rsid w:val="0025592F"/>
    <w:rsid w:val="0026548C"/>
    <w:rsid w:val="00266207"/>
    <w:rsid w:val="002709E3"/>
    <w:rsid w:val="0027370C"/>
    <w:rsid w:val="002A28B4"/>
    <w:rsid w:val="002A2B8C"/>
    <w:rsid w:val="002A35CF"/>
    <w:rsid w:val="002A475D"/>
    <w:rsid w:val="002A6D21"/>
    <w:rsid w:val="002B5A50"/>
    <w:rsid w:val="002C1558"/>
    <w:rsid w:val="002D3ACA"/>
    <w:rsid w:val="002E5F5F"/>
    <w:rsid w:val="002F7CFE"/>
    <w:rsid w:val="00303085"/>
    <w:rsid w:val="0030477F"/>
    <w:rsid w:val="003057F1"/>
    <w:rsid w:val="00306594"/>
    <w:rsid w:val="00306C23"/>
    <w:rsid w:val="0034048F"/>
    <w:rsid w:val="00340DD9"/>
    <w:rsid w:val="00342A50"/>
    <w:rsid w:val="00351C0E"/>
    <w:rsid w:val="00360E17"/>
    <w:rsid w:val="0036209C"/>
    <w:rsid w:val="00367F27"/>
    <w:rsid w:val="00385DFB"/>
    <w:rsid w:val="0039316D"/>
    <w:rsid w:val="003A5190"/>
    <w:rsid w:val="003B1EF6"/>
    <w:rsid w:val="003B240E"/>
    <w:rsid w:val="003B58F7"/>
    <w:rsid w:val="003C77C3"/>
    <w:rsid w:val="003D13EF"/>
    <w:rsid w:val="003E1D01"/>
    <w:rsid w:val="003E2FC5"/>
    <w:rsid w:val="003F18BC"/>
    <w:rsid w:val="00401084"/>
    <w:rsid w:val="004036D8"/>
    <w:rsid w:val="00407EF0"/>
    <w:rsid w:val="00412F2B"/>
    <w:rsid w:val="004178B3"/>
    <w:rsid w:val="00420958"/>
    <w:rsid w:val="00426DE8"/>
    <w:rsid w:val="00430F12"/>
    <w:rsid w:val="00440555"/>
    <w:rsid w:val="00450E47"/>
    <w:rsid w:val="00452B2C"/>
    <w:rsid w:val="004618F1"/>
    <w:rsid w:val="004662AB"/>
    <w:rsid w:val="00466731"/>
    <w:rsid w:val="004668C5"/>
    <w:rsid w:val="00473C36"/>
    <w:rsid w:val="004775EA"/>
    <w:rsid w:val="00480185"/>
    <w:rsid w:val="0048642E"/>
    <w:rsid w:val="0049593F"/>
    <w:rsid w:val="0049611C"/>
    <w:rsid w:val="00497A9B"/>
    <w:rsid w:val="004B237C"/>
    <w:rsid w:val="004B484F"/>
    <w:rsid w:val="004C11A9"/>
    <w:rsid w:val="004D0F95"/>
    <w:rsid w:val="004D1347"/>
    <w:rsid w:val="004D18D4"/>
    <w:rsid w:val="004D3F7B"/>
    <w:rsid w:val="004E4BE5"/>
    <w:rsid w:val="004F48DD"/>
    <w:rsid w:val="004F4FC4"/>
    <w:rsid w:val="004F6AF2"/>
    <w:rsid w:val="00511863"/>
    <w:rsid w:val="00522E82"/>
    <w:rsid w:val="00526795"/>
    <w:rsid w:val="0053609D"/>
    <w:rsid w:val="00541FBB"/>
    <w:rsid w:val="005649D2"/>
    <w:rsid w:val="00571A3A"/>
    <w:rsid w:val="0057325C"/>
    <w:rsid w:val="0058102D"/>
    <w:rsid w:val="00583731"/>
    <w:rsid w:val="005934B4"/>
    <w:rsid w:val="005A34D4"/>
    <w:rsid w:val="005A67CA"/>
    <w:rsid w:val="005B184F"/>
    <w:rsid w:val="005B77E0"/>
    <w:rsid w:val="005C08F4"/>
    <w:rsid w:val="005C14A7"/>
    <w:rsid w:val="005D0140"/>
    <w:rsid w:val="005D0B6A"/>
    <w:rsid w:val="005D49FE"/>
    <w:rsid w:val="005E1F63"/>
    <w:rsid w:val="005E39EE"/>
    <w:rsid w:val="005E3B0F"/>
    <w:rsid w:val="00603A3A"/>
    <w:rsid w:val="006075A2"/>
    <w:rsid w:val="00626BBF"/>
    <w:rsid w:val="00632083"/>
    <w:rsid w:val="00637453"/>
    <w:rsid w:val="0064273E"/>
    <w:rsid w:val="00643CC4"/>
    <w:rsid w:val="00677835"/>
    <w:rsid w:val="00677D9E"/>
    <w:rsid w:val="00680388"/>
    <w:rsid w:val="00684CDB"/>
    <w:rsid w:val="00691F5C"/>
    <w:rsid w:val="00696410"/>
    <w:rsid w:val="006971C4"/>
    <w:rsid w:val="006A3884"/>
    <w:rsid w:val="006A466F"/>
    <w:rsid w:val="006A7D88"/>
    <w:rsid w:val="006B2C61"/>
    <w:rsid w:val="006B3488"/>
    <w:rsid w:val="006D00B0"/>
    <w:rsid w:val="006D1CF3"/>
    <w:rsid w:val="006D3DFC"/>
    <w:rsid w:val="006E54D3"/>
    <w:rsid w:val="006F5FC6"/>
    <w:rsid w:val="00717237"/>
    <w:rsid w:val="0075382D"/>
    <w:rsid w:val="00753D4D"/>
    <w:rsid w:val="007541CD"/>
    <w:rsid w:val="00755F39"/>
    <w:rsid w:val="00761246"/>
    <w:rsid w:val="00762C8B"/>
    <w:rsid w:val="00766D19"/>
    <w:rsid w:val="007748D4"/>
    <w:rsid w:val="007927CF"/>
    <w:rsid w:val="007A2518"/>
    <w:rsid w:val="007B020C"/>
    <w:rsid w:val="007B523A"/>
    <w:rsid w:val="007B7434"/>
    <w:rsid w:val="007C595C"/>
    <w:rsid w:val="007C61E6"/>
    <w:rsid w:val="007C6D55"/>
    <w:rsid w:val="007D4C03"/>
    <w:rsid w:val="007D5255"/>
    <w:rsid w:val="007D7F17"/>
    <w:rsid w:val="007E4CE7"/>
    <w:rsid w:val="007E57D1"/>
    <w:rsid w:val="007F066A"/>
    <w:rsid w:val="007F2A46"/>
    <w:rsid w:val="007F6BE6"/>
    <w:rsid w:val="0080248A"/>
    <w:rsid w:val="0080279B"/>
    <w:rsid w:val="00804F58"/>
    <w:rsid w:val="008073B1"/>
    <w:rsid w:val="008255FE"/>
    <w:rsid w:val="00844BF4"/>
    <w:rsid w:val="008559F3"/>
    <w:rsid w:val="00856CA3"/>
    <w:rsid w:val="00860191"/>
    <w:rsid w:val="00865BC1"/>
    <w:rsid w:val="0087496A"/>
    <w:rsid w:val="00885A4E"/>
    <w:rsid w:val="00890EEE"/>
    <w:rsid w:val="0089316E"/>
    <w:rsid w:val="00894F15"/>
    <w:rsid w:val="00896572"/>
    <w:rsid w:val="00897636"/>
    <w:rsid w:val="008A4CF6"/>
    <w:rsid w:val="008B6F21"/>
    <w:rsid w:val="008C3C5A"/>
    <w:rsid w:val="008E3DE9"/>
    <w:rsid w:val="008E4CF3"/>
    <w:rsid w:val="008F5CBC"/>
    <w:rsid w:val="009107ED"/>
    <w:rsid w:val="009138BF"/>
    <w:rsid w:val="0093679E"/>
    <w:rsid w:val="00944629"/>
    <w:rsid w:val="00951979"/>
    <w:rsid w:val="00953037"/>
    <w:rsid w:val="00962DCD"/>
    <w:rsid w:val="00965C31"/>
    <w:rsid w:val="009739C8"/>
    <w:rsid w:val="00982157"/>
    <w:rsid w:val="00992BE6"/>
    <w:rsid w:val="00997B84"/>
    <w:rsid w:val="009A2577"/>
    <w:rsid w:val="009A43D2"/>
    <w:rsid w:val="009B1280"/>
    <w:rsid w:val="009B214F"/>
    <w:rsid w:val="009C2DB5"/>
    <w:rsid w:val="009C4BE1"/>
    <w:rsid w:val="009C5B0E"/>
    <w:rsid w:val="009E243D"/>
    <w:rsid w:val="009F36CD"/>
    <w:rsid w:val="00A0118C"/>
    <w:rsid w:val="00A11602"/>
    <w:rsid w:val="00A119B4"/>
    <w:rsid w:val="00A1222B"/>
    <w:rsid w:val="00A170A2"/>
    <w:rsid w:val="00A217CF"/>
    <w:rsid w:val="00A264CF"/>
    <w:rsid w:val="00A45364"/>
    <w:rsid w:val="00A52883"/>
    <w:rsid w:val="00A52A2C"/>
    <w:rsid w:val="00A534B8"/>
    <w:rsid w:val="00A54063"/>
    <w:rsid w:val="00A5409F"/>
    <w:rsid w:val="00A57460"/>
    <w:rsid w:val="00A577A0"/>
    <w:rsid w:val="00A63054"/>
    <w:rsid w:val="00AA19F1"/>
    <w:rsid w:val="00AB099B"/>
    <w:rsid w:val="00AC625D"/>
    <w:rsid w:val="00AC6593"/>
    <w:rsid w:val="00AD1A01"/>
    <w:rsid w:val="00AE2A36"/>
    <w:rsid w:val="00AE67E4"/>
    <w:rsid w:val="00B2036D"/>
    <w:rsid w:val="00B24D19"/>
    <w:rsid w:val="00B26C50"/>
    <w:rsid w:val="00B4052A"/>
    <w:rsid w:val="00B46033"/>
    <w:rsid w:val="00B53FCE"/>
    <w:rsid w:val="00B60FBD"/>
    <w:rsid w:val="00B65452"/>
    <w:rsid w:val="00B7119E"/>
    <w:rsid w:val="00B72931"/>
    <w:rsid w:val="00B80AAD"/>
    <w:rsid w:val="00B963BA"/>
    <w:rsid w:val="00BA1A9B"/>
    <w:rsid w:val="00BA7230"/>
    <w:rsid w:val="00BA7AAB"/>
    <w:rsid w:val="00BB2206"/>
    <w:rsid w:val="00BC08AE"/>
    <w:rsid w:val="00BC2871"/>
    <w:rsid w:val="00BC47CC"/>
    <w:rsid w:val="00BD355D"/>
    <w:rsid w:val="00BE3E4A"/>
    <w:rsid w:val="00BF264E"/>
    <w:rsid w:val="00BF35D4"/>
    <w:rsid w:val="00BF5979"/>
    <w:rsid w:val="00BF732E"/>
    <w:rsid w:val="00BF76C1"/>
    <w:rsid w:val="00C207FC"/>
    <w:rsid w:val="00C419E6"/>
    <w:rsid w:val="00C436AB"/>
    <w:rsid w:val="00C529B9"/>
    <w:rsid w:val="00C55755"/>
    <w:rsid w:val="00C57987"/>
    <w:rsid w:val="00C61AC5"/>
    <w:rsid w:val="00C62B29"/>
    <w:rsid w:val="00C6380B"/>
    <w:rsid w:val="00C64661"/>
    <w:rsid w:val="00C6532C"/>
    <w:rsid w:val="00C664FC"/>
    <w:rsid w:val="00C72713"/>
    <w:rsid w:val="00C77294"/>
    <w:rsid w:val="00C8223D"/>
    <w:rsid w:val="00C94081"/>
    <w:rsid w:val="00CA0226"/>
    <w:rsid w:val="00CA3097"/>
    <w:rsid w:val="00CB2145"/>
    <w:rsid w:val="00CB45A8"/>
    <w:rsid w:val="00CB66B0"/>
    <w:rsid w:val="00CD48AF"/>
    <w:rsid w:val="00CD5144"/>
    <w:rsid w:val="00CD6723"/>
    <w:rsid w:val="00CE5951"/>
    <w:rsid w:val="00CE6147"/>
    <w:rsid w:val="00CF0B0C"/>
    <w:rsid w:val="00CF73E9"/>
    <w:rsid w:val="00D10516"/>
    <w:rsid w:val="00D136E3"/>
    <w:rsid w:val="00D15A52"/>
    <w:rsid w:val="00D208BC"/>
    <w:rsid w:val="00D31E35"/>
    <w:rsid w:val="00D507E2"/>
    <w:rsid w:val="00D520B5"/>
    <w:rsid w:val="00D534B3"/>
    <w:rsid w:val="00D61CE0"/>
    <w:rsid w:val="00D678DB"/>
    <w:rsid w:val="00D761C5"/>
    <w:rsid w:val="00D77790"/>
    <w:rsid w:val="00D92BC8"/>
    <w:rsid w:val="00DA0F11"/>
    <w:rsid w:val="00DA4E49"/>
    <w:rsid w:val="00DA7FEA"/>
    <w:rsid w:val="00DB0DD3"/>
    <w:rsid w:val="00DC2708"/>
    <w:rsid w:val="00DC74E1"/>
    <w:rsid w:val="00DC7F00"/>
    <w:rsid w:val="00DD2F4E"/>
    <w:rsid w:val="00DD6B75"/>
    <w:rsid w:val="00DD6FDD"/>
    <w:rsid w:val="00DE07A5"/>
    <w:rsid w:val="00DE2CE3"/>
    <w:rsid w:val="00E04DAF"/>
    <w:rsid w:val="00E112C7"/>
    <w:rsid w:val="00E1389A"/>
    <w:rsid w:val="00E15BE9"/>
    <w:rsid w:val="00E241AA"/>
    <w:rsid w:val="00E258F6"/>
    <w:rsid w:val="00E4272D"/>
    <w:rsid w:val="00E46220"/>
    <w:rsid w:val="00E46CCD"/>
    <w:rsid w:val="00E5058E"/>
    <w:rsid w:val="00E51733"/>
    <w:rsid w:val="00E56264"/>
    <w:rsid w:val="00E604B6"/>
    <w:rsid w:val="00E625FD"/>
    <w:rsid w:val="00E66CA0"/>
    <w:rsid w:val="00E80FE6"/>
    <w:rsid w:val="00E836F5"/>
    <w:rsid w:val="00E859BC"/>
    <w:rsid w:val="00E915B8"/>
    <w:rsid w:val="00E9584B"/>
    <w:rsid w:val="00EA5FA4"/>
    <w:rsid w:val="00EC5816"/>
    <w:rsid w:val="00ED0929"/>
    <w:rsid w:val="00ED4BFA"/>
    <w:rsid w:val="00EE2748"/>
    <w:rsid w:val="00F023A8"/>
    <w:rsid w:val="00F1065A"/>
    <w:rsid w:val="00F14D7F"/>
    <w:rsid w:val="00F20AC8"/>
    <w:rsid w:val="00F3092C"/>
    <w:rsid w:val="00F3454B"/>
    <w:rsid w:val="00F357AD"/>
    <w:rsid w:val="00F378F3"/>
    <w:rsid w:val="00F522E3"/>
    <w:rsid w:val="00F66145"/>
    <w:rsid w:val="00F66EDF"/>
    <w:rsid w:val="00F67719"/>
    <w:rsid w:val="00F73CDD"/>
    <w:rsid w:val="00F81980"/>
    <w:rsid w:val="00F877E2"/>
    <w:rsid w:val="00FA0557"/>
    <w:rsid w:val="00FA3555"/>
    <w:rsid w:val="00FA47A8"/>
    <w:rsid w:val="00FB23BC"/>
    <w:rsid w:val="00FC361F"/>
    <w:rsid w:val="00FC7682"/>
    <w:rsid w:val="00FC7EBB"/>
    <w:rsid w:val="00FD0A93"/>
    <w:rsid w:val="00FD4F00"/>
    <w:rsid w:val="00FD6EC6"/>
    <w:rsid w:val="00FE10C2"/>
    <w:rsid w:val="00FE5E0D"/>
    <w:rsid w:val="06FC899A"/>
    <w:rsid w:val="0CF49A71"/>
    <w:rsid w:val="115DD1D8"/>
    <w:rsid w:val="1202902F"/>
    <w:rsid w:val="17AF6B85"/>
    <w:rsid w:val="1815B2F0"/>
    <w:rsid w:val="18D1CE4C"/>
    <w:rsid w:val="1D1DA979"/>
    <w:rsid w:val="206F0759"/>
    <w:rsid w:val="23F662F3"/>
    <w:rsid w:val="28882CE7"/>
    <w:rsid w:val="33236998"/>
    <w:rsid w:val="52048D83"/>
    <w:rsid w:val="5CCCC7B6"/>
    <w:rsid w:val="642E76CD"/>
    <w:rsid w:val="6A855093"/>
    <w:rsid w:val="6BEFA049"/>
    <w:rsid w:val="6E5DA9B0"/>
    <w:rsid w:val="704EAD01"/>
    <w:rsid w:val="7667DF14"/>
    <w:rsid w:val="7A0306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F9EFC"/>
  <w15:docId w15:val="{CF17FFF7-D794-9342-9D71-7B8CB57E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6380B"/>
    <w:pPr>
      <w:suppressAutoHyphens/>
      <w:spacing w:before="240" w:after="120" w:line="360" w:lineRule="auto"/>
    </w:pPr>
    <w:rPr>
      <w:rFonts w:ascii="Arial" w:hAnsi="Arial" w:cs="Arial"/>
      <w:sz w:val="22"/>
      <w:szCs w:val="24"/>
      <w:lang w:eastAsia="en-US"/>
    </w:rPr>
  </w:style>
  <w:style w:type="paragraph" w:styleId="Heading1">
    <w:name w:val="heading 1"/>
    <w:aliases w:val="ŠHeading 1"/>
    <w:basedOn w:val="Normal"/>
    <w:next w:val="Normal"/>
    <w:link w:val="Heading1Char"/>
    <w:uiPriority w:val="3"/>
    <w:qFormat/>
    <w:rsid w:val="00C6380B"/>
    <w:pPr>
      <w:keepNext/>
      <w:keepLines/>
      <w:spacing w:before="600" w:after="360"/>
      <w:contextualSpacing/>
      <w:outlineLvl w:val="0"/>
    </w:pPr>
    <w:rPr>
      <w:rFonts w:eastAsia="Times New Roman"/>
      <w:bCs/>
      <w:color w:val="002664"/>
      <w:sz w:val="40"/>
      <w:szCs w:val="52"/>
    </w:rPr>
  </w:style>
  <w:style w:type="paragraph" w:styleId="Heading2">
    <w:name w:val="heading 2"/>
    <w:aliases w:val="ŠHeading 2"/>
    <w:basedOn w:val="Normal"/>
    <w:next w:val="Normal"/>
    <w:link w:val="Heading2Char"/>
    <w:uiPriority w:val="3"/>
    <w:qFormat/>
    <w:rsid w:val="00C6380B"/>
    <w:pPr>
      <w:keepNext/>
      <w:keepLines/>
      <w:spacing w:before="360"/>
      <w:outlineLvl w:val="1"/>
    </w:pPr>
    <w:rPr>
      <w:rFonts w:eastAsia="Times New Roman"/>
      <w:bCs/>
      <w:color w:val="002664"/>
      <w:sz w:val="36"/>
      <w:szCs w:val="48"/>
    </w:rPr>
  </w:style>
  <w:style w:type="paragraph" w:styleId="Heading3">
    <w:name w:val="heading 3"/>
    <w:aliases w:val="ŠHeading 3"/>
    <w:basedOn w:val="Normal"/>
    <w:next w:val="Normal"/>
    <w:link w:val="Heading3Char"/>
    <w:uiPriority w:val="4"/>
    <w:qFormat/>
    <w:rsid w:val="00C6380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6380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6380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6380B"/>
    <w:pPr>
      <w:keepNext/>
      <w:spacing w:after="200" w:line="240" w:lineRule="auto"/>
    </w:pPr>
    <w:rPr>
      <w:iCs/>
      <w:color w:val="002664"/>
      <w:sz w:val="18"/>
      <w:szCs w:val="18"/>
    </w:rPr>
  </w:style>
  <w:style w:type="table" w:customStyle="1" w:styleId="Tableheader">
    <w:name w:val="ŠTable header"/>
    <w:basedOn w:val="TableNormal"/>
    <w:uiPriority w:val="99"/>
    <w:rsid w:val="00C6380B"/>
    <w:pPr>
      <w:widowControl w:val="0"/>
      <w:spacing w:before="100" w:after="100" w:line="360" w:lineRule="auto"/>
      <w:mirrorIndents/>
    </w:pPr>
    <w:rPr>
      <w:rFonts w:ascii="Arial" w:hAnsi="Arial" w:cs="Arial"/>
      <w:sz w:val="22"/>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6380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6380B"/>
    <w:pPr>
      <w:numPr>
        <w:numId w:val="22"/>
      </w:numPr>
    </w:pPr>
  </w:style>
  <w:style w:type="paragraph" w:styleId="ListNumber2">
    <w:name w:val="List Number 2"/>
    <w:aliases w:val="ŠList Number 2"/>
    <w:basedOn w:val="Normal"/>
    <w:uiPriority w:val="8"/>
    <w:qFormat/>
    <w:rsid w:val="00C6380B"/>
    <w:pPr>
      <w:numPr>
        <w:numId w:val="21"/>
      </w:numPr>
    </w:pPr>
  </w:style>
  <w:style w:type="paragraph" w:styleId="ListBullet">
    <w:name w:val="List Bullet"/>
    <w:aliases w:val="ŠList Bullet"/>
    <w:basedOn w:val="Normal"/>
    <w:uiPriority w:val="9"/>
    <w:qFormat/>
    <w:rsid w:val="00C6380B"/>
    <w:pPr>
      <w:numPr>
        <w:numId w:val="19"/>
      </w:numPr>
    </w:pPr>
  </w:style>
  <w:style w:type="paragraph" w:styleId="ListBullet2">
    <w:name w:val="List Bullet 2"/>
    <w:aliases w:val="ŠList Bullet 2"/>
    <w:basedOn w:val="Normal"/>
    <w:uiPriority w:val="10"/>
    <w:qFormat/>
    <w:rsid w:val="00C6380B"/>
    <w:pPr>
      <w:numPr>
        <w:numId w:val="17"/>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link w:val="Signature"/>
    <w:uiPriority w:val="99"/>
    <w:rsid w:val="00A63054"/>
    <w:rPr>
      <w:rFonts w:ascii="Arial" w:hAnsi="Arial" w:cs="Arial"/>
      <w:sz w:val="24"/>
      <w:szCs w:val="24"/>
      <w:lang w:val="en-US"/>
    </w:rPr>
  </w:style>
  <w:style w:type="character" w:styleId="Strong">
    <w:name w:val="Strong"/>
    <w:aliases w:val="ŠStrong,Bold"/>
    <w:qFormat/>
    <w:rsid w:val="00C6380B"/>
    <w:rPr>
      <w:b/>
      <w:bCs/>
    </w:rPr>
  </w:style>
  <w:style w:type="paragraph" w:customStyle="1" w:styleId="FeatureBox2">
    <w:name w:val="ŠFeature Box 2"/>
    <w:basedOn w:val="Normal"/>
    <w:next w:val="Normal"/>
    <w:uiPriority w:val="12"/>
    <w:qFormat/>
    <w:rsid w:val="00C6380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C6380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6380B"/>
    <w:pPr>
      <w:numPr>
        <w:ilvl w:val="1"/>
      </w:numPr>
      <w:spacing w:after="160"/>
    </w:pPr>
    <w:rPr>
      <w:rFonts w:eastAsia="Times New Roman"/>
      <w:color w:val="5A5A5A"/>
      <w:spacing w:val="15"/>
      <w:szCs w:val="22"/>
    </w:rPr>
  </w:style>
  <w:style w:type="character" w:customStyle="1" w:styleId="SubtitleChar">
    <w:name w:val="Subtitle Char"/>
    <w:link w:val="Subtitle"/>
    <w:uiPriority w:val="11"/>
    <w:semiHidden/>
    <w:rsid w:val="00C6380B"/>
    <w:rPr>
      <w:rFonts w:ascii="Arial" w:eastAsia="Times New Roman" w:hAnsi="Arial" w:cs="Arial"/>
      <w:color w:val="5A5A5A"/>
      <w:spacing w:val="15"/>
      <w:sz w:val="22"/>
      <w:szCs w:val="22"/>
      <w:lang w:eastAsia="en-US"/>
    </w:rPr>
  </w:style>
  <w:style w:type="character" w:styleId="Hyperlink">
    <w:name w:val="Hyperlink"/>
    <w:aliases w:val="ŠHyperlink"/>
    <w:uiPriority w:val="99"/>
    <w:unhideWhenUsed/>
    <w:rsid w:val="00C6380B"/>
    <w:rPr>
      <w:color w:val="001C4A"/>
      <w:u w:val="single"/>
    </w:rPr>
  </w:style>
  <w:style w:type="paragraph" w:customStyle="1" w:styleId="Logo">
    <w:name w:val="ŠLogo"/>
    <w:basedOn w:val="Normal"/>
    <w:uiPriority w:val="18"/>
    <w:qFormat/>
    <w:rsid w:val="00C6380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6380B"/>
    <w:pPr>
      <w:tabs>
        <w:tab w:val="right" w:leader="dot" w:pos="14570"/>
      </w:tabs>
      <w:spacing w:before="0"/>
    </w:pPr>
    <w:rPr>
      <w:b/>
      <w:noProof/>
    </w:rPr>
  </w:style>
  <w:style w:type="paragraph" w:styleId="TOC2">
    <w:name w:val="toc 2"/>
    <w:aliases w:val="ŠTOC 2"/>
    <w:basedOn w:val="Normal"/>
    <w:next w:val="Normal"/>
    <w:uiPriority w:val="39"/>
    <w:unhideWhenUsed/>
    <w:rsid w:val="00C6380B"/>
    <w:pPr>
      <w:tabs>
        <w:tab w:val="right" w:leader="dot" w:pos="14570"/>
      </w:tabs>
      <w:spacing w:before="0"/>
    </w:pPr>
    <w:rPr>
      <w:noProof/>
    </w:rPr>
  </w:style>
  <w:style w:type="paragraph" w:styleId="TOC3">
    <w:name w:val="toc 3"/>
    <w:aliases w:val="ŠTOC 3"/>
    <w:basedOn w:val="Normal"/>
    <w:next w:val="Normal"/>
    <w:uiPriority w:val="39"/>
    <w:unhideWhenUsed/>
    <w:rsid w:val="00C6380B"/>
    <w:pPr>
      <w:spacing w:before="0"/>
      <w:ind w:left="244"/>
    </w:pPr>
  </w:style>
  <w:style w:type="paragraph" w:styleId="Title">
    <w:name w:val="Title"/>
    <w:aliases w:val="ŠTitle"/>
    <w:basedOn w:val="Normal"/>
    <w:next w:val="Normal"/>
    <w:link w:val="TitleChar"/>
    <w:uiPriority w:val="1"/>
    <w:rsid w:val="00C6380B"/>
    <w:pPr>
      <w:pBdr>
        <w:bottom w:val="single" w:sz="4" w:space="1" w:color="002664"/>
      </w:pBdr>
      <w:spacing w:before="2000" w:after="0"/>
      <w:contextualSpacing/>
    </w:pPr>
    <w:rPr>
      <w:rFonts w:eastAsia="Times New Roman" w:cs="Times New Roman"/>
      <w:color w:val="002664"/>
      <w:spacing w:val="-10"/>
      <w:kern w:val="28"/>
      <w:sz w:val="80"/>
      <w:szCs w:val="80"/>
    </w:rPr>
  </w:style>
  <w:style w:type="character" w:customStyle="1" w:styleId="TitleChar">
    <w:name w:val="Title Char"/>
    <w:aliases w:val="ŠTitle Char"/>
    <w:link w:val="Title"/>
    <w:uiPriority w:val="1"/>
    <w:rsid w:val="00C6380B"/>
    <w:rPr>
      <w:rFonts w:ascii="Arial" w:eastAsia="Times New Roman" w:hAnsi="Arial"/>
      <w:color w:val="002664"/>
      <w:spacing w:val="-10"/>
      <w:kern w:val="28"/>
      <w:sz w:val="80"/>
      <w:szCs w:val="80"/>
      <w:lang w:eastAsia="en-US"/>
    </w:rPr>
  </w:style>
  <w:style w:type="character" w:customStyle="1" w:styleId="Heading1Char">
    <w:name w:val="Heading 1 Char"/>
    <w:aliases w:val="ŠHeading 1 Char"/>
    <w:link w:val="Heading1"/>
    <w:uiPriority w:val="3"/>
    <w:rsid w:val="00C6380B"/>
    <w:rPr>
      <w:rFonts w:ascii="Arial" w:eastAsia="Times New Roman" w:hAnsi="Arial" w:cs="Arial"/>
      <w:bCs/>
      <w:color w:val="002664"/>
      <w:sz w:val="40"/>
      <w:szCs w:val="52"/>
      <w:lang w:eastAsia="en-US"/>
    </w:rPr>
  </w:style>
  <w:style w:type="character" w:customStyle="1" w:styleId="Heading2Char">
    <w:name w:val="Heading 2 Char"/>
    <w:aliases w:val="ŠHeading 2 Char"/>
    <w:link w:val="Heading2"/>
    <w:uiPriority w:val="3"/>
    <w:rsid w:val="00C6380B"/>
    <w:rPr>
      <w:rFonts w:ascii="Arial" w:eastAsia="Times New Roman" w:hAnsi="Arial" w:cs="Arial"/>
      <w:bCs/>
      <w:color w:val="002664"/>
      <w:sz w:val="36"/>
      <w:szCs w:val="48"/>
      <w:lang w:eastAsia="en-US"/>
    </w:rPr>
  </w:style>
  <w:style w:type="paragraph" w:styleId="TOCHeading">
    <w:name w:val="TOC Heading"/>
    <w:aliases w:val="ŠTOC Heading"/>
    <w:basedOn w:val="Heading1"/>
    <w:next w:val="Normal"/>
    <w:uiPriority w:val="38"/>
    <w:qFormat/>
    <w:rsid w:val="00C6380B"/>
    <w:pPr>
      <w:spacing w:after="240"/>
      <w:outlineLvl w:val="9"/>
    </w:pPr>
    <w:rPr>
      <w:szCs w:val="40"/>
    </w:rPr>
  </w:style>
  <w:style w:type="paragraph" w:styleId="Footer">
    <w:name w:val="footer"/>
    <w:aliases w:val="ŠFooter"/>
    <w:basedOn w:val="Normal"/>
    <w:link w:val="FooterChar"/>
    <w:uiPriority w:val="19"/>
    <w:rsid w:val="00C6380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link w:val="Footer"/>
    <w:uiPriority w:val="19"/>
    <w:rsid w:val="00C6380B"/>
    <w:rPr>
      <w:rFonts w:ascii="Arial" w:eastAsiaTheme="minorHAnsi" w:hAnsi="Arial" w:cs="Arial"/>
      <w:sz w:val="18"/>
      <w:szCs w:val="18"/>
      <w:lang w:eastAsia="en-US"/>
    </w:rPr>
  </w:style>
  <w:style w:type="paragraph" w:styleId="Header">
    <w:name w:val="header"/>
    <w:aliases w:val="ŠHeader"/>
    <w:basedOn w:val="Normal"/>
    <w:link w:val="HeaderChar"/>
    <w:uiPriority w:val="16"/>
    <w:rsid w:val="00C6380B"/>
    <w:rPr>
      <w:noProof/>
      <w:color w:val="002664"/>
      <w:sz w:val="28"/>
      <w:szCs w:val="28"/>
    </w:rPr>
  </w:style>
  <w:style w:type="character" w:customStyle="1" w:styleId="HeaderChar">
    <w:name w:val="Header Char"/>
    <w:aliases w:val="ŠHeader Char"/>
    <w:link w:val="Header"/>
    <w:uiPriority w:val="16"/>
    <w:rsid w:val="00C6380B"/>
    <w:rPr>
      <w:rFonts w:ascii="Arial" w:eastAsiaTheme="minorHAnsi" w:hAnsi="Arial" w:cs="Arial"/>
      <w:noProof/>
      <w:color w:val="002664"/>
      <w:sz w:val="28"/>
      <w:szCs w:val="28"/>
      <w:lang w:eastAsia="en-US"/>
    </w:rPr>
  </w:style>
  <w:style w:type="character" w:customStyle="1" w:styleId="Heading3Char">
    <w:name w:val="Heading 3 Char"/>
    <w:aliases w:val="ŠHeading 3 Char"/>
    <w:link w:val="Heading3"/>
    <w:uiPriority w:val="4"/>
    <w:rsid w:val="00C6380B"/>
    <w:rPr>
      <w:rFonts w:ascii="Arial" w:eastAsiaTheme="minorHAnsi" w:hAnsi="Arial" w:cs="Arial"/>
      <w:color w:val="002664"/>
      <w:sz w:val="32"/>
      <w:szCs w:val="40"/>
      <w:lang w:eastAsia="en-US"/>
    </w:rPr>
  </w:style>
  <w:style w:type="character" w:customStyle="1" w:styleId="Heading4Char">
    <w:name w:val="Heading 4 Char"/>
    <w:aliases w:val="ŠHeading 4 Char"/>
    <w:link w:val="Heading4"/>
    <w:uiPriority w:val="5"/>
    <w:rsid w:val="00C6380B"/>
    <w:rPr>
      <w:rFonts w:ascii="Arial" w:eastAsiaTheme="minorHAnsi" w:hAnsi="Arial" w:cs="Arial"/>
      <w:color w:val="002664"/>
      <w:sz w:val="28"/>
      <w:szCs w:val="36"/>
      <w:lang w:eastAsia="en-US"/>
    </w:rPr>
  </w:style>
  <w:style w:type="character" w:customStyle="1" w:styleId="Heading5Char">
    <w:name w:val="Heading 5 Char"/>
    <w:aliases w:val="ŠHeading 5 Char"/>
    <w:link w:val="Heading5"/>
    <w:uiPriority w:val="6"/>
    <w:rsid w:val="00C6380B"/>
    <w:rPr>
      <w:rFonts w:ascii="Arial" w:eastAsiaTheme="minorHAnsi" w:hAnsi="Arial" w:cs="Arial"/>
      <w:b/>
      <w:sz w:val="22"/>
      <w:szCs w:val="32"/>
      <w:lang w:eastAsia="en-US"/>
    </w:rPr>
  </w:style>
  <w:style w:type="character" w:styleId="UnresolvedMention">
    <w:name w:val="Unresolved Mention"/>
    <w:uiPriority w:val="99"/>
    <w:semiHidden/>
    <w:unhideWhenUsed/>
    <w:rsid w:val="00C6380B"/>
    <w:rPr>
      <w:color w:val="605E5C"/>
      <w:shd w:val="clear" w:color="auto" w:fill="E1DFDD"/>
    </w:rPr>
  </w:style>
  <w:style w:type="character" w:styleId="Emphasis">
    <w:name w:val="Emphasis"/>
    <w:aliases w:val="ŠEmphasis,Italic"/>
    <w:qFormat/>
    <w:rsid w:val="00C6380B"/>
    <w:rPr>
      <w:i/>
      <w:iCs/>
    </w:rPr>
  </w:style>
  <w:style w:type="character" w:styleId="SubtleEmphasis">
    <w:name w:val="Subtle Emphasis"/>
    <w:uiPriority w:val="19"/>
    <w:semiHidden/>
    <w:qFormat/>
    <w:rsid w:val="00C6380B"/>
    <w:rPr>
      <w:i/>
      <w:iCs/>
      <w:color w:val="404040"/>
    </w:rPr>
  </w:style>
  <w:style w:type="paragraph" w:styleId="TOC4">
    <w:name w:val="toc 4"/>
    <w:aliases w:val="ŠTOC 4"/>
    <w:basedOn w:val="Normal"/>
    <w:next w:val="Normal"/>
    <w:autoRedefine/>
    <w:uiPriority w:val="39"/>
    <w:unhideWhenUsed/>
    <w:rsid w:val="00C6380B"/>
    <w:pPr>
      <w:spacing w:before="0"/>
      <w:ind w:left="488"/>
    </w:pPr>
  </w:style>
  <w:style w:type="character" w:styleId="CommentReference">
    <w:name w:val="annotation reference"/>
    <w:uiPriority w:val="99"/>
    <w:semiHidden/>
    <w:unhideWhenUsed/>
    <w:rsid w:val="00C6380B"/>
    <w:rPr>
      <w:sz w:val="16"/>
      <w:szCs w:val="16"/>
    </w:rPr>
  </w:style>
  <w:style w:type="paragraph" w:styleId="CommentText">
    <w:name w:val="annotation text"/>
    <w:basedOn w:val="Normal"/>
    <w:link w:val="CommentTextChar"/>
    <w:uiPriority w:val="99"/>
    <w:unhideWhenUsed/>
    <w:rsid w:val="00C6380B"/>
    <w:pPr>
      <w:spacing w:line="240" w:lineRule="auto"/>
    </w:pPr>
    <w:rPr>
      <w:sz w:val="20"/>
      <w:szCs w:val="20"/>
    </w:rPr>
  </w:style>
  <w:style w:type="character" w:customStyle="1" w:styleId="CommentTextChar">
    <w:name w:val="Comment Text Char"/>
    <w:link w:val="CommentText"/>
    <w:uiPriority w:val="99"/>
    <w:rsid w:val="00C6380B"/>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C6380B"/>
    <w:rPr>
      <w:b/>
      <w:bCs/>
    </w:rPr>
  </w:style>
  <w:style w:type="character" w:customStyle="1" w:styleId="CommentSubjectChar">
    <w:name w:val="Comment Subject Char"/>
    <w:link w:val="CommentSubject"/>
    <w:uiPriority w:val="99"/>
    <w:semiHidden/>
    <w:rsid w:val="00C6380B"/>
    <w:rPr>
      <w:rFonts w:ascii="Arial" w:eastAsiaTheme="minorHAnsi" w:hAnsi="Arial" w:cs="Arial"/>
      <w:b/>
      <w:bCs/>
      <w:lang w:eastAsia="en-US"/>
    </w:rPr>
  </w:style>
  <w:style w:type="paragraph" w:styleId="ListParagraph">
    <w:name w:val="List Paragraph"/>
    <w:aliases w:val="ŠList Paragraph"/>
    <w:basedOn w:val="Normal"/>
    <w:uiPriority w:val="34"/>
    <w:unhideWhenUsed/>
    <w:qFormat/>
    <w:rsid w:val="00C6380B"/>
    <w:pPr>
      <w:ind w:left="567"/>
    </w:pPr>
  </w:style>
  <w:style w:type="paragraph" w:styleId="Revision">
    <w:name w:val="Revision"/>
    <w:hidden/>
    <w:uiPriority w:val="99"/>
    <w:semiHidden/>
    <w:rsid w:val="007748D4"/>
    <w:rPr>
      <w:rFonts w:ascii="Arial" w:hAnsi="Arial" w:cs="Arial"/>
      <w:sz w:val="24"/>
      <w:szCs w:val="24"/>
      <w:lang w:eastAsia="en-US"/>
    </w:rPr>
  </w:style>
  <w:style w:type="character" w:styleId="FollowedHyperlink">
    <w:name w:val="FollowedHyperlink"/>
    <w:uiPriority w:val="99"/>
    <w:semiHidden/>
    <w:unhideWhenUsed/>
    <w:rsid w:val="00C6380B"/>
    <w:rPr>
      <w:color w:val="954F72"/>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C6380B"/>
    <w:pPr>
      <w:numPr>
        <w:numId w:val="18"/>
      </w:numPr>
    </w:pPr>
  </w:style>
  <w:style w:type="paragraph" w:styleId="ListNumber3">
    <w:name w:val="List Number 3"/>
    <w:aliases w:val="ŠList Number 3"/>
    <w:basedOn w:val="ListBullet3"/>
    <w:uiPriority w:val="8"/>
    <w:rsid w:val="00C6380B"/>
    <w:pPr>
      <w:numPr>
        <w:ilvl w:val="2"/>
        <w:numId w:val="21"/>
      </w:numPr>
    </w:pPr>
  </w:style>
  <w:style w:type="character" w:styleId="PlaceholderText">
    <w:name w:val="Placeholder Text"/>
    <w:uiPriority w:val="99"/>
    <w:semiHidden/>
    <w:rsid w:val="00C6380B"/>
    <w:rPr>
      <w:color w:val="808080"/>
    </w:rPr>
  </w:style>
  <w:style w:type="character" w:customStyle="1" w:styleId="BoldItalic">
    <w:name w:val="ŠBold Italic"/>
    <w:uiPriority w:val="1"/>
    <w:qFormat/>
    <w:rsid w:val="00C6380B"/>
    <w:rPr>
      <w:b/>
      <w:i/>
      <w:iCs/>
    </w:rPr>
  </w:style>
  <w:style w:type="paragraph" w:customStyle="1" w:styleId="Documentname">
    <w:name w:val="ŠDocument name"/>
    <w:basedOn w:val="Normal"/>
    <w:next w:val="Normal"/>
    <w:uiPriority w:val="17"/>
    <w:qFormat/>
    <w:rsid w:val="00C6380B"/>
    <w:pPr>
      <w:pBdr>
        <w:bottom w:val="single" w:sz="8" w:space="10" w:color="D3D3D3"/>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6380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6380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6380B"/>
    <w:pPr>
      <w:spacing w:after="0"/>
    </w:pPr>
    <w:rPr>
      <w:sz w:val="18"/>
      <w:szCs w:val="18"/>
    </w:rPr>
  </w:style>
  <w:style w:type="paragraph" w:customStyle="1" w:styleId="Pulloutquote">
    <w:name w:val="ŠPull out quote"/>
    <w:basedOn w:val="Normal"/>
    <w:next w:val="Normal"/>
    <w:uiPriority w:val="20"/>
    <w:qFormat/>
    <w:rsid w:val="00C6380B"/>
    <w:pPr>
      <w:keepNext/>
      <w:ind w:left="567" w:right="57"/>
    </w:pPr>
    <w:rPr>
      <w:szCs w:val="22"/>
    </w:rPr>
  </w:style>
  <w:style w:type="paragraph" w:customStyle="1" w:styleId="Subtitle0">
    <w:name w:val="ŠSubtitle"/>
    <w:basedOn w:val="Normal"/>
    <w:link w:val="SubtitleChar0"/>
    <w:uiPriority w:val="2"/>
    <w:qFormat/>
    <w:rsid w:val="00C6380B"/>
    <w:pPr>
      <w:spacing w:before="360"/>
    </w:pPr>
    <w:rPr>
      <w:color w:val="002664"/>
      <w:sz w:val="44"/>
      <w:szCs w:val="48"/>
    </w:rPr>
  </w:style>
  <w:style w:type="character" w:customStyle="1" w:styleId="SubtitleChar0">
    <w:name w:val="ŠSubtitle Char"/>
    <w:link w:val="Subtitle0"/>
    <w:uiPriority w:val="2"/>
    <w:rsid w:val="00C6380B"/>
    <w:rPr>
      <w:rFonts w:ascii="Arial" w:eastAsiaTheme="minorHAnsi" w:hAnsi="Arial" w:cs="Arial"/>
      <w:color w:val="002664"/>
      <w:sz w:val="44"/>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tas/enterprise-computing-11-12-2022/assessment" TargetMode="External"/><Relationship Id="rId13" Type="http://schemas.openxmlformats.org/officeDocument/2006/relationships/hyperlink" Target="https://education.nsw.gov.au/policy-library/policies/pd-2016-0468" TargetMode="External"/><Relationship Id="rId18" Type="http://schemas.openxmlformats.org/officeDocument/2006/relationships/hyperlink" Target="https://curriculum.nsw.edu.au"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urriculum.nsw.edu.au/learning-areas/tas/enterprise-computing-11-12-2022/assessment" TargetMode="External"/><Relationship Id="rId12" Type="http://schemas.openxmlformats.org/officeDocument/2006/relationships/hyperlink" Target="https://education.nsw.gov.au/teaching-and-learning/curriculum/planning-programming-and-assessing-k-12/planning-programming-and-assessing-7-12" TargetMode="External"/><Relationship Id="rId17" Type="http://schemas.openxmlformats.org/officeDocument/2006/relationships/hyperlink" Target="https://educationstandards.nsw.edu.au"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educationstandards.nsw.edu.au/wps/portal/nesa/mini-footer/copyright"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inclusion-and-differentiation-advice-7-10"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standards.nsw.edu.au/wps/portal/nesa/teacher-accreditation/meeting-requirements/the-standards/proficient-teacher"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education.nsw.gov.au/teaching-and-learning/curriculum/planning-programming-and-assessing-k-12/planning-programming-and-assessing-7-12" TargetMode="External"/><Relationship Id="rId19" Type="http://schemas.openxmlformats.org/officeDocument/2006/relationships/hyperlink" Target="https://www.researchgate.net/publication/258423377_Assessment_The_bridge_between_teaching_and_learn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det.nsw.edu.au" TargetMode="External"/><Relationship Id="rId14" Type="http://schemas.openxmlformats.org/officeDocument/2006/relationships/hyperlink" Target="https://education.nsw.gov.au/policy-library/policies/pd-2016-0468"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Year 12 – assessment schedule</dc:title>
  <dc:subject/>
  <dc:creator>NSW Department of Education</dc:creator>
  <cp:keywords/>
  <dc:description/>
  <dcterms:created xsi:type="dcterms:W3CDTF">2024-04-04T00:57:00Z</dcterms:created>
  <dcterms:modified xsi:type="dcterms:W3CDTF">2024-04-04T00:59:00Z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2024-04-04T00:57:38Z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28e1b646-b5e0-4236-8735-59be84df08e8</vt:lpwstr>
  </property>
  <property fmtid="{D5CDD505-2E9C-101B-9397-08002B2CF9AE}" pid="8" name="MSIP_Label_b603dfd7-d93a-4381-a340-2995d8282205_ContentBits">
    <vt:lpwstr>0</vt:lpwstr>
  </property>
</Properties>
</file>