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26A0" w14:textId="0EE17888" w:rsidR="009E6A7E" w:rsidRDefault="009E6A7E" w:rsidP="009E6A7E">
      <w:pPr>
        <w:pStyle w:val="Heading1"/>
      </w:pPr>
      <w:r>
        <w:t xml:space="preserve">Health and movement science Stage 6 (Year 11) – Core </w:t>
      </w:r>
      <w:r w:rsidR="002E4FBF">
        <w:t>2</w:t>
      </w:r>
      <w:r>
        <w:t xml:space="preserve"> – sample assessment task notification</w:t>
      </w:r>
    </w:p>
    <w:p w14:paraId="69B996CC" w14:textId="77777777" w:rsidR="009E6A7E" w:rsidRPr="00140F5D" w:rsidRDefault="009E6A7E" w:rsidP="009E6A7E">
      <w:pPr>
        <w:jc w:val="center"/>
      </w:pPr>
      <w:r>
        <w:rPr>
          <w:noProof/>
        </w:rPr>
        <w:drawing>
          <wp:inline distT="0" distB="0" distL="0" distR="0" wp14:anchorId="60757119" wp14:editId="1480AF37">
            <wp:extent cx="4184650" cy="5178028"/>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3010" cy="5200746"/>
                    </a:xfrm>
                    <a:prstGeom prst="rect">
                      <a:avLst/>
                    </a:prstGeom>
                  </pic:spPr>
                </pic:pic>
              </a:graphicData>
            </a:graphic>
          </wp:inline>
        </w:drawing>
      </w:r>
    </w:p>
    <w:p w14:paraId="4C653AD1" w14:textId="628E3898" w:rsidR="00293A67" w:rsidRPr="00AA027D" w:rsidRDefault="009E6A7E" w:rsidP="00AA027D">
      <w:pPr>
        <w:pStyle w:val="FeatureBox2"/>
      </w:pPr>
      <w:r w:rsidRPr="00AA027D">
        <w:t>This resource has been designed to support teachers by providing a range of tasks based on syllabus content and can be modified to suit individual school contexts and procedures as required.</w:t>
      </w:r>
      <w:r w:rsidR="00293A67" w:rsidRPr="00AA027D">
        <w:br w:type="page"/>
      </w:r>
    </w:p>
    <w:p w14:paraId="046B3439" w14:textId="77777777" w:rsidR="00852137" w:rsidRDefault="00AB4438" w:rsidP="002A432C">
      <w:pPr>
        <w:pStyle w:val="Heading2"/>
      </w:pPr>
      <w:bookmarkStart w:id="0" w:name="_Toc121826136"/>
      <w:r>
        <w:lastRenderedPageBreak/>
        <w:t>Submission details</w:t>
      </w:r>
      <w:bookmarkStart w:id="1" w:name="_Toc121826135"/>
      <w:bookmarkEnd w:id="0"/>
    </w:p>
    <w:p w14:paraId="6DF8150F" w14:textId="0DEDB9AD" w:rsidR="00624E37" w:rsidRPr="00AA027D" w:rsidRDefault="00366BEA" w:rsidP="00AA027D">
      <w:r w:rsidRPr="00AA027D">
        <w:t>On</w:t>
      </w:r>
      <w:r w:rsidR="00624E37" w:rsidRPr="00AA027D">
        <w:t xml:space="preserve"> completing the task, students will submit:</w:t>
      </w:r>
    </w:p>
    <w:p w14:paraId="620911B6" w14:textId="19706A91" w:rsidR="00852137" w:rsidRPr="00AA027D" w:rsidRDefault="002B235B" w:rsidP="00AA027D">
      <w:pPr>
        <w:pStyle w:val="ListBullet"/>
      </w:pPr>
      <w:r>
        <w:t xml:space="preserve">a </w:t>
      </w:r>
      <w:r w:rsidR="00852137">
        <w:t>short profile of the athlete</w:t>
      </w:r>
    </w:p>
    <w:p w14:paraId="10F96CE1" w14:textId="051E02CD" w:rsidR="00852137" w:rsidRPr="00AA027D" w:rsidRDefault="002B235B" w:rsidP="00AA027D">
      <w:pPr>
        <w:pStyle w:val="ListBullet"/>
      </w:pPr>
      <w:r w:rsidRPr="00AA027D">
        <w:t>a</w:t>
      </w:r>
      <w:r w:rsidR="00852137" w:rsidRPr="00AA027D">
        <w:t xml:space="preserve"> hypothetical energy graph for the athlete</w:t>
      </w:r>
    </w:p>
    <w:p w14:paraId="77C7F71E" w14:textId="6B5E354E" w:rsidR="00852137" w:rsidRPr="00AA027D" w:rsidRDefault="002B235B" w:rsidP="00AA027D">
      <w:pPr>
        <w:pStyle w:val="ListBullet"/>
      </w:pPr>
      <w:r w:rsidRPr="00AA027D">
        <w:t>a</w:t>
      </w:r>
      <w:r w:rsidR="00852137" w:rsidRPr="00AA027D">
        <w:t xml:space="preserve"> recording or transcript of the conversation between the head coach and the athlete</w:t>
      </w:r>
    </w:p>
    <w:p w14:paraId="1C84F009" w14:textId="32FEBBE1" w:rsidR="0038608B" w:rsidRPr="00AA027D" w:rsidRDefault="00156E54" w:rsidP="00AA027D">
      <w:pPr>
        <w:pStyle w:val="ListBullet"/>
      </w:pPr>
      <w:r w:rsidRPr="00AA027D">
        <w:t xml:space="preserve">a </w:t>
      </w:r>
      <w:r w:rsidR="002B235B" w:rsidRPr="00AA027D">
        <w:t>j</w:t>
      </w:r>
      <w:r w:rsidR="00852137" w:rsidRPr="00AA027D">
        <w:t>ustification of why the athlete was not able to sustain the intensity they desired</w:t>
      </w:r>
    </w:p>
    <w:p w14:paraId="053C8D51" w14:textId="36B874C9" w:rsidR="00502290" w:rsidRPr="00AA027D" w:rsidRDefault="00156E54" w:rsidP="00AA027D">
      <w:pPr>
        <w:pStyle w:val="ListBullet"/>
      </w:pPr>
      <w:r>
        <w:t>s</w:t>
      </w:r>
      <w:r w:rsidR="00852137">
        <w:t xml:space="preserve">uggestions for what the athlete could have done both prior to, and during </w:t>
      </w:r>
      <w:r w:rsidR="00F559A1">
        <w:t>the sport</w:t>
      </w:r>
      <w:r w:rsidR="00293A67">
        <w:t xml:space="preserve">, </w:t>
      </w:r>
      <w:r w:rsidR="00F559A1">
        <w:t>event</w:t>
      </w:r>
      <w:r w:rsidR="00293A67">
        <w:t>,</w:t>
      </w:r>
      <w:r w:rsidR="00F559A1">
        <w:t xml:space="preserve"> match or race they competed in</w:t>
      </w:r>
      <w:r w:rsidR="008D30A9">
        <w:t>.</w:t>
      </w:r>
    </w:p>
    <w:p w14:paraId="0AC7776B" w14:textId="77777777" w:rsidR="002E4FBF" w:rsidRDefault="002E4FBF">
      <w:pPr>
        <w:spacing w:before="0" w:after="160" w:line="259" w:lineRule="auto"/>
        <w:rPr>
          <w:rFonts w:eastAsiaTheme="majorEastAsia"/>
          <w:b/>
          <w:bCs/>
          <w:color w:val="002664"/>
          <w:sz w:val="48"/>
          <w:szCs w:val="48"/>
        </w:rPr>
      </w:pPr>
      <w:r>
        <w:br w:type="page"/>
      </w:r>
    </w:p>
    <w:p w14:paraId="7F061717" w14:textId="7AD9A623" w:rsidR="00F12D5C" w:rsidRDefault="00F12D5C" w:rsidP="00F12D5C">
      <w:pPr>
        <w:pStyle w:val="Heading2"/>
      </w:pPr>
      <w:r>
        <w:lastRenderedPageBreak/>
        <w:t xml:space="preserve">Task </w:t>
      </w:r>
      <w:r w:rsidR="0064780D">
        <w:t>description</w:t>
      </w:r>
      <w:bookmarkEnd w:id="1"/>
    </w:p>
    <w:p w14:paraId="27B0D62D" w14:textId="3565D5B6" w:rsidR="0008611F" w:rsidRPr="001D7496" w:rsidRDefault="0008611F" w:rsidP="001D7496">
      <w:pPr>
        <w:pStyle w:val="Featurepink"/>
        <w:rPr>
          <w:b/>
          <w:bCs/>
        </w:rPr>
      </w:pPr>
      <w:r w:rsidRPr="001D7496">
        <w:rPr>
          <w:b/>
          <w:bCs/>
        </w:rPr>
        <w:t>Type of task:</w:t>
      </w:r>
      <w:r w:rsidR="0014218A" w:rsidRPr="00293A67">
        <w:t xml:space="preserve"> </w:t>
      </w:r>
      <w:r w:rsidR="006F5CBE">
        <w:t>a</w:t>
      </w:r>
      <w:r w:rsidR="00A96DC5">
        <w:t xml:space="preserve">pplication of learning from </w:t>
      </w:r>
      <w:r w:rsidR="00ED333F" w:rsidRPr="00187FFC">
        <w:t xml:space="preserve">the </w:t>
      </w:r>
      <w:r w:rsidR="00A96DC5" w:rsidRPr="00187FFC">
        <w:t>e</w:t>
      </w:r>
      <w:r w:rsidR="006711BD" w:rsidRPr="00187FFC">
        <w:t xml:space="preserve">nergy </w:t>
      </w:r>
      <w:r w:rsidR="00A96DC5" w:rsidRPr="00187FFC">
        <w:t>s</w:t>
      </w:r>
      <w:r w:rsidR="006711BD" w:rsidRPr="00187FFC">
        <w:t xml:space="preserve">ystems </w:t>
      </w:r>
      <w:r w:rsidR="0014218A" w:rsidRPr="00187FFC">
        <w:t>depth study</w:t>
      </w:r>
      <w:r w:rsidR="00187FFC" w:rsidRPr="00187FFC">
        <w:t>.</w:t>
      </w:r>
    </w:p>
    <w:p w14:paraId="094B80A2" w14:textId="1EC487B4" w:rsidR="0014218A" w:rsidRDefault="0008611F" w:rsidP="0014218A">
      <w:pPr>
        <w:pStyle w:val="Featurepink"/>
      </w:pPr>
      <w:r w:rsidRPr="001D7496">
        <w:rPr>
          <w:b/>
          <w:bCs/>
        </w:rPr>
        <w:t>Outcomes:</w:t>
      </w:r>
    </w:p>
    <w:p w14:paraId="1675B7B1" w14:textId="55C1DCE8" w:rsidR="0014218A" w:rsidRPr="006711BD" w:rsidRDefault="0014218A" w:rsidP="00C05B91">
      <w:pPr>
        <w:pStyle w:val="Featurepink"/>
        <w:numPr>
          <w:ilvl w:val="0"/>
          <w:numId w:val="14"/>
        </w:numPr>
      </w:pPr>
      <w:r w:rsidRPr="006711BD">
        <w:t>analyses the systems of the body in relation to movement</w:t>
      </w:r>
      <w:r w:rsidR="00366BEA">
        <w:t xml:space="preserve"> </w:t>
      </w:r>
      <w:r w:rsidR="00366BEA" w:rsidRPr="00366BEA">
        <w:rPr>
          <w:b/>
          <w:bCs/>
        </w:rPr>
        <w:t>HM-11-03</w:t>
      </w:r>
    </w:p>
    <w:p w14:paraId="3D14BBAC" w14:textId="7444E9DE" w:rsidR="0014218A" w:rsidRPr="006711BD" w:rsidRDefault="00072E11" w:rsidP="00C05B91">
      <w:pPr>
        <w:pStyle w:val="Featurepink"/>
        <w:numPr>
          <w:ilvl w:val="0"/>
          <w:numId w:val="14"/>
        </w:numPr>
      </w:pPr>
      <w:r>
        <w:t xml:space="preserve">Analysis: </w:t>
      </w:r>
      <w:r w:rsidR="0014218A">
        <w:t>analyses the relationships and implications of health and movement concepts</w:t>
      </w:r>
      <w:r w:rsidR="00720A10">
        <w:t xml:space="preserve"> </w:t>
      </w:r>
      <w:r w:rsidR="00720A10" w:rsidRPr="1B765945">
        <w:rPr>
          <w:b/>
          <w:bCs/>
        </w:rPr>
        <w:t>HM-11-06</w:t>
      </w:r>
    </w:p>
    <w:p w14:paraId="5F707C11" w14:textId="380CDB24" w:rsidR="0014218A" w:rsidRPr="006711BD" w:rsidRDefault="00E134A8" w:rsidP="00C05B91">
      <w:pPr>
        <w:pStyle w:val="Featurepink"/>
        <w:numPr>
          <w:ilvl w:val="0"/>
          <w:numId w:val="14"/>
        </w:numPr>
      </w:pPr>
      <w:r>
        <w:t>Communication</w:t>
      </w:r>
      <w:r w:rsidR="00F66F31">
        <w:t xml:space="preserve">: </w:t>
      </w:r>
      <w:r w:rsidR="0014218A" w:rsidRPr="006711BD">
        <w:t>communicates health and movement concepts to audiences and contexts, using a variety of modes</w:t>
      </w:r>
      <w:r w:rsidR="00F66F31">
        <w:t xml:space="preserve"> </w:t>
      </w:r>
      <w:r w:rsidR="00F66F31" w:rsidRPr="00F66F31">
        <w:rPr>
          <w:b/>
          <w:bCs/>
        </w:rPr>
        <w:t>HM-11-07</w:t>
      </w:r>
    </w:p>
    <w:p w14:paraId="19E9E5B6" w14:textId="62ABE435" w:rsidR="00543141" w:rsidRPr="00543141" w:rsidRDefault="00E134A8" w:rsidP="00C05B91">
      <w:pPr>
        <w:pStyle w:val="Featurepink"/>
        <w:numPr>
          <w:ilvl w:val="0"/>
          <w:numId w:val="14"/>
        </w:numPr>
      </w:pPr>
      <w:r>
        <w:t>Problem</w:t>
      </w:r>
      <w:r w:rsidR="009904E6">
        <w:t>-</w:t>
      </w:r>
      <w:r>
        <w:t>solving</w:t>
      </w:r>
      <w:r w:rsidR="00F66F31">
        <w:t xml:space="preserve">: </w:t>
      </w:r>
      <w:r w:rsidR="0014218A" w:rsidRPr="006711BD">
        <w:t>proposes and evaluates solutions to health and movement issues</w:t>
      </w:r>
      <w:r w:rsidR="00F66F31">
        <w:t xml:space="preserve"> </w:t>
      </w:r>
      <w:r w:rsidR="00F66F31" w:rsidRPr="00F66F31">
        <w:rPr>
          <w:b/>
          <w:bCs/>
        </w:rPr>
        <w:t>HM-11-09</w:t>
      </w:r>
    </w:p>
    <w:p w14:paraId="2436C99E" w14:textId="7496BD09" w:rsidR="00543141" w:rsidRDefault="00543141" w:rsidP="001D7496">
      <w:pPr>
        <w:pStyle w:val="Featurepink"/>
        <w:rPr>
          <w:b/>
          <w:bCs/>
        </w:rPr>
      </w:pPr>
      <w:r>
        <w:rPr>
          <w:b/>
          <w:bCs/>
        </w:rPr>
        <w:t>Content:</w:t>
      </w:r>
      <w:r w:rsidR="00752E23" w:rsidRPr="00293A67">
        <w:t xml:space="preserve"> </w:t>
      </w:r>
      <w:r w:rsidR="00BB73A6">
        <w:t xml:space="preserve">Year 11 </w:t>
      </w:r>
      <w:r w:rsidR="009904E6">
        <w:t>C</w:t>
      </w:r>
      <w:r w:rsidR="00864CC4" w:rsidRPr="00752E23">
        <w:t xml:space="preserve">ore </w:t>
      </w:r>
      <w:r w:rsidR="00752E23" w:rsidRPr="00752E23">
        <w:t xml:space="preserve">2 </w:t>
      </w:r>
      <w:r w:rsidR="006B3426">
        <w:t>– The b</w:t>
      </w:r>
      <w:r w:rsidRPr="00543141">
        <w:t xml:space="preserve">ody and </w:t>
      </w:r>
      <w:r w:rsidR="00864CC4">
        <w:t>m</w:t>
      </w:r>
      <w:r w:rsidRPr="00543141">
        <w:t>ind in motion</w:t>
      </w:r>
    </w:p>
    <w:p w14:paraId="795EFDBC" w14:textId="5E33971B" w:rsidR="00543141" w:rsidRPr="00543141" w:rsidRDefault="004A37A9" w:rsidP="00543141">
      <w:pPr>
        <w:pStyle w:val="Featurepink"/>
      </w:pPr>
      <w:r w:rsidRPr="001D7496">
        <w:rPr>
          <w:b/>
          <w:bCs/>
        </w:rPr>
        <w:t>W</w:t>
      </w:r>
      <w:r w:rsidR="0008611F" w:rsidRPr="001D7496">
        <w:rPr>
          <w:b/>
          <w:bCs/>
        </w:rPr>
        <w:t>eighting:</w:t>
      </w:r>
      <w:r w:rsidR="006711BD" w:rsidRPr="00293A67">
        <w:t xml:space="preserve"> </w:t>
      </w:r>
      <w:r w:rsidR="006711BD" w:rsidRPr="006711BD">
        <w:t>30%</w:t>
      </w:r>
    </w:p>
    <w:p w14:paraId="0088B60C" w14:textId="73E6A422" w:rsidR="006711BD" w:rsidRDefault="006711BD" w:rsidP="000F2D7E">
      <w:r>
        <w:t>Th</w:t>
      </w:r>
      <w:r w:rsidR="009A0A7A">
        <w:t>is assessment is designed to</w:t>
      </w:r>
      <w:r>
        <w:t xml:space="preserve"> follow the experiences and discussions of the</w:t>
      </w:r>
      <w:r w:rsidR="00751094">
        <w:t xml:space="preserve"> </w:t>
      </w:r>
      <w:r w:rsidR="00751094" w:rsidRPr="1B765945">
        <w:rPr>
          <w:b/>
          <w:bCs/>
        </w:rPr>
        <w:t>Energy systems preliminary depth study</w:t>
      </w:r>
      <w:r w:rsidR="00751094">
        <w:t xml:space="preserve">. </w:t>
      </w:r>
      <w:r w:rsidR="00691456">
        <w:t xml:space="preserve">This resource can be accessed on the </w:t>
      </w:r>
      <w:hyperlink r:id="rId8">
        <w:r w:rsidR="009F7FA0" w:rsidRPr="1B765945">
          <w:rPr>
            <w:rStyle w:val="Hyperlink"/>
          </w:rPr>
          <w:t xml:space="preserve">Planning, programming and assessing </w:t>
        </w:r>
        <w:r w:rsidR="00691456" w:rsidRPr="1B765945">
          <w:rPr>
            <w:rStyle w:val="Hyperlink"/>
          </w:rPr>
          <w:t>PDHPE 11</w:t>
        </w:r>
        <w:r w:rsidR="009F7FA0" w:rsidRPr="1B765945">
          <w:rPr>
            <w:rStyle w:val="Hyperlink"/>
          </w:rPr>
          <w:t>-</w:t>
        </w:r>
        <w:r w:rsidR="00691456" w:rsidRPr="1B765945">
          <w:rPr>
            <w:rStyle w:val="Hyperlink"/>
          </w:rPr>
          <w:t xml:space="preserve">12 </w:t>
        </w:r>
        <w:r w:rsidR="009F7FA0" w:rsidRPr="1B765945">
          <w:rPr>
            <w:rStyle w:val="Hyperlink"/>
          </w:rPr>
          <w:t>curriculum webpages</w:t>
        </w:r>
      </w:hyperlink>
      <w:r w:rsidR="009F7FA0">
        <w:t xml:space="preserve">. </w:t>
      </w:r>
    </w:p>
    <w:p w14:paraId="47107A60" w14:textId="75994FA4" w:rsidR="00543141" w:rsidRPr="007561FD" w:rsidRDefault="00A329DC" w:rsidP="007561FD">
      <w:pPr>
        <w:pStyle w:val="Heading3"/>
        <w:rPr>
          <w:rStyle w:val="Strong"/>
          <w:b/>
          <w:bCs w:val="0"/>
        </w:rPr>
      </w:pPr>
      <w:r w:rsidRPr="007561FD">
        <w:rPr>
          <w:rStyle w:val="Strong"/>
          <w:b/>
          <w:bCs w:val="0"/>
        </w:rPr>
        <w:t>The t</w:t>
      </w:r>
      <w:r w:rsidR="006711BD" w:rsidRPr="007561FD">
        <w:rPr>
          <w:rStyle w:val="Strong"/>
          <w:b/>
          <w:bCs w:val="0"/>
        </w:rPr>
        <w:t>ask</w:t>
      </w:r>
    </w:p>
    <w:p w14:paraId="6FB9F9EF" w14:textId="620F249B" w:rsidR="000F2D7E" w:rsidRPr="00AA027D" w:rsidRDefault="000F2D7E" w:rsidP="00AA027D">
      <w:pPr>
        <w:pStyle w:val="FeatureBox2"/>
      </w:pPr>
      <w:r w:rsidRPr="00AA027D">
        <w:t>Students</w:t>
      </w:r>
      <w:r w:rsidR="00D253AD" w:rsidRPr="00AA027D">
        <w:t xml:space="preserve"> will</w:t>
      </w:r>
      <w:r w:rsidRPr="00AA027D">
        <w:t xml:space="preserve"> assume the role of a head sports coach reviewing an athlete’s performance after an event. </w:t>
      </w:r>
      <w:r w:rsidR="0018076D" w:rsidRPr="00AA027D">
        <w:t xml:space="preserve">The case study </w:t>
      </w:r>
      <w:r w:rsidR="005E1E2B" w:rsidRPr="00AA027D">
        <w:t>below provides an</w:t>
      </w:r>
      <w:r w:rsidR="00E729F7" w:rsidRPr="00AA027D">
        <w:t xml:space="preserve"> </w:t>
      </w:r>
      <w:r w:rsidR="0018076D" w:rsidRPr="00AA027D">
        <w:t>overview</w:t>
      </w:r>
      <w:r w:rsidR="005E1E2B" w:rsidRPr="00AA027D">
        <w:t xml:space="preserve"> of</w:t>
      </w:r>
      <w:r w:rsidR="0018076D" w:rsidRPr="00AA027D">
        <w:t xml:space="preserve"> the athlete</w:t>
      </w:r>
      <w:r w:rsidR="00430576" w:rsidRPr="00AA027D">
        <w:t>’s reflection on their performance</w:t>
      </w:r>
      <w:r w:rsidR="00190BDF" w:rsidRPr="00AA027D">
        <w:t xml:space="preserve"> in a sport</w:t>
      </w:r>
      <w:r w:rsidR="00C662AE">
        <w:t>,</w:t>
      </w:r>
      <w:r w:rsidR="75FB5776" w:rsidRPr="00AA027D">
        <w:t xml:space="preserve"> </w:t>
      </w:r>
      <w:r w:rsidR="00190BDF" w:rsidRPr="00AA027D">
        <w:t>event</w:t>
      </w:r>
      <w:r w:rsidR="00C662AE">
        <w:t>,</w:t>
      </w:r>
      <w:r w:rsidR="0A148883" w:rsidRPr="00AA027D">
        <w:t xml:space="preserve"> </w:t>
      </w:r>
      <w:r w:rsidR="00190BDF" w:rsidRPr="00AA027D">
        <w:t>match</w:t>
      </w:r>
      <w:r w:rsidR="195DB4F7" w:rsidRPr="00AA027D">
        <w:t xml:space="preserve"> or </w:t>
      </w:r>
      <w:r w:rsidR="00190BDF" w:rsidRPr="00AA027D">
        <w:t>race</w:t>
      </w:r>
      <w:r w:rsidR="5B37B4C6" w:rsidRPr="00AA027D">
        <w:t xml:space="preserve"> they competed in</w:t>
      </w:r>
      <w:r w:rsidR="00430576" w:rsidRPr="00AA027D">
        <w:t xml:space="preserve">. </w:t>
      </w:r>
      <w:r w:rsidR="00B5493E" w:rsidRPr="00AA027D">
        <w:t xml:space="preserve">Using the information in </w:t>
      </w:r>
      <w:r w:rsidR="006B7CC6" w:rsidRPr="00AA027D">
        <w:t>t</w:t>
      </w:r>
      <w:r w:rsidR="00B5493E" w:rsidRPr="00AA027D">
        <w:t>he case study, students</w:t>
      </w:r>
      <w:r w:rsidR="00586250" w:rsidRPr="00AA027D">
        <w:t xml:space="preserve"> </w:t>
      </w:r>
      <w:r w:rsidR="000612D8" w:rsidRPr="00AA027D">
        <w:t xml:space="preserve">are to </w:t>
      </w:r>
      <w:r w:rsidR="00DC0F15" w:rsidRPr="00AA027D">
        <w:t xml:space="preserve">complete </w:t>
      </w:r>
      <w:r w:rsidR="0EF8E726" w:rsidRPr="00AA027D">
        <w:t>a written or verbal</w:t>
      </w:r>
      <w:r w:rsidR="00DC0F15" w:rsidRPr="00AA027D">
        <w:t xml:space="preserve"> submission</w:t>
      </w:r>
      <w:r w:rsidR="001707D4" w:rsidRPr="00AA027D">
        <w:t>.</w:t>
      </w:r>
    </w:p>
    <w:p w14:paraId="4CB62C2D" w14:textId="77777777" w:rsidR="000F2D7E" w:rsidRPr="007561FD" w:rsidRDefault="000F2D7E" w:rsidP="007561FD">
      <w:pPr>
        <w:pStyle w:val="Heading4"/>
      </w:pPr>
      <w:r w:rsidRPr="007561FD">
        <w:t>Case study</w:t>
      </w:r>
    </w:p>
    <w:p w14:paraId="57BD792E" w14:textId="765FFF06" w:rsidR="00B06805" w:rsidRPr="00AA027D" w:rsidRDefault="000F2D7E" w:rsidP="00AA027D">
      <w:pPr>
        <w:pStyle w:val="FeatureBox"/>
      </w:pPr>
      <w:r>
        <w:t xml:space="preserve">The athlete felt like they didn’t perform as well as they could have. The athlete has reported that they felt tired and fatigued towards the end of the </w:t>
      </w:r>
      <w:r w:rsidR="00166CC7">
        <w:t>sport</w:t>
      </w:r>
      <w:r w:rsidR="001F4E2E">
        <w:t xml:space="preserve">, </w:t>
      </w:r>
      <w:r w:rsidR="00166CC7">
        <w:t>event</w:t>
      </w:r>
      <w:r w:rsidR="001F4E2E">
        <w:t xml:space="preserve">, </w:t>
      </w:r>
      <w:r w:rsidR="00166CC7">
        <w:t>match</w:t>
      </w:r>
      <w:r w:rsidR="001F4E2E">
        <w:t xml:space="preserve"> or </w:t>
      </w:r>
      <w:r w:rsidR="00166CC7">
        <w:t xml:space="preserve">race </w:t>
      </w:r>
      <w:r>
        <w:lastRenderedPageBreak/>
        <w:t>and that their body could not sustain the level of intensity needed, despite how hard they tried.</w:t>
      </w:r>
    </w:p>
    <w:p w14:paraId="3801B4F1" w14:textId="696523B1" w:rsidR="00361D11" w:rsidRPr="007561FD" w:rsidRDefault="00361D11" w:rsidP="007561FD">
      <w:pPr>
        <w:pStyle w:val="Heading4"/>
      </w:pPr>
      <w:r w:rsidRPr="007561FD">
        <w:t>The submission</w:t>
      </w:r>
    </w:p>
    <w:p w14:paraId="67FEBED5" w14:textId="69BFB18A" w:rsidR="000F2D7E" w:rsidRPr="00AA027D" w:rsidRDefault="00361D11" w:rsidP="00AA027D">
      <w:r w:rsidRPr="00AA027D">
        <w:t>As the role of head sports coach, s</w:t>
      </w:r>
      <w:r w:rsidR="000F2D7E" w:rsidRPr="00AA027D">
        <w:t>tudents</w:t>
      </w:r>
      <w:r w:rsidR="009A6615" w:rsidRPr="00AA027D">
        <w:t xml:space="preserve"> </w:t>
      </w:r>
      <w:r w:rsidRPr="00AA027D">
        <w:t>use the information provided in the case study to create the following</w:t>
      </w:r>
      <w:r w:rsidR="007D2872" w:rsidRPr="00AA027D">
        <w:t>:</w:t>
      </w:r>
    </w:p>
    <w:p w14:paraId="32EBCF91" w14:textId="4839298C" w:rsidR="000F2D7E" w:rsidRPr="00AA027D" w:rsidRDefault="00DA0D63" w:rsidP="00AA027D">
      <w:pPr>
        <w:pStyle w:val="ListBullet"/>
      </w:pPr>
      <w:r>
        <w:t>A</w:t>
      </w:r>
      <w:r w:rsidR="000F2D7E">
        <w:t xml:space="preserve"> short profile of the athlete, including the level (recreational or elite) and the </w:t>
      </w:r>
      <w:r w:rsidR="00166CC7">
        <w:t>sport</w:t>
      </w:r>
      <w:r w:rsidR="001F4E2E">
        <w:t>,</w:t>
      </w:r>
      <w:r w:rsidR="00FF5FFB">
        <w:t xml:space="preserve"> </w:t>
      </w:r>
      <w:r w:rsidR="00166CC7">
        <w:t>event</w:t>
      </w:r>
      <w:r w:rsidR="001F4E2E">
        <w:t>,</w:t>
      </w:r>
      <w:r w:rsidR="00FF5FFB">
        <w:t xml:space="preserve"> </w:t>
      </w:r>
      <w:r w:rsidR="00166CC7">
        <w:t>match</w:t>
      </w:r>
      <w:r w:rsidR="00FF5FFB">
        <w:t xml:space="preserve"> or </w:t>
      </w:r>
      <w:r w:rsidR="00166CC7">
        <w:t xml:space="preserve">race </w:t>
      </w:r>
      <w:r w:rsidR="00FF5FFB">
        <w:t xml:space="preserve">they </w:t>
      </w:r>
      <w:r w:rsidR="000F2D7E">
        <w:t xml:space="preserve">competed in. Where </w:t>
      </w:r>
      <w:r w:rsidR="00FF5FFB">
        <w:t xml:space="preserve">students select </w:t>
      </w:r>
      <w:r w:rsidR="000F2D7E">
        <w:t>an athlete playing a team sport</w:t>
      </w:r>
      <w:r w:rsidR="00FF5FFB">
        <w:t xml:space="preserve">, they should specify </w:t>
      </w:r>
      <w:r w:rsidR="000F2D7E">
        <w:t>the athlete’s specific position</w:t>
      </w:r>
      <w:r w:rsidR="00AC0F0C">
        <w:t>.</w:t>
      </w:r>
    </w:p>
    <w:p w14:paraId="1B86AD84" w14:textId="7972A885" w:rsidR="000F2D7E" w:rsidRPr="00AA027D" w:rsidRDefault="00AC0F0C" w:rsidP="00AA027D">
      <w:pPr>
        <w:pStyle w:val="ListBullet"/>
      </w:pPr>
      <w:r w:rsidRPr="00AA027D">
        <w:t>A</w:t>
      </w:r>
      <w:r w:rsidR="000F2D7E" w:rsidRPr="00AA027D">
        <w:t xml:space="preserve"> hypothetical energy graph for the athlete, demonstrating the interplay of energy systems during their performance.</w:t>
      </w:r>
    </w:p>
    <w:p w14:paraId="18BB7181" w14:textId="4758C124" w:rsidR="000F2D7E" w:rsidRPr="00AA027D" w:rsidRDefault="001B5FA4" w:rsidP="00AA027D">
      <w:pPr>
        <w:pStyle w:val="ListBullet"/>
      </w:pPr>
      <w:r>
        <w:t>A</w:t>
      </w:r>
      <w:r w:rsidR="000F2D7E">
        <w:t xml:space="preserve"> recording or transcript of the conversation between the head </w:t>
      </w:r>
      <w:r>
        <w:t xml:space="preserve">sports </w:t>
      </w:r>
      <w:r w:rsidR="000F2D7E">
        <w:t xml:space="preserve">coach and the athlete analysing the interplay of the energy systems for the </w:t>
      </w:r>
      <w:r w:rsidR="00FF3ECA">
        <w:t>sport</w:t>
      </w:r>
      <w:r w:rsidR="00AA027D">
        <w:t>,</w:t>
      </w:r>
      <w:r w:rsidR="00FF3ECA">
        <w:t xml:space="preserve"> event</w:t>
      </w:r>
      <w:r w:rsidR="00AA027D">
        <w:t>,</w:t>
      </w:r>
      <w:r w:rsidR="00FF3ECA">
        <w:t xml:space="preserve"> match or race they competed in</w:t>
      </w:r>
      <w:r w:rsidR="000F2D7E">
        <w:t>. The conversation could include:</w:t>
      </w:r>
    </w:p>
    <w:p w14:paraId="69FE1F74" w14:textId="77777777" w:rsidR="000F2D7E" w:rsidRPr="00AA027D" w:rsidRDefault="000F2D7E" w:rsidP="00AA027D">
      <w:pPr>
        <w:pStyle w:val="ListBullet2"/>
      </w:pPr>
      <w:r w:rsidRPr="00AA027D">
        <w:t>reference to fuel sources</w:t>
      </w:r>
    </w:p>
    <w:p w14:paraId="55098AD1" w14:textId="77777777" w:rsidR="000F2D7E" w:rsidRPr="00AA027D" w:rsidRDefault="000F2D7E" w:rsidP="00AA027D">
      <w:pPr>
        <w:pStyle w:val="ListBullet2"/>
      </w:pPr>
      <w:r w:rsidRPr="00AA027D">
        <w:t>efficiency of ATP production</w:t>
      </w:r>
    </w:p>
    <w:p w14:paraId="6A1F606B" w14:textId="4BBB7034" w:rsidR="000F2D7E" w:rsidRPr="00AA027D" w:rsidRDefault="000F2D7E" w:rsidP="00AA027D">
      <w:pPr>
        <w:pStyle w:val="ListBullet2"/>
      </w:pPr>
      <w:r w:rsidRPr="00AA027D">
        <w:t>duration of event</w:t>
      </w:r>
    </w:p>
    <w:p w14:paraId="50C2E9AC" w14:textId="1188F7D2" w:rsidR="000F2D7E" w:rsidRPr="00AA027D" w:rsidRDefault="000F2D7E" w:rsidP="00AA027D">
      <w:pPr>
        <w:pStyle w:val="ListBullet2"/>
      </w:pPr>
      <w:r>
        <w:t xml:space="preserve">recruitment or use of the energy systems at different points in the </w:t>
      </w:r>
      <w:r w:rsidR="00AC7EA4">
        <w:t>sport</w:t>
      </w:r>
      <w:r w:rsidR="00175A65">
        <w:t>,</w:t>
      </w:r>
      <w:r w:rsidR="00AC7EA4">
        <w:t xml:space="preserve"> event</w:t>
      </w:r>
      <w:r w:rsidR="00175A65">
        <w:t>,</w:t>
      </w:r>
      <w:r w:rsidR="00AC7EA4">
        <w:t xml:space="preserve"> match or race they competed in</w:t>
      </w:r>
    </w:p>
    <w:p w14:paraId="608B4E8A" w14:textId="213C2FAB" w:rsidR="000F2D7E" w:rsidRPr="00AA027D" w:rsidRDefault="000F2D7E" w:rsidP="00AA027D">
      <w:pPr>
        <w:pStyle w:val="ListBullet2"/>
      </w:pPr>
      <w:r>
        <w:t xml:space="preserve">intensity of performance at different points in the </w:t>
      </w:r>
      <w:r w:rsidR="00AC7EA4">
        <w:t>sport</w:t>
      </w:r>
      <w:r w:rsidR="00175A65">
        <w:t>,</w:t>
      </w:r>
      <w:r w:rsidR="00AC7EA4">
        <w:t xml:space="preserve"> event</w:t>
      </w:r>
      <w:r w:rsidR="00175A65">
        <w:t>,</w:t>
      </w:r>
      <w:r w:rsidR="00AC7EA4">
        <w:t xml:space="preserve"> match or race they competed in </w:t>
      </w:r>
      <w:r>
        <w:t>and the relationship to interplay of the energy systems</w:t>
      </w:r>
    </w:p>
    <w:p w14:paraId="5B50E2EA" w14:textId="46A98C26" w:rsidR="000F2D7E" w:rsidRPr="00AA027D" w:rsidRDefault="000F2D7E" w:rsidP="00AA027D">
      <w:pPr>
        <w:pStyle w:val="ListBullet2"/>
      </w:pPr>
      <w:r w:rsidRPr="00AA027D">
        <w:t>rate of recovery</w:t>
      </w:r>
    </w:p>
    <w:p w14:paraId="491E2298" w14:textId="6BE17FB8" w:rsidR="000F2D7E" w:rsidRPr="00AA027D" w:rsidRDefault="000F2D7E" w:rsidP="00AA027D">
      <w:pPr>
        <w:pStyle w:val="ListBullet2"/>
      </w:pPr>
      <w:r w:rsidRPr="00AA027D">
        <w:t>causes of fatigue.</w:t>
      </w:r>
    </w:p>
    <w:p w14:paraId="2421F72A" w14:textId="4BA7A59C" w:rsidR="000F2D7E" w:rsidRPr="00AA027D" w:rsidRDefault="007768CF" w:rsidP="00AA027D">
      <w:pPr>
        <w:pStyle w:val="ListBullet"/>
      </w:pPr>
      <w:r>
        <w:t>A j</w:t>
      </w:r>
      <w:r w:rsidR="000F2D7E">
        <w:t xml:space="preserve">ustification of why the athlete was not able to sustain the intensity they desired in the final stage of the </w:t>
      </w:r>
      <w:r>
        <w:t>sport</w:t>
      </w:r>
      <w:r w:rsidR="00175A65">
        <w:t>,</w:t>
      </w:r>
      <w:r>
        <w:t xml:space="preserve"> event</w:t>
      </w:r>
      <w:r w:rsidR="00175A65">
        <w:t>,</w:t>
      </w:r>
      <w:r>
        <w:t xml:space="preserve"> match or race they competed in</w:t>
      </w:r>
      <w:r w:rsidR="000F2D7E">
        <w:t xml:space="preserve">. Specific examples </w:t>
      </w:r>
      <w:r w:rsidR="28C0A311">
        <w:t xml:space="preserve">must </w:t>
      </w:r>
      <w:r w:rsidR="000F2D7E">
        <w:t>be used to support the justification.</w:t>
      </w:r>
    </w:p>
    <w:p w14:paraId="0C630360" w14:textId="27B2CB24" w:rsidR="00AB4438" w:rsidRPr="00175A65" w:rsidRDefault="007768CF" w:rsidP="00175A65">
      <w:pPr>
        <w:pStyle w:val="ListBullet"/>
      </w:pPr>
      <w:r>
        <w:t>S</w:t>
      </w:r>
      <w:r w:rsidR="000F2D7E">
        <w:t xml:space="preserve">uggestions for what the athlete could have done both prior to, and during the </w:t>
      </w:r>
      <w:r>
        <w:t>sport</w:t>
      </w:r>
      <w:r w:rsidR="00175A65">
        <w:t>,</w:t>
      </w:r>
      <w:r>
        <w:t xml:space="preserve"> event</w:t>
      </w:r>
      <w:r w:rsidR="00175A65">
        <w:t>,</w:t>
      </w:r>
      <w:r>
        <w:t xml:space="preserve"> match or race they competed in </w:t>
      </w:r>
      <w:r w:rsidR="000F2D7E">
        <w:t>to ensure they were able to sustain the desired intensity in the final stages.</w:t>
      </w:r>
      <w:bookmarkStart w:id="2" w:name="_Toc121826137"/>
      <w:r>
        <w:br w:type="page"/>
      </w:r>
    </w:p>
    <w:p w14:paraId="4D8522C9" w14:textId="77777777" w:rsidR="00F12D5C" w:rsidRDefault="00F12D5C" w:rsidP="00F12D5C">
      <w:pPr>
        <w:pStyle w:val="Heading2"/>
      </w:pPr>
      <w:r>
        <w:lastRenderedPageBreak/>
        <w:t>Marking guidelines</w:t>
      </w:r>
      <w:bookmarkEnd w:id="2"/>
    </w:p>
    <w:p w14:paraId="0794599B" w14:textId="73021F09" w:rsidR="001D7496" w:rsidRDefault="001D7496" w:rsidP="001D7496">
      <w:pPr>
        <w:pStyle w:val="Caption"/>
      </w:pPr>
      <w:r>
        <w:t xml:space="preserve">Table </w:t>
      </w:r>
      <w:r>
        <w:fldChar w:fldCharType="begin"/>
      </w:r>
      <w:r>
        <w:instrText>SEQ Table \* ARABIC</w:instrText>
      </w:r>
      <w:r>
        <w:fldChar w:fldCharType="separate"/>
      </w:r>
      <w:r w:rsidR="008A7F48">
        <w:rPr>
          <w:noProof/>
        </w:rPr>
        <w:t>1</w:t>
      </w:r>
      <w:r>
        <w:fldChar w:fldCharType="end"/>
      </w:r>
      <w:r w:rsidRPr="001D7496">
        <w:t xml:space="preserve"> </w:t>
      </w:r>
      <w:r>
        <w:t xml:space="preserve">– </w:t>
      </w:r>
      <w:r w:rsidR="0064309E">
        <w:t>a</w:t>
      </w:r>
      <w:r>
        <w:t>ssessment marking guidelines</w:t>
      </w:r>
    </w:p>
    <w:tbl>
      <w:tblPr>
        <w:tblStyle w:val="Tableheader"/>
        <w:tblW w:w="5000" w:type="pct"/>
        <w:tblLayout w:type="fixed"/>
        <w:tblLook w:val="04A0" w:firstRow="1" w:lastRow="0" w:firstColumn="1" w:lastColumn="0" w:noHBand="0" w:noVBand="1"/>
        <w:tblDescription w:val="Marking guidelines for assessment task, including the grade and marking guideline descriptors."/>
      </w:tblPr>
      <w:tblGrid>
        <w:gridCol w:w="846"/>
        <w:gridCol w:w="8784"/>
      </w:tblGrid>
      <w:tr w:rsidR="001D7496" w14:paraId="20F6EC26" w14:textId="77777777" w:rsidTr="1B765945">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tcPr>
          <w:p w14:paraId="613E47F4" w14:textId="450A1393" w:rsidR="001D7496" w:rsidRPr="0064309E" w:rsidRDefault="009A0A7A" w:rsidP="0064309E">
            <w:r w:rsidRPr="0064309E">
              <w:t>Mark</w:t>
            </w:r>
          </w:p>
        </w:tc>
        <w:tc>
          <w:tcPr>
            <w:tcW w:w="4561" w:type="pct"/>
          </w:tcPr>
          <w:p w14:paraId="2D5B41C5" w14:textId="77777777" w:rsidR="001D7496" w:rsidRPr="0064309E" w:rsidRDefault="001D7496" w:rsidP="0064309E">
            <w:pPr>
              <w:cnfStyle w:val="100000000000" w:firstRow="1" w:lastRow="0" w:firstColumn="0" w:lastColumn="0" w:oddVBand="0" w:evenVBand="0" w:oddHBand="0" w:evenHBand="0" w:firstRowFirstColumn="0" w:firstRowLastColumn="0" w:lastRowFirstColumn="0" w:lastRowLastColumn="0"/>
            </w:pPr>
            <w:r w:rsidRPr="0064309E">
              <w:t>Marking guideline descriptors</w:t>
            </w:r>
          </w:p>
        </w:tc>
      </w:tr>
      <w:tr w:rsidR="001D7496" w14:paraId="0E396DA2" w14:textId="77777777" w:rsidTr="1B765945">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439" w:type="pct"/>
          </w:tcPr>
          <w:p w14:paraId="3BCE2F84" w14:textId="1BB67AC1" w:rsidR="001D7496" w:rsidRPr="0064309E" w:rsidRDefault="009A0A7A" w:rsidP="0064309E">
            <w:r w:rsidRPr="0064309E">
              <w:t>10-9</w:t>
            </w:r>
          </w:p>
        </w:tc>
        <w:tc>
          <w:tcPr>
            <w:tcW w:w="4561" w:type="pct"/>
          </w:tcPr>
          <w:p w14:paraId="39CD01BA" w14:textId="35FCCF75" w:rsidR="000F2D7E" w:rsidRPr="0064309E" w:rsidRDefault="000F2D7E" w:rsidP="0064309E">
            <w:pPr>
              <w:pStyle w:val="ListBullet"/>
              <w:cnfStyle w:val="000000100000" w:firstRow="0" w:lastRow="0" w:firstColumn="0" w:lastColumn="0" w:oddVBand="0" w:evenVBand="0" w:oddHBand="1" w:evenHBand="0" w:firstRowFirstColumn="0" w:firstRowLastColumn="0" w:lastRowFirstColumn="0" w:lastRowLastColumn="0"/>
            </w:pPr>
            <w:r>
              <w:t>Demonstrates a comprehensive understanding of the interplay between the ATP-PCr, Glycolytic (Lactic Acid) and Aerobic energy systems</w:t>
            </w:r>
          </w:p>
          <w:p w14:paraId="08C81969" w14:textId="34C01D6F" w:rsidR="000F2D7E" w:rsidRPr="0064309E" w:rsidRDefault="000F2D7E" w:rsidP="0064309E">
            <w:pPr>
              <w:pStyle w:val="ListBullet"/>
              <w:cnfStyle w:val="000000100000" w:firstRow="0" w:lastRow="0" w:firstColumn="0" w:lastColumn="0" w:oddVBand="0" w:evenVBand="0" w:oddHBand="1" w:evenHBand="0" w:firstRowFirstColumn="0" w:firstRowLastColumn="0" w:lastRowFirstColumn="0" w:lastRowLastColumn="0"/>
            </w:pPr>
            <w:r>
              <w:t xml:space="preserve">Shows a clear relationship between the profile of the athlete (the position, the situation of the </w:t>
            </w:r>
            <w:r w:rsidR="00EF2423">
              <w:t>sport</w:t>
            </w:r>
            <w:r w:rsidR="00DE020F">
              <w:t>,</w:t>
            </w:r>
            <w:r w:rsidR="00EF2423">
              <w:t xml:space="preserve"> event</w:t>
            </w:r>
            <w:r w:rsidR="00DE020F">
              <w:t>,</w:t>
            </w:r>
            <w:r w:rsidR="00EF2423">
              <w:t xml:space="preserve"> match or race they competed in</w:t>
            </w:r>
            <w:r>
              <w:t>) and the interplay of the energy systems</w:t>
            </w:r>
          </w:p>
          <w:p w14:paraId="7F8386A4" w14:textId="3999C0E0" w:rsidR="000F2D7E" w:rsidRPr="0064309E" w:rsidRDefault="000F2D7E" w:rsidP="0064309E">
            <w:pPr>
              <w:pStyle w:val="ListBullet"/>
              <w:cnfStyle w:val="000000100000" w:firstRow="0" w:lastRow="0" w:firstColumn="0" w:lastColumn="0" w:oddVBand="0" w:evenVBand="0" w:oddHBand="1" w:evenHBand="0" w:firstRowFirstColumn="0" w:firstRowLastColumn="0" w:lastRowFirstColumn="0" w:lastRowLastColumn="0"/>
            </w:pPr>
            <w:r>
              <w:t xml:space="preserve">Draws out a variety of implications this relationship has on movement and performance in the final stages of the </w:t>
            </w:r>
            <w:r w:rsidR="00EF2423">
              <w:t>sport</w:t>
            </w:r>
            <w:r w:rsidR="00DE020F">
              <w:t>,</w:t>
            </w:r>
            <w:r w:rsidR="00EF2423">
              <w:t xml:space="preserve"> event</w:t>
            </w:r>
            <w:r w:rsidR="00DE020F">
              <w:t>,</w:t>
            </w:r>
            <w:r w:rsidR="00EF2423">
              <w:t xml:space="preserve"> match or race they competed in</w:t>
            </w:r>
          </w:p>
          <w:p w14:paraId="73D135F0" w14:textId="7BB23876" w:rsidR="000F2D7E" w:rsidRPr="0064309E" w:rsidRDefault="000F2D7E" w:rsidP="0064309E">
            <w:pPr>
              <w:pStyle w:val="ListBullet"/>
              <w:cnfStyle w:val="000000100000" w:firstRow="0" w:lastRow="0" w:firstColumn="0" w:lastColumn="0" w:oddVBand="0" w:evenVBand="0" w:oddHBand="1" w:evenHBand="0" w:firstRowFirstColumn="0" w:firstRowLastColumn="0" w:lastRowFirstColumn="0" w:lastRowLastColumn="0"/>
            </w:pPr>
            <w:r>
              <w:t xml:space="preserve">Provides substantiated justifications of why the athlete was fatigued in the final stages of the </w:t>
            </w:r>
            <w:r w:rsidR="00EF2423">
              <w:t>sport</w:t>
            </w:r>
            <w:r w:rsidR="00DE020F">
              <w:t>,</w:t>
            </w:r>
            <w:r w:rsidR="00EF2423">
              <w:t xml:space="preserve"> event</w:t>
            </w:r>
            <w:r w:rsidR="00DE020F">
              <w:t>,</w:t>
            </w:r>
            <w:r w:rsidR="00EF2423">
              <w:t xml:space="preserve"> match or race they competed in </w:t>
            </w:r>
            <w:r>
              <w:t>highlighting the features of each energy system and the interrelationships between energy systems</w:t>
            </w:r>
          </w:p>
          <w:p w14:paraId="3C0F3BD6" w14:textId="488408CC" w:rsidR="000F2D7E" w:rsidRPr="0064309E" w:rsidRDefault="000F2D7E" w:rsidP="0064309E">
            <w:pPr>
              <w:pStyle w:val="ListBullet"/>
              <w:cnfStyle w:val="000000100000" w:firstRow="0" w:lastRow="0" w:firstColumn="0" w:lastColumn="0" w:oddVBand="0" w:evenVBand="0" w:oddHBand="1" w:evenHBand="0" w:firstRowFirstColumn="0" w:firstRowLastColumn="0" w:lastRowFirstColumn="0" w:lastRowLastColumn="0"/>
            </w:pPr>
            <w:r>
              <w:t xml:space="preserve">Provides a variety of valid suggestions for what the athlete could have done prior and during the </w:t>
            </w:r>
            <w:r w:rsidR="00F2432E">
              <w:t>sport</w:t>
            </w:r>
            <w:r w:rsidR="00DE020F">
              <w:t>,</w:t>
            </w:r>
            <w:r w:rsidR="00F2432E">
              <w:t xml:space="preserve"> event</w:t>
            </w:r>
            <w:r w:rsidR="00DE020F">
              <w:t>,</w:t>
            </w:r>
            <w:r w:rsidR="00F2432E">
              <w:t xml:space="preserve"> match or race they competed in </w:t>
            </w:r>
            <w:r>
              <w:t>to sustain the desired intensity</w:t>
            </w:r>
          </w:p>
          <w:p w14:paraId="2F776021" w14:textId="51E5CC15" w:rsidR="000F2D7E" w:rsidRPr="0064309E" w:rsidRDefault="000F2D7E" w:rsidP="0064309E">
            <w:pPr>
              <w:pStyle w:val="ListBullet"/>
              <w:cnfStyle w:val="000000100000" w:firstRow="0" w:lastRow="0" w:firstColumn="0" w:lastColumn="0" w:oddVBand="0" w:evenVBand="0" w:oddHBand="1" w:evenHBand="0" w:firstRowFirstColumn="0" w:firstRowLastColumn="0" w:lastRowFirstColumn="0" w:lastRowLastColumn="0"/>
            </w:pPr>
            <w:r w:rsidRPr="0064309E">
              <w:t>Communicates with the athlete in a clear and logical manner</w:t>
            </w:r>
          </w:p>
          <w:p w14:paraId="7001C041" w14:textId="67C40773" w:rsidR="001D7496" w:rsidRPr="000F2D7E" w:rsidRDefault="000F2D7E" w:rsidP="0064309E">
            <w:pPr>
              <w:pStyle w:val="ListBullet"/>
              <w:cnfStyle w:val="000000100000" w:firstRow="0" w:lastRow="0" w:firstColumn="0" w:lastColumn="0" w:oddVBand="0" w:evenVBand="0" w:oddHBand="1" w:evenHBand="0" w:firstRowFirstColumn="0" w:firstRowLastColumn="0" w:lastRowFirstColumn="0" w:lastRowLastColumn="0"/>
              <w:rPr>
                <w:lang w:eastAsia="zh-CN"/>
              </w:rPr>
            </w:pPr>
            <w:r>
              <w:t xml:space="preserve">Supports the response with relevant examples that are specific to the </w:t>
            </w:r>
            <w:r w:rsidR="00F2432E">
              <w:t>sport</w:t>
            </w:r>
            <w:r w:rsidR="00DE020F">
              <w:t>,</w:t>
            </w:r>
            <w:r w:rsidR="00F2432E">
              <w:t xml:space="preserve"> event</w:t>
            </w:r>
            <w:r w:rsidR="00DE020F">
              <w:t>,</w:t>
            </w:r>
            <w:r w:rsidR="00F2432E">
              <w:t xml:space="preserve"> match or race they competed in </w:t>
            </w:r>
            <w:r>
              <w:t>and position chosen</w:t>
            </w:r>
          </w:p>
        </w:tc>
      </w:tr>
      <w:tr w:rsidR="001D7496" w14:paraId="2CBDB6C7" w14:textId="77777777" w:rsidTr="1B765945">
        <w:trPr>
          <w:cnfStyle w:val="000000010000" w:firstRow="0" w:lastRow="0" w:firstColumn="0" w:lastColumn="0" w:oddVBand="0" w:evenVBand="0" w:oddHBand="0" w:evenHBand="1"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tcPr>
          <w:p w14:paraId="4C2FA89B" w14:textId="781BDE92" w:rsidR="001D7496" w:rsidRPr="0064309E" w:rsidRDefault="009A0A7A" w:rsidP="0064309E">
            <w:r w:rsidRPr="0064309E">
              <w:t>8-7</w:t>
            </w:r>
          </w:p>
        </w:tc>
        <w:tc>
          <w:tcPr>
            <w:tcW w:w="4561" w:type="pct"/>
          </w:tcPr>
          <w:p w14:paraId="692E7298" w14:textId="19F6EAED" w:rsidR="000F2D7E" w:rsidRPr="0064309E" w:rsidRDefault="000F2D7E" w:rsidP="0064309E">
            <w:pPr>
              <w:pStyle w:val="ListBullet"/>
              <w:cnfStyle w:val="000000010000" w:firstRow="0" w:lastRow="0" w:firstColumn="0" w:lastColumn="0" w:oddVBand="0" w:evenVBand="0" w:oddHBand="0" w:evenHBand="1" w:firstRowFirstColumn="0" w:firstRowLastColumn="0" w:lastRowFirstColumn="0" w:lastRowLastColumn="0"/>
            </w:pPr>
            <w:r w:rsidRPr="0064309E">
              <w:t>Demonstrates a thorough understanding of the interplay between the ATP-PCr, Glycolytic (Lactic Acid) and Aerobic energy systems</w:t>
            </w:r>
          </w:p>
          <w:p w14:paraId="35EF26A2" w14:textId="30223CCE" w:rsidR="000F2D7E" w:rsidRPr="0064309E" w:rsidRDefault="000F2D7E" w:rsidP="0064309E">
            <w:pPr>
              <w:pStyle w:val="ListBullet"/>
              <w:cnfStyle w:val="000000010000" w:firstRow="0" w:lastRow="0" w:firstColumn="0" w:lastColumn="0" w:oddVBand="0" w:evenVBand="0" w:oddHBand="0" w:evenHBand="1" w:firstRowFirstColumn="0" w:firstRowLastColumn="0" w:lastRowFirstColumn="0" w:lastRowLastColumn="0"/>
            </w:pPr>
            <w:r>
              <w:t xml:space="preserve">Shows a relationship between the profile of the athlete (the position, the situation of the </w:t>
            </w:r>
            <w:r w:rsidR="00F2432E">
              <w:t>sport</w:t>
            </w:r>
            <w:r w:rsidR="000C5E43">
              <w:t>,</w:t>
            </w:r>
            <w:r w:rsidR="00F2432E">
              <w:t xml:space="preserve"> event</w:t>
            </w:r>
            <w:r w:rsidR="000C5E43">
              <w:t>,</w:t>
            </w:r>
            <w:r w:rsidR="00F2432E">
              <w:t xml:space="preserve"> match or race they competed in</w:t>
            </w:r>
            <w:r>
              <w:t>) and the interplay of the energy systems</w:t>
            </w:r>
          </w:p>
          <w:p w14:paraId="32A9E088" w14:textId="04A291C3" w:rsidR="000F2D7E" w:rsidRPr="0064309E" w:rsidRDefault="000F2D7E" w:rsidP="0064309E">
            <w:pPr>
              <w:pStyle w:val="ListBullet"/>
              <w:cnfStyle w:val="000000010000" w:firstRow="0" w:lastRow="0" w:firstColumn="0" w:lastColumn="0" w:oddVBand="0" w:evenVBand="0" w:oddHBand="0" w:evenHBand="1" w:firstRowFirstColumn="0" w:firstRowLastColumn="0" w:lastRowFirstColumn="0" w:lastRowLastColumn="0"/>
            </w:pPr>
            <w:r>
              <w:t xml:space="preserve">Draws out implication(s) of this relationship on movement and performance in the final stages of the </w:t>
            </w:r>
            <w:r w:rsidR="00F2432E">
              <w:t>sport</w:t>
            </w:r>
            <w:r w:rsidR="000C5E43">
              <w:t>,</w:t>
            </w:r>
            <w:r w:rsidR="00F2432E">
              <w:t xml:space="preserve"> event</w:t>
            </w:r>
            <w:r w:rsidR="000C5E43">
              <w:t>,</w:t>
            </w:r>
            <w:r w:rsidR="00F2432E">
              <w:t xml:space="preserve"> match or race they competed in</w:t>
            </w:r>
          </w:p>
          <w:p w14:paraId="3A17866A" w14:textId="2B4E98E7" w:rsidR="000F2D7E" w:rsidRPr="0064309E" w:rsidRDefault="000F2D7E" w:rsidP="0064309E">
            <w:pPr>
              <w:pStyle w:val="ListBullet"/>
              <w:cnfStyle w:val="000000010000" w:firstRow="0" w:lastRow="0" w:firstColumn="0" w:lastColumn="0" w:oddVBand="0" w:evenVBand="0" w:oddHBand="0" w:evenHBand="1" w:firstRowFirstColumn="0" w:firstRowLastColumn="0" w:lastRowFirstColumn="0" w:lastRowLastColumn="0"/>
            </w:pPr>
            <w:r>
              <w:t xml:space="preserve">Provides a justification of why the athlete was fatigued in the final stages of the </w:t>
            </w:r>
            <w:r w:rsidR="00F2432E">
              <w:t>sport</w:t>
            </w:r>
            <w:r w:rsidR="000C5E43">
              <w:t>,</w:t>
            </w:r>
            <w:r w:rsidR="00F2432E">
              <w:t xml:space="preserve"> event</w:t>
            </w:r>
            <w:r w:rsidR="000C5E43">
              <w:t>,</w:t>
            </w:r>
            <w:r w:rsidR="00F2432E">
              <w:t xml:space="preserve"> match or race they competed in </w:t>
            </w:r>
            <w:r>
              <w:t xml:space="preserve">highlighting the features </w:t>
            </w:r>
            <w:r>
              <w:lastRenderedPageBreak/>
              <w:t>of energy systems and the interrelationship between energy systems</w:t>
            </w:r>
          </w:p>
          <w:p w14:paraId="338C7583" w14:textId="7380B987" w:rsidR="000F2D7E" w:rsidRPr="0064309E" w:rsidRDefault="000F2D7E" w:rsidP="0064309E">
            <w:pPr>
              <w:pStyle w:val="ListBullet"/>
              <w:cnfStyle w:val="000000010000" w:firstRow="0" w:lastRow="0" w:firstColumn="0" w:lastColumn="0" w:oddVBand="0" w:evenVBand="0" w:oddHBand="0" w:evenHBand="1" w:firstRowFirstColumn="0" w:firstRowLastColumn="0" w:lastRowFirstColumn="0" w:lastRowLastColumn="0"/>
            </w:pPr>
            <w:r>
              <w:t xml:space="preserve">Provides a valid suggestion regarding what the athlete could have done prior and during the </w:t>
            </w:r>
            <w:r w:rsidR="00F2432E">
              <w:t>sport</w:t>
            </w:r>
            <w:r w:rsidR="000C5E43">
              <w:t>,</w:t>
            </w:r>
            <w:r w:rsidR="00F2432E">
              <w:t xml:space="preserve"> event</w:t>
            </w:r>
            <w:r w:rsidR="000C5E43">
              <w:t>,</w:t>
            </w:r>
            <w:r w:rsidR="00F2432E">
              <w:t xml:space="preserve"> match or race they competed in </w:t>
            </w:r>
            <w:r>
              <w:t xml:space="preserve">and correctly links these to post </w:t>
            </w:r>
            <w:r w:rsidR="00864406">
              <w:t>sport</w:t>
            </w:r>
            <w:r w:rsidR="000C5E43">
              <w:t>,</w:t>
            </w:r>
            <w:r w:rsidR="00864406">
              <w:t xml:space="preserve"> event</w:t>
            </w:r>
            <w:r w:rsidR="000C5E43">
              <w:t>,</w:t>
            </w:r>
            <w:r w:rsidR="00864406">
              <w:t xml:space="preserve"> match or race </w:t>
            </w:r>
            <w:r>
              <w:t>recovery</w:t>
            </w:r>
          </w:p>
          <w:p w14:paraId="2E84F6BC" w14:textId="5F78AE14" w:rsidR="000F2D7E" w:rsidRPr="0064309E" w:rsidRDefault="000F2D7E" w:rsidP="0064309E">
            <w:pPr>
              <w:pStyle w:val="ListBullet"/>
              <w:cnfStyle w:val="000000010000" w:firstRow="0" w:lastRow="0" w:firstColumn="0" w:lastColumn="0" w:oddVBand="0" w:evenVBand="0" w:oddHBand="0" w:evenHBand="1" w:firstRowFirstColumn="0" w:firstRowLastColumn="0" w:lastRowFirstColumn="0" w:lastRowLastColumn="0"/>
            </w:pPr>
            <w:r w:rsidRPr="0064309E">
              <w:t>Communicates with the athlete in a clear and logical manner</w:t>
            </w:r>
          </w:p>
          <w:p w14:paraId="5B642A75" w14:textId="6046BD8D" w:rsidR="001D7496" w:rsidRPr="0064309E" w:rsidRDefault="000F2D7E" w:rsidP="0064309E">
            <w:pPr>
              <w:pStyle w:val="ListBullet"/>
              <w:cnfStyle w:val="000000010000" w:firstRow="0" w:lastRow="0" w:firstColumn="0" w:lastColumn="0" w:oddVBand="0" w:evenVBand="0" w:oddHBand="0" w:evenHBand="1" w:firstRowFirstColumn="0" w:firstRowLastColumn="0" w:lastRowFirstColumn="0" w:lastRowLastColumn="0"/>
            </w:pPr>
            <w:r>
              <w:t xml:space="preserve">Supports the response with examples that relate to the </w:t>
            </w:r>
            <w:r w:rsidR="00F2432E">
              <w:t>sport</w:t>
            </w:r>
            <w:r w:rsidR="00E07FA8">
              <w:t>,</w:t>
            </w:r>
            <w:r w:rsidR="00F2432E">
              <w:t xml:space="preserve"> event</w:t>
            </w:r>
            <w:r w:rsidR="00E07FA8">
              <w:t>,</w:t>
            </w:r>
            <w:r w:rsidR="00F2432E">
              <w:t xml:space="preserve"> match or race they </w:t>
            </w:r>
            <w:r w:rsidR="00F2432E" w:rsidRPr="008A70BC">
              <w:t xml:space="preserve">competed in </w:t>
            </w:r>
            <w:r w:rsidRPr="008A70BC">
              <w:t xml:space="preserve">and/or </w:t>
            </w:r>
            <w:r w:rsidR="00864406" w:rsidRPr="008A70BC">
              <w:t>the</w:t>
            </w:r>
            <w:r w:rsidR="00864406">
              <w:t xml:space="preserve"> </w:t>
            </w:r>
            <w:r>
              <w:t>position chosen</w:t>
            </w:r>
          </w:p>
        </w:tc>
      </w:tr>
      <w:tr w:rsidR="001D7496" w14:paraId="1E234334" w14:textId="77777777" w:rsidTr="1B765945">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tcPr>
          <w:p w14:paraId="0519B5D5" w14:textId="6027C69A" w:rsidR="001D7496" w:rsidRPr="0064309E" w:rsidRDefault="009A0A7A" w:rsidP="0064309E">
            <w:r w:rsidRPr="0064309E">
              <w:lastRenderedPageBreak/>
              <w:t>6-5</w:t>
            </w:r>
          </w:p>
        </w:tc>
        <w:tc>
          <w:tcPr>
            <w:tcW w:w="4561" w:type="pct"/>
          </w:tcPr>
          <w:p w14:paraId="3AC22E43" w14:textId="138E30A3" w:rsidR="000F2D7E" w:rsidRPr="0064309E" w:rsidRDefault="000F2D7E" w:rsidP="0064309E">
            <w:pPr>
              <w:pStyle w:val="ListBullet"/>
              <w:cnfStyle w:val="000000100000" w:firstRow="0" w:lastRow="0" w:firstColumn="0" w:lastColumn="0" w:oddVBand="0" w:evenVBand="0" w:oddHBand="1" w:evenHBand="0" w:firstRowFirstColumn="0" w:firstRowLastColumn="0" w:lastRowFirstColumn="0" w:lastRowLastColumn="0"/>
            </w:pPr>
            <w:r w:rsidRPr="0064309E">
              <w:t>Demonstrates a sound understanding of the interplay between the ATP-PCr, Glycolytic (Lactic Acid) and Aerobic energy systems</w:t>
            </w:r>
          </w:p>
          <w:p w14:paraId="4675898B" w14:textId="03474D3B" w:rsidR="000F2D7E" w:rsidRPr="0064309E" w:rsidRDefault="000F2D7E" w:rsidP="0064309E">
            <w:pPr>
              <w:pStyle w:val="ListBullet"/>
              <w:cnfStyle w:val="000000100000" w:firstRow="0" w:lastRow="0" w:firstColumn="0" w:lastColumn="0" w:oddVBand="0" w:evenVBand="0" w:oddHBand="1" w:evenHBand="0" w:firstRowFirstColumn="0" w:firstRowLastColumn="0" w:lastRowFirstColumn="0" w:lastRowLastColumn="0"/>
            </w:pPr>
            <w:r>
              <w:t xml:space="preserve">Makes evident some relationships between the energy systems, the athlete </w:t>
            </w:r>
            <w:r w:rsidRPr="008A70BC">
              <w:t>and/or</w:t>
            </w:r>
            <w:r>
              <w:t xml:space="preserve"> participation and performance in the final stages of the </w:t>
            </w:r>
            <w:r w:rsidR="00864406">
              <w:t>sport</w:t>
            </w:r>
            <w:r w:rsidR="00A84C52">
              <w:t>,</w:t>
            </w:r>
            <w:r w:rsidR="00864406">
              <w:t xml:space="preserve"> event</w:t>
            </w:r>
            <w:r w:rsidR="00A84C52">
              <w:t>,</w:t>
            </w:r>
            <w:r w:rsidR="00864406">
              <w:t xml:space="preserve"> match or race they competed in</w:t>
            </w:r>
          </w:p>
          <w:p w14:paraId="262A8518" w14:textId="17B97B60" w:rsidR="000F2D7E" w:rsidRPr="0064309E" w:rsidRDefault="000F2D7E" w:rsidP="0064309E">
            <w:pPr>
              <w:pStyle w:val="ListBullet"/>
              <w:cnfStyle w:val="000000100000" w:firstRow="0" w:lastRow="0" w:firstColumn="0" w:lastColumn="0" w:oddVBand="0" w:evenVBand="0" w:oddHBand="1" w:evenHBand="0" w:firstRowFirstColumn="0" w:firstRowLastColumn="0" w:lastRowFirstColumn="0" w:lastRowLastColumn="0"/>
            </w:pPr>
            <w:r w:rsidRPr="0064309E">
              <w:t xml:space="preserve">Provides some relevant </w:t>
            </w:r>
            <w:r w:rsidR="009A0A7A" w:rsidRPr="0064309E">
              <w:t>examples</w:t>
            </w:r>
          </w:p>
          <w:p w14:paraId="46614F12" w14:textId="2F4041F9" w:rsidR="001D7496" w:rsidRPr="000F2D7E" w:rsidRDefault="000F2D7E" w:rsidP="0064309E">
            <w:pPr>
              <w:pStyle w:val="ListBullet"/>
              <w:cnfStyle w:val="000000100000" w:firstRow="0" w:lastRow="0" w:firstColumn="0" w:lastColumn="0" w:oddVBand="0" w:evenVBand="0" w:oddHBand="1" w:evenHBand="0" w:firstRowFirstColumn="0" w:firstRowLastColumn="0" w:lastRowFirstColumn="0" w:lastRowLastColumn="0"/>
              <w:rPr>
                <w:b/>
                <w:bCs/>
                <w:lang w:eastAsia="zh-CN"/>
              </w:rPr>
            </w:pPr>
            <w:r>
              <w:t>Attempts to give reasoning</w:t>
            </w:r>
            <w:r w:rsidR="009A0A7A">
              <w:t xml:space="preserve"> or vague reasoning </w:t>
            </w:r>
            <w:r>
              <w:t xml:space="preserve">on why the athlete was fatigued in the final stages of the </w:t>
            </w:r>
            <w:r w:rsidR="00864406">
              <w:t>sport</w:t>
            </w:r>
            <w:r w:rsidR="00A84C52">
              <w:t>,</w:t>
            </w:r>
            <w:r w:rsidR="00864406">
              <w:t xml:space="preserve"> event</w:t>
            </w:r>
            <w:r w:rsidR="00A84C52">
              <w:t>,</w:t>
            </w:r>
            <w:r w:rsidR="00864406">
              <w:t xml:space="preserve"> match or race they competed in </w:t>
            </w:r>
            <w:r>
              <w:t>making some links to the interrelationship between energy systems</w:t>
            </w:r>
          </w:p>
        </w:tc>
      </w:tr>
      <w:tr w:rsidR="001D7496" w14:paraId="67883AD5" w14:textId="77777777" w:rsidTr="1B765945">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39" w:type="pct"/>
          </w:tcPr>
          <w:p w14:paraId="49D5D750" w14:textId="36CECEE5" w:rsidR="001D7496" w:rsidRPr="0064309E" w:rsidRDefault="009A0A7A" w:rsidP="0064309E">
            <w:r w:rsidRPr="0064309E">
              <w:t>4-3</w:t>
            </w:r>
          </w:p>
        </w:tc>
        <w:tc>
          <w:tcPr>
            <w:tcW w:w="4561" w:type="pct"/>
          </w:tcPr>
          <w:p w14:paraId="53FCDDB8" w14:textId="1EEC276C" w:rsidR="000F2D7E" w:rsidRPr="0064309E" w:rsidRDefault="000F2D7E" w:rsidP="0064309E">
            <w:pPr>
              <w:pStyle w:val="ListBullet"/>
              <w:cnfStyle w:val="000000010000" w:firstRow="0" w:lastRow="0" w:firstColumn="0" w:lastColumn="0" w:oddVBand="0" w:evenVBand="0" w:oddHBand="0" w:evenHBand="1" w:firstRowFirstColumn="0" w:firstRowLastColumn="0" w:lastRowFirstColumn="0" w:lastRowLastColumn="0"/>
            </w:pPr>
            <w:r>
              <w:t>Provides characteristics and features of the use of energy system</w:t>
            </w:r>
            <w:r w:rsidR="00A84C52">
              <w:t>(</w:t>
            </w:r>
            <w:r>
              <w:t>s</w:t>
            </w:r>
            <w:r w:rsidR="00A84C52">
              <w:t>)</w:t>
            </w:r>
            <w:r>
              <w:t xml:space="preserve"> in the practical activity</w:t>
            </w:r>
          </w:p>
          <w:p w14:paraId="53D70BF1" w14:textId="616D134B" w:rsidR="00396E97" w:rsidRPr="0064309E" w:rsidRDefault="00396E97" w:rsidP="0064309E">
            <w:pPr>
              <w:pStyle w:val="ListBullet"/>
              <w:cnfStyle w:val="000000010000" w:firstRow="0" w:lastRow="0" w:firstColumn="0" w:lastColumn="0" w:oddVBand="0" w:evenVBand="0" w:oddHBand="0" w:evenHBand="1" w:firstRowFirstColumn="0" w:firstRowLastColumn="0" w:lastRowFirstColumn="0" w:lastRowLastColumn="0"/>
            </w:pPr>
            <w:r>
              <w:t xml:space="preserve">Attempts to show the relationships between the energy </w:t>
            </w:r>
            <w:r w:rsidRPr="008A70BC">
              <w:t>systems and/or the</w:t>
            </w:r>
            <w:r>
              <w:t xml:space="preserve"> athlete </w:t>
            </w:r>
            <w:r w:rsidRPr="008A70BC">
              <w:t>and/or</w:t>
            </w:r>
            <w:r>
              <w:t xml:space="preserve"> participation and performance in the final stages of the </w:t>
            </w:r>
            <w:r w:rsidR="00864406">
              <w:t>sport</w:t>
            </w:r>
            <w:r w:rsidR="00A84C52">
              <w:t>,</w:t>
            </w:r>
            <w:r w:rsidR="00864406">
              <w:t xml:space="preserve"> event</w:t>
            </w:r>
            <w:r w:rsidR="00A84C52">
              <w:t>,</w:t>
            </w:r>
            <w:r w:rsidR="00864406">
              <w:t xml:space="preserve"> match or race they competed in</w:t>
            </w:r>
          </w:p>
          <w:p w14:paraId="2BB20576" w14:textId="0200E1F7" w:rsidR="001D7496" w:rsidRPr="000F2D7E" w:rsidRDefault="000F2D7E" w:rsidP="0064309E">
            <w:pPr>
              <w:pStyle w:val="ListBulle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b/>
                <w:bCs/>
                <w:lang w:eastAsia="zh-CN"/>
              </w:rPr>
            </w:pPr>
            <w:r w:rsidRPr="0064309E">
              <w:t>Provides some examples</w:t>
            </w:r>
          </w:p>
        </w:tc>
      </w:tr>
      <w:tr w:rsidR="001D7496" w14:paraId="7F4A50AB" w14:textId="77777777" w:rsidTr="1B765945">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tcPr>
          <w:p w14:paraId="7045FBB5" w14:textId="5777218C" w:rsidR="001D7496" w:rsidRPr="0064309E" w:rsidRDefault="009A0A7A" w:rsidP="0064309E">
            <w:r w:rsidRPr="0064309E">
              <w:t>2-1</w:t>
            </w:r>
          </w:p>
        </w:tc>
        <w:tc>
          <w:tcPr>
            <w:tcW w:w="4561" w:type="pct"/>
          </w:tcPr>
          <w:p w14:paraId="34B2EA31" w14:textId="2F1F5D09" w:rsidR="000F2D7E" w:rsidRPr="0064309E" w:rsidRDefault="000F2D7E" w:rsidP="0064309E">
            <w:pPr>
              <w:pStyle w:val="ListBullet"/>
              <w:cnfStyle w:val="000000100000" w:firstRow="0" w:lastRow="0" w:firstColumn="0" w:lastColumn="0" w:oddVBand="0" w:evenVBand="0" w:oddHBand="1" w:evenHBand="0" w:firstRowFirstColumn="0" w:firstRowLastColumn="0" w:lastRowFirstColumn="0" w:lastRowLastColumn="0"/>
            </w:pPr>
            <w:r w:rsidRPr="0064309E">
              <w:t>Sketches energy systems in general terms</w:t>
            </w:r>
          </w:p>
          <w:p w14:paraId="47D63209" w14:textId="1E1A792D" w:rsidR="001D7496" w:rsidRDefault="000F2D7E" w:rsidP="0064309E">
            <w:pPr>
              <w:pStyle w:val="ListBullet"/>
              <w:cnfStyle w:val="000000100000" w:firstRow="0" w:lastRow="0" w:firstColumn="0" w:lastColumn="0" w:oddVBand="0" w:evenVBand="0" w:oddHBand="1" w:evenHBand="0" w:firstRowFirstColumn="0" w:firstRowLastColumn="0" w:lastRowFirstColumn="0" w:lastRowLastColumn="0"/>
            </w:pPr>
            <w:r w:rsidRPr="0064309E">
              <w:t>Provides an example</w:t>
            </w:r>
            <w:r w:rsidR="00A84C52">
              <w:t>(</w:t>
            </w:r>
            <w:r w:rsidRPr="0064309E">
              <w:t>s</w:t>
            </w:r>
            <w:r w:rsidR="00A84C52">
              <w:t>)</w:t>
            </w:r>
            <w:r w:rsidRPr="0064309E">
              <w:t xml:space="preserve"> of energy systems</w:t>
            </w:r>
          </w:p>
        </w:tc>
      </w:tr>
    </w:tbl>
    <w:p w14:paraId="1D4EC666" w14:textId="77777777" w:rsidR="005C327E" w:rsidRDefault="00A8296F" w:rsidP="005C327E">
      <w:pPr>
        <w:pStyle w:val="Heading2"/>
      </w:pPr>
      <w:r>
        <w:br w:type="page"/>
      </w:r>
      <w:bookmarkStart w:id="3" w:name="_Toc121826139"/>
      <w:r w:rsidR="005C327E">
        <w:lastRenderedPageBreak/>
        <w:t>Support and alignment</w:t>
      </w:r>
      <w:bookmarkEnd w:id="3"/>
    </w:p>
    <w:p w14:paraId="661341C1" w14:textId="77777777" w:rsidR="00E7578A" w:rsidRDefault="00E7578A" w:rsidP="00E7578A">
      <w:r w:rsidRPr="003C0DFB">
        <w:rPr>
          <w:rStyle w:val="Strong"/>
        </w:rPr>
        <w:t>Resource evaluation and support</w:t>
      </w:r>
      <w:r>
        <w:t xml:space="preserve">: all curriculum resources are prepared through a rigorous process. Resources are periodically reviewed as part of our ongoing evaluation plan to ensure currency, relevance and effectiveness. For additional support or advice contact the PDHPE curriculum team by emailing </w:t>
      </w:r>
      <w:hyperlink r:id="rId9" w:history="1">
        <w:r w:rsidRPr="00AA5431">
          <w:rPr>
            <w:rStyle w:val="Hyperlink"/>
          </w:rPr>
          <w:t>PDHPEcurriculum@det.nsw.edu.au</w:t>
        </w:r>
      </w:hyperlink>
      <w:r>
        <w:t>.</w:t>
      </w:r>
    </w:p>
    <w:p w14:paraId="01C3A92F" w14:textId="39EA3B6F" w:rsidR="005C327E" w:rsidRDefault="005C327E" w:rsidP="005C327E">
      <w:r w:rsidRPr="6667E0D0">
        <w:rPr>
          <w:rFonts w:eastAsia="Arial"/>
          <w:b/>
          <w:bCs/>
        </w:rPr>
        <w:t>Alignment to system priorities and/or needs</w:t>
      </w:r>
      <w:r w:rsidRPr="006C6AB0">
        <w:rPr>
          <w:rFonts w:eastAsia="Arial"/>
          <w:b/>
        </w:rPr>
        <w:t>:</w:t>
      </w:r>
      <w:r w:rsidRPr="6667E0D0">
        <w:rPr>
          <w:rFonts w:eastAsia="Arial"/>
        </w:rPr>
        <w:t xml:space="preserve"> </w:t>
      </w:r>
      <w:hyperlink r:id="rId10">
        <w:r w:rsidR="00FC4301" w:rsidRPr="6193C067">
          <w:rPr>
            <w:rStyle w:val="Hyperlink"/>
          </w:rPr>
          <w:t>School Excellence Policy</w:t>
        </w:r>
      </w:hyperlink>
      <w:r w:rsidR="00FC4301" w:rsidRPr="6193C067">
        <w:rPr>
          <w:rFonts w:eastAsia="Arial"/>
        </w:rPr>
        <w:t xml:space="preserve">, </w:t>
      </w:r>
      <w:hyperlink r:id="rId11">
        <w:r w:rsidR="00FC4301" w:rsidRPr="6193C067">
          <w:rPr>
            <w:rStyle w:val="Hyperlink"/>
          </w:rPr>
          <w:t>School Success Model</w:t>
        </w:r>
      </w:hyperlink>
    </w:p>
    <w:p w14:paraId="4A3E27BF" w14:textId="08F8A4E8" w:rsidR="005C327E" w:rsidRDefault="005C327E" w:rsidP="005C327E">
      <w:r w:rsidRPr="00A8296F">
        <w:rPr>
          <w:b/>
          <w:bCs/>
        </w:rPr>
        <w:t>Alignment to the School Excellence Framework</w:t>
      </w:r>
      <w:r>
        <w:t xml:space="preserve">: </w:t>
      </w:r>
      <w:r w:rsidR="0012676A">
        <w:t xml:space="preserve">this resource supports the </w:t>
      </w:r>
      <w:hyperlink r:id="rId12" w:anchor=":~:text=SPaRO%20platform.-,School%20Excellence%20Framework,-The%20school%20planning" w:history="1">
        <w:r w:rsidR="0012676A" w:rsidRPr="003A7280">
          <w:rPr>
            <w:rStyle w:val="Hyperlink"/>
          </w:rPr>
          <w:t>School Excellence Framework</w:t>
        </w:r>
      </w:hyperlink>
      <w:r w:rsidR="0012676A">
        <w:t xml:space="preserve"> element of assessment (formative assessment, summative assessment, student engagement).</w:t>
      </w:r>
    </w:p>
    <w:p w14:paraId="4D87A2A7" w14:textId="25DE4F4E" w:rsidR="005C327E" w:rsidRDefault="005C327E" w:rsidP="005C327E">
      <w:r w:rsidRPr="00A8296F">
        <w:rPr>
          <w:b/>
          <w:bCs/>
        </w:rPr>
        <w:t>Alignment to Australian Professional Teaching Standards</w:t>
      </w:r>
      <w:r>
        <w:t xml:space="preserve">: </w:t>
      </w:r>
      <w:r w:rsidR="0053613A">
        <w:t xml:space="preserve">this resource supports teachers to address </w:t>
      </w:r>
      <w:hyperlink r:id="rId13" w:history="1">
        <w:r w:rsidR="0053613A" w:rsidRPr="00A8296F">
          <w:rPr>
            <w:rStyle w:val="Hyperlink"/>
          </w:rPr>
          <w:t>Australian Professional Teaching Standards</w:t>
        </w:r>
      </w:hyperlink>
      <w:r w:rsidR="0053613A">
        <w:t xml:space="preserve"> 5.1.2, 5.4.2.</w:t>
      </w:r>
    </w:p>
    <w:p w14:paraId="6777D075" w14:textId="77777777" w:rsidR="005C327E" w:rsidRDefault="005C327E" w:rsidP="005C327E">
      <w:r w:rsidRPr="00A8296F">
        <w:rPr>
          <w:b/>
          <w:bCs/>
        </w:rPr>
        <w:t>Consulted with</w:t>
      </w:r>
      <w:r>
        <w:t>: PDHPE Community of Learners</w:t>
      </w:r>
    </w:p>
    <w:p w14:paraId="7A851901" w14:textId="784ADF1E" w:rsidR="005C327E" w:rsidRDefault="005C327E" w:rsidP="005C327E">
      <w:pPr>
        <w:rPr>
          <w:rFonts w:eastAsia="Arial"/>
        </w:rPr>
      </w:pPr>
      <w:r w:rsidRPr="00A8296F">
        <w:rPr>
          <w:b/>
          <w:bCs/>
        </w:rPr>
        <w:t>NSW Syllabus</w:t>
      </w:r>
      <w:r>
        <w:t xml:space="preserve">: </w:t>
      </w:r>
      <w:hyperlink r:id="rId14">
        <w:r w:rsidRPr="005715F9">
          <w:rPr>
            <w:rStyle w:val="Hyperlink"/>
            <w:rFonts w:eastAsia="Arial"/>
          </w:rPr>
          <w:t>Health and Movement Science 11–12 Syllabus</w:t>
        </w:r>
      </w:hyperlink>
    </w:p>
    <w:p w14:paraId="5F1D28E8" w14:textId="20CBE9EB" w:rsidR="005C327E" w:rsidRPr="006A0837" w:rsidRDefault="005C327E" w:rsidP="005C327E">
      <w:pPr>
        <w:rPr>
          <w:color w:val="000000"/>
          <w:shd w:val="clear" w:color="auto" w:fill="FFFFFF"/>
        </w:rPr>
      </w:pPr>
      <w:r w:rsidRPr="00A8296F">
        <w:rPr>
          <w:b/>
          <w:bCs/>
        </w:rPr>
        <w:t>Syllabus outcomes</w:t>
      </w:r>
      <w:r>
        <w:t xml:space="preserve">: </w:t>
      </w:r>
      <w:r w:rsidRPr="005A564B">
        <w:rPr>
          <w:color w:val="000000"/>
          <w:shd w:val="clear" w:color="auto" w:fill="FFFFFF"/>
        </w:rPr>
        <w:t>HM</w:t>
      </w:r>
      <w:r>
        <w:rPr>
          <w:color w:val="000000"/>
          <w:shd w:val="clear" w:color="auto" w:fill="FFFFFF"/>
        </w:rPr>
        <w:t>-</w:t>
      </w:r>
      <w:r w:rsidRPr="005A564B">
        <w:rPr>
          <w:color w:val="000000"/>
          <w:shd w:val="clear" w:color="auto" w:fill="FFFFFF"/>
        </w:rPr>
        <w:t>11-</w:t>
      </w:r>
      <w:r>
        <w:rPr>
          <w:color w:val="000000"/>
          <w:shd w:val="clear" w:color="auto" w:fill="FFFFFF"/>
        </w:rPr>
        <w:t>0</w:t>
      </w:r>
      <w:r w:rsidR="001674D7">
        <w:rPr>
          <w:color w:val="000000"/>
          <w:shd w:val="clear" w:color="auto" w:fill="FFFFFF"/>
        </w:rPr>
        <w:t>3</w:t>
      </w:r>
      <w:r>
        <w:rPr>
          <w:color w:val="000000"/>
          <w:shd w:val="clear" w:color="auto" w:fill="FFFFFF"/>
        </w:rPr>
        <w:t>, HM-11-0</w:t>
      </w:r>
      <w:r w:rsidR="001674D7">
        <w:rPr>
          <w:color w:val="000000"/>
          <w:shd w:val="clear" w:color="auto" w:fill="FFFFFF"/>
        </w:rPr>
        <w:t>6</w:t>
      </w:r>
      <w:r>
        <w:rPr>
          <w:color w:val="000000"/>
          <w:shd w:val="clear" w:color="auto" w:fill="FFFFFF"/>
        </w:rPr>
        <w:t xml:space="preserve">, </w:t>
      </w:r>
      <w:r w:rsidR="001674D7">
        <w:rPr>
          <w:color w:val="000000"/>
          <w:shd w:val="clear" w:color="auto" w:fill="FFFFFF"/>
        </w:rPr>
        <w:t xml:space="preserve">HM-11-07, </w:t>
      </w:r>
      <w:r>
        <w:rPr>
          <w:color w:val="000000"/>
          <w:shd w:val="clear" w:color="auto" w:fill="FFFFFF"/>
        </w:rPr>
        <w:t>HM-11-09</w:t>
      </w:r>
    </w:p>
    <w:p w14:paraId="7CB73BB2" w14:textId="77777777" w:rsidR="005C327E" w:rsidRDefault="005C327E" w:rsidP="005C327E">
      <w:r w:rsidRPr="00A8296F">
        <w:rPr>
          <w:b/>
          <w:bCs/>
        </w:rPr>
        <w:t>Author</w:t>
      </w:r>
      <w:r>
        <w:t>: PDHPE Curriculum Team</w:t>
      </w:r>
    </w:p>
    <w:p w14:paraId="1C7A1FB1" w14:textId="77777777" w:rsidR="005C327E" w:rsidRDefault="005C327E" w:rsidP="005C327E">
      <w:r w:rsidRPr="00A8296F">
        <w:rPr>
          <w:b/>
          <w:bCs/>
        </w:rPr>
        <w:t>Publisher</w:t>
      </w:r>
      <w:r>
        <w:t>: State of NSW, Department of Education</w:t>
      </w:r>
    </w:p>
    <w:p w14:paraId="141E7EE1" w14:textId="77777777" w:rsidR="005C327E" w:rsidRDefault="005C327E" w:rsidP="005C327E">
      <w:r w:rsidRPr="00A8296F">
        <w:rPr>
          <w:b/>
          <w:bCs/>
        </w:rPr>
        <w:t>Resource</w:t>
      </w:r>
      <w:r>
        <w:t>: Assessment task notification</w:t>
      </w:r>
    </w:p>
    <w:p w14:paraId="70F62C57" w14:textId="78554FCA" w:rsidR="005C327E" w:rsidRDefault="005C327E" w:rsidP="005C327E">
      <w:r w:rsidRPr="00A8296F">
        <w:rPr>
          <w:b/>
          <w:bCs/>
        </w:rPr>
        <w:t>Related resources</w:t>
      </w:r>
      <w:r>
        <w:t xml:space="preserve">: </w:t>
      </w:r>
      <w:bookmarkStart w:id="4" w:name="_Hlk112245591"/>
      <w:r w:rsidR="00B25C75" w:rsidRPr="6193C067">
        <w:rPr>
          <w:rFonts w:eastAsia="Calibri" w:cs="Times New Roman"/>
        </w:rPr>
        <w:t xml:space="preserve">further resources to support Health and movement science Stage 6 can be found on the </w:t>
      </w:r>
      <w:hyperlink r:id="rId15">
        <w:r w:rsidR="00B25C75" w:rsidRPr="6193C067">
          <w:rPr>
            <w:rStyle w:val="Hyperlink"/>
            <w:rFonts w:eastAsia="Calibri" w:cs="Times New Roman"/>
          </w:rPr>
          <w:t>Planning, programming and assessing PDHPE 11-12 curriculum webpage</w:t>
        </w:r>
      </w:hyperlink>
      <w:r w:rsidR="00B25C75" w:rsidRPr="6193C067">
        <w:rPr>
          <w:rFonts w:eastAsia="Calibri" w:cs="Times New Roman"/>
        </w:rPr>
        <w:t xml:space="preserve"> and the </w:t>
      </w:r>
      <w:hyperlink r:id="rId16">
        <w:r w:rsidR="00B25C75" w:rsidRPr="6193C067">
          <w:rPr>
            <w:rStyle w:val="Hyperlink"/>
            <w:rFonts w:eastAsia="Calibri" w:cs="Times New Roman"/>
          </w:rPr>
          <w:t>HSC hub</w:t>
        </w:r>
      </w:hyperlink>
      <w:bookmarkEnd w:id="4"/>
      <w:r w:rsidR="00B25C75" w:rsidRPr="6193C067">
        <w:rPr>
          <w:rFonts w:eastAsia="Calibri" w:cs="Times New Roman"/>
        </w:rPr>
        <w:t>.</w:t>
      </w:r>
    </w:p>
    <w:p w14:paraId="2F10050F" w14:textId="616B86EC" w:rsidR="005C327E" w:rsidRDefault="005C327E" w:rsidP="005C327E">
      <w:r w:rsidRPr="00A8296F">
        <w:rPr>
          <w:b/>
          <w:bCs/>
        </w:rPr>
        <w:t xml:space="preserve">Professional </w:t>
      </w:r>
      <w:r>
        <w:rPr>
          <w:b/>
          <w:bCs/>
        </w:rPr>
        <w:t>learning</w:t>
      </w:r>
      <w:r>
        <w:t xml:space="preserve">: </w:t>
      </w:r>
      <w:r w:rsidR="00281D40">
        <w:t>r</w:t>
      </w:r>
      <w:r>
        <w:t xml:space="preserve">elevant professional learning is available on the </w:t>
      </w:r>
      <w:hyperlink r:id="rId17" w:history="1">
        <w:r>
          <w:rPr>
            <w:rStyle w:val="Hyperlink"/>
          </w:rPr>
          <w:t>PDHPE statewide staffroom.</w:t>
        </w:r>
      </w:hyperlink>
    </w:p>
    <w:p w14:paraId="149EE93E" w14:textId="34EACA89" w:rsidR="005C327E" w:rsidRDefault="005C327E" w:rsidP="005C327E">
      <w:r w:rsidRPr="00A8296F">
        <w:rPr>
          <w:b/>
          <w:bCs/>
        </w:rPr>
        <w:t>Universal Design for Learning</w:t>
      </w:r>
      <w:r>
        <w:t xml:space="preserve">: </w:t>
      </w:r>
      <w:hyperlink r:id="rId18" w:history="1">
        <w:r w:rsidR="00C6564B">
          <w:rPr>
            <w:rStyle w:val="Hyperlink"/>
          </w:rPr>
          <w:t>Curriculum planning for every student in every classroom</w:t>
        </w:r>
      </w:hyperlink>
      <w:r w:rsidR="00C6564B">
        <w:t>. Support the diverse learning needs of students using inclusive teaching and learning strategies.</w:t>
      </w:r>
    </w:p>
    <w:p w14:paraId="2F66AC5E" w14:textId="389F99C0" w:rsidR="005C327E" w:rsidRDefault="005C327E" w:rsidP="005C327E">
      <w:r w:rsidRPr="00A8296F">
        <w:rPr>
          <w:b/>
          <w:bCs/>
        </w:rPr>
        <w:lastRenderedPageBreak/>
        <w:t>Creation date</w:t>
      </w:r>
      <w:r w:rsidRPr="00F77D65">
        <w:t>: 14</w:t>
      </w:r>
      <w:r w:rsidR="00453669">
        <w:t xml:space="preserve"> August </w:t>
      </w:r>
      <w:r w:rsidRPr="00F77D65">
        <w:t>2023</w:t>
      </w:r>
    </w:p>
    <w:p w14:paraId="10EF5882" w14:textId="77777777" w:rsidR="005C327E" w:rsidRDefault="005C327E" w:rsidP="005C327E">
      <w:r w:rsidRPr="00A8296F">
        <w:rPr>
          <w:b/>
          <w:bCs/>
        </w:rPr>
        <w:t>Rights</w:t>
      </w:r>
      <w:r>
        <w:t>: © State of New South Wales, Department of Education.</w:t>
      </w:r>
      <w:r>
        <w:br w:type="page"/>
      </w:r>
    </w:p>
    <w:p w14:paraId="569E7594" w14:textId="77777777" w:rsidR="000667F6" w:rsidRDefault="000667F6" w:rsidP="000667F6">
      <w:pPr>
        <w:pStyle w:val="Heading2"/>
      </w:pPr>
      <w:bookmarkStart w:id="5" w:name="_Toc112681297"/>
      <w:bookmarkStart w:id="6" w:name="_Toc143261465"/>
      <w:r>
        <w:lastRenderedPageBreak/>
        <w:t>References</w:t>
      </w:r>
      <w:bookmarkEnd w:id="5"/>
      <w:bookmarkEnd w:id="6"/>
    </w:p>
    <w:p w14:paraId="30CCCE45" w14:textId="77777777" w:rsidR="00A4585A" w:rsidRDefault="00A4585A" w:rsidP="00A4585A">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C11F66C" w14:textId="77777777" w:rsidR="00A4585A" w:rsidRDefault="00A4585A" w:rsidP="00A4585A">
      <w:pPr>
        <w:pStyle w:val="FeatureBox2"/>
      </w:pPr>
      <w:r>
        <w:t xml:space="preserve">Please refer to the NESA Copyright Disclaimer for more information </w:t>
      </w:r>
      <w:hyperlink r:id="rId19" w:history="1">
        <w:r w:rsidRPr="007769A7">
          <w:rPr>
            <w:rStyle w:val="Hyperlink"/>
          </w:rPr>
          <w:t>https://educationstandards.nsw.edu.au/wps/portal/nesa/mini-footer/copyright</w:t>
        </w:r>
      </w:hyperlink>
      <w:r>
        <w:t>.</w:t>
      </w:r>
    </w:p>
    <w:p w14:paraId="18276068" w14:textId="77777777" w:rsidR="00A4585A" w:rsidRDefault="00A4585A" w:rsidP="00A4585A">
      <w:pPr>
        <w:pStyle w:val="FeatureBox2"/>
      </w:pPr>
      <w:r>
        <w:t xml:space="preserve">NESA holds the only official and up-to-date versions of the NSW Curriculum and syllabus documents. Please visit the NSW Education Standards Authority (NESA) website </w:t>
      </w:r>
      <w:hyperlink r:id="rId20" w:history="1">
        <w:r w:rsidRPr="007769A7">
          <w:rPr>
            <w:rStyle w:val="Hyperlink"/>
          </w:rPr>
          <w:t>https://educationstandards.nsw.edu.au/</w:t>
        </w:r>
      </w:hyperlink>
      <w:r>
        <w:t xml:space="preserve"> and the NSW Curriculum website </w:t>
      </w:r>
      <w:hyperlink r:id="rId21" w:history="1">
        <w:r w:rsidRPr="007769A7">
          <w:rPr>
            <w:rStyle w:val="Hyperlink"/>
          </w:rPr>
          <w:t>https://curriculum.nsw.edu.au/home</w:t>
        </w:r>
      </w:hyperlink>
      <w:r>
        <w:t>.</w:t>
      </w:r>
    </w:p>
    <w:p w14:paraId="39AA4116" w14:textId="77777777" w:rsidR="00A4585A" w:rsidRDefault="00000000" w:rsidP="00A4585A">
      <w:pPr>
        <w:sectPr w:rsidR="00A4585A" w:rsidSect="003C3165">
          <w:headerReference w:type="default" r:id="rId22"/>
          <w:footerReference w:type="even" r:id="rId23"/>
          <w:footerReference w:type="default" r:id="rId24"/>
          <w:headerReference w:type="first" r:id="rId25"/>
          <w:footerReference w:type="first" r:id="rId26"/>
          <w:pgSz w:w="11906" w:h="16838"/>
          <w:pgMar w:top="1134" w:right="1134" w:bottom="1134" w:left="1134" w:header="709" w:footer="709" w:gutter="0"/>
          <w:pgNumType w:start="1"/>
          <w:cols w:space="708"/>
          <w:titlePg/>
          <w:docGrid w:linePitch="360"/>
        </w:sectPr>
      </w:pPr>
      <w:hyperlink r:id="rId27" w:history="1">
        <w:r w:rsidR="00A4585A" w:rsidRPr="002413C3">
          <w:rPr>
            <w:rStyle w:val="Hyperlink"/>
          </w:rPr>
          <w:t>Health and Movement Science 11–12 Syllabus</w:t>
        </w:r>
      </w:hyperlink>
      <w:r w:rsidR="00A4585A">
        <w:rPr>
          <w:rStyle w:val="SubtleReference"/>
          <w:sz w:val="24"/>
        </w:rPr>
        <w:t xml:space="preserve"> </w:t>
      </w:r>
      <w:r w:rsidR="00A4585A" w:rsidRPr="00F037BC">
        <w:t xml:space="preserve">© NSW Education Standards Authority (NESA) for and on behalf of the Crown in right of the State of New South </w:t>
      </w:r>
      <w:r w:rsidR="00A4585A" w:rsidRPr="00CF18D3">
        <w:t>Wales, 2023.</w:t>
      </w:r>
    </w:p>
    <w:p w14:paraId="79A2D522" w14:textId="77777777" w:rsidR="00D93B76" w:rsidRPr="00E21D4B" w:rsidRDefault="00D93B76" w:rsidP="00D93B76">
      <w:pPr>
        <w:spacing w:before="0"/>
        <w:rPr>
          <w:rStyle w:val="Strong"/>
        </w:rPr>
      </w:pPr>
      <w:r w:rsidRPr="00E21D4B">
        <w:rPr>
          <w:rStyle w:val="Strong"/>
        </w:rPr>
        <w:lastRenderedPageBreak/>
        <w:t>© State of New South Wales (Department of Education), 2023</w:t>
      </w:r>
    </w:p>
    <w:p w14:paraId="76D76206" w14:textId="77777777" w:rsidR="00D93B76" w:rsidRDefault="00D93B76" w:rsidP="00D93B76">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3FD876F1" w14:textId="77777777" w:rsidR="00D93B76" w:rsidRDefault="00D93B76" w:rsidP="00D93B76">
      <w:r>
        <w:t xml:space="preserve">Copyright material available in this resource and owned by the NSW Department of Education is licensed under a </w:t>
      </w:r>
      <w:hyperlink r:id="rId28" w:history="1">
        <w:r>
          <w:rPr>
            <w:rStyle w:val="Hyperlink"/>
          </w:rPr>
          <w:t>Creative Commons Attribution 4.0 International (CC BY 4.0) license</w:t>
        </w:r>
      </w:hyperlink>
      <w:r>
        <w:t>.</w:t>
      </w:r>
    </w:p>
    <w:p w14:paraId="6E57D1A4" w14:textId="77777777" w:rsidR="00D93B76" w:rsidRDefault="00D93B76" w:rsidP="00D93B76">
      <w:r>
        <w:rPr>
          <w:noProof/>
        </w:rPr>
        <w:drawing>
          <wp:inline distT="0" distB="0" distL="0" distR="0" wp14:anchorId="46781CF4" wp14:editId="08FB8998">
            <wp:extent cx="1228725" cy="428625"/>
            <wp:effectExtent l="0" t="0" r="9525" b="9525"/>
            <wp:docPr id="32" name="Picture 32" descr="Creative Commons Attribution license log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127578" w14:textId="77777777" w:rsidR="00D93B76" w:rsidRDefault="00D93B76" w:rsidP="00D93B76">
      <w:r>
        <w:t>This license allows you to share and adapt the material for any purpose, even commercially.</w:t>
      </w:r>
    </w:p>
    <w:p w14:paraId="71313DDB" w14:textId="77777777" w:rsidR="00D93B76" w:rsidRDefault="00D93B76" w:rsidP="00D93B76">
      <w:r>
        <w:t>Attribution should be given to © State of New South Wales (Department of Education), 2023.</w:t>
      </w:r>
    </w:p>
    <w:p w14:paraId="091EDC6B" w14:textId="77777777" w:rsidR="00D93B76" w:rsidRDefault="00D93B76" w:rsidP="00D93B76">
      <w:r>
        <w:t>Material in this resource not available under a Creative Commons license:</w:t>
      </w:r>
    </w:p>
    <w:p w14:paraId="7FFAB109" w14:textId="77777777" w:rsidR="00D93B76" w:rsidRDefault="00D93B76" w:rsidP="00D93B76">
      <w:pPr>
        <w:pStyle w:val="ListBullet"/>
        <w:numPr>
          <w:ilvl w:val="0"/>
          <w:numId w:val="3"/>
        </w:numPr>
      </w:pPr>
      <w:r>
        <w:t>the NSW Department of Education logo, other logos and trademark-protected material</w:t>
      </w:r>
    </w:p>
    <w:p w14:paraId="4F66A100" w14:textId="77777777" w:rsidR="00D93B76" w:rsidRDefault="00D93B76" w:rsidP="00D93B76">
      <w:pPr>
        <w:pStyle w:val="ListBullet"/>
        <w:numPr>
          <w:ilvl w:val="0"/>
          <w:numId w:val="3"/>
        </w:numPr>
      </w:pPr>
      <w:r>
        <w:t>material owned by a third party that has been reproduced with permission. You will need to obtain permission from the third party to reuse its material.</w:t>
      </w:r>
    </w:p>
    <w:p w14:paraId="2F3B6B39" w14:textId="77777777" w:rsidR="00D93B76" w:rsidRPr="00002AF1" w:rsidRDefault="00D93B76" w:rsidP="00D93B76">
      <w:pPr>
        <w:pStyle w:val="FeatureBox2"/>
        <w:spacing w:line="300" w:lineRule="auto"/>
        <w:rPr>
          <w:rStyle w:val="Strong"/>
        </w:rPr>
      </w:pPr>
      <w:r w:rsidRPr="00002AF1">
        <w:rPr>
          <w:rStyle w:val="Strong"/>
        </w:rPr>
        <w:t>Links to third-party material and websites</w:t>
      </w:r>
    </w:p>
    <w:p w14:paraId="158D249B" w14:textId="77777777" w:rsidR="00D93B76" w:rsidRDefault="00D93B76" w:rsidP="00D93B76">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21D61BA" w14:textId="542E1791" w:rsidR="00A8296F" w:rsidRDefault="00D93B76" w:rsidP="00D93B76">
      <w:pPr>
        <w:pStyle w:val="FeatureBox2"/>
        <w:spacing w:line="300" w:lineRule="auto"/>
      </w:pPr>
      <w:r>
        <w:t xml:space="preserve">If you use the links provided in this document to access a third-party's website, you acknowledge that the terms of use, including </w:t>
      </w:r>
      <w:r w:rsidRPr="00251530">
        <w:t>licen</w:t>
      </w:r>
      <w:r>
        <w:t>c</w:t>
      </w:r>
      <w:r w:rsidRPr="00251530">
        <w:t>e</w:t>
      </w:r>
      <w:r>
        <w:t xml:space="preserve"> terms set out on the third-party's website apply to the use which may be made of the materials on that third-party website or where permitted by the </w:t>
      </w:r>
      <w:r w:rsidRPr="00C9779E">
        <w:rPr>
          <w:rStyle w:val="Emphasis"/>
        </w:rPr>
        <w:t>Copyright Act 1968</w:t>
      </w:r>
      <w:r>
        <w:t xml:space="preserve"> (Cth). The department accepts no responsibility for content on third-party websites.</w:t>
      </w:r>
    </w:p>
    <w:sectPr w:rsidR="00A8296F" w:rsidSect="000236B9">
      <w:footerReference w:type="even" r:id="rId30"/>
      <w:footerReference w:type="default" r:id="rId31"/>
      <w:headerReference w:type="first" r:id="rId32"/>
      <w:footerReference w:type="first" r:id="rId3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EF68" w14:textId="77777777" w:rsidR="0061544F" w:rsidRDefault="0061544F" w:rsidP="00E51733">
      <w:r>
        <w:separator/>
      </w:r>
    </w:p>
  </w:endnote>
  <w:endnote w:type="continuationSeparator" w:id="0">
    <w:p w14:paraId="4896E0C8" w14:textId="77777777" w:rsidR="0061544F" w:rsidRDefault="0061544F" w:rsidP="00E51733">
      <w:r>
        <w:continuationSeparator/>
      </w:r>
    </w:p>
  </w:endnote>
  <w:endnote w:type="continuationNotice" w:id="1">
    <w:p w14:paraId="59BB00C3" w14:textId="77777777" w:rsidR="0061544F" w:rsidRDefault="006154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A5F" w14:textId="359A8E29" w:rsidR="00A4585A" w:rsidRPr="00E55C54" w:rsidRDefault="00A4585A">
    <w:pPr>
      <w:pStyle w:val="Footer"/>
    </w:pPr>
    <w:r w:rsidRPr="00E55C54">
      <w:t xml:space="preserve">© NSW Department of Education, </w:t>
    </w:r>
    <w:r w:rsidRPr="00E55C54">
      <w:fldChar w:fldCharType="begin"/>
    </w:r>
    <w:r w:rsidRPr="00E55C54">
      <w:instrText xml:space="preserve"> DATE  \@ "MMM-yy"  \* MERGEFORMAT </w:instrText>
    </w:r>
    <w:r w:rsidRPr="00E55C54">
      <w:fldChar w:fldCharType="separate"/>
    </w:r>
    <w:r w:rsidR="00CC1926">
      <w:rPr>
        <w:noProof/>
      </w:rPr>
      <w:t>Sep-23</w:t>
    </w:r>
    <w:r w:rsidRPr="00E55C54">
      <w:fldChar w:fldCharType="end"/>
    </w:r>
    <w:r w:rsidRPr="00E55C54">
      <w:ptab w:relativeTo="margin" w:alignment="right" w:leader="none"/>
    </w:r>
    <w:r w:rsidRPr="00E55C54">
      <w:fldChar w:fldCharType="begin"/>
    </w:r>
    <w:r w:rsidRPr="00E55C54">
      <w:instrText xml:space="preserve"> PAGE  \* Arabic  \* MERGEFORMAT </w:instrText>
    </w:r>
    <w:r w:rsidRPr="00E55C54">
      <w:fldChar w:fldCharType="separate"/>
    </w:r>
    <w:r w:rsidRPr="00E55C54">
      <w:t>2</w:t>
    </w:r>
    <w:r w:rsidRPr="00E55C54">
      <w:fldChar w:fldCharType="end"/>
    </w:r>
    <w:r w:rsidRPr="00E55C5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BB5A" w14:textId="44738C54" w:rsidR="00A4585A" w:rsidRPr="00D2403C" w:rsidRDefault="00A4585A">
    <w:pPr>
      <w:pStyle w:val="Footer"/>
    </w:pPr>
    <w:r>
      <w:t xml:space="preserve">© NSW Department of Education, </w:t>
    </w:r>
    <w:r>
      <w:fldChar w:fldCharType="begin"/>
    </w:r>
    <w:r>
      <w:instrText xml:space="preserve"> DATE  \@ "MMM-yy"  \* MERGEFORMAT </w:instrText>
    </w:r>
    <w:r>
      <w:fldChar w:fldCharType="separate"/>
    </w:r>
    <w:r w:rsidR="00CC1926">
      <w:rPr>
        <w:noProof/>
      </w:rPr>
      <w:t>Sep-23</w:t>
    </w:r>
    <w:r>
      <w:fldChar w:fldCharType="end"/>
    </w:r>
    <w:r>
      <w:ptab w:relativeTo="margin" w:alignment="right" w:leader="none"/>
    </w:r>
    <w:r>
      <w:rPr>
        <w:b/>
        <w:noProof/>
        <w:sz w:val="28"/>
        <w:szCs w:val="28"/>
      </w:rPr>
      <w:drawing>
        <wp:inline distT="0" distB="0" distL="0" distR="0" wp14:anchorId="349A3A5B" wp14:editId="1BBD7520">
          <wp:extent cx="571500" cy="190500"/>
          <wp:effectExtent l="0" t="0" r="0" b="0"/>
          <wp:docPr id="5" name="Picture 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F2D8" w14:textId="77777777" w:rsidR="00A4585A" w:rsidRPr="009B05C3" w:rsidRDefault="00A4585A">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4E430BB7" wp14:editId="7D254311">
          <wp:extent cx="507600" cy="540000"/>
          <wp:effectExtent l="0" t="0" r="635" b="6350"/>
          <wp:docPr id="7" name="Picture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8DA6" w14:textId="5569B010"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CC1926">
      <w:rPr>
        <w:noProof/>
      </w:rPr>
      <w:t>Sep-23</w:t>
    </w:r>
    <w:r w:rsidRPr="00E56264">
      <w:fldChar w:fldCharType="end"/>
    </w:r>
    <w:r w:rsidRPr="00E56264">
      <w:ptab w:relativeTo="margin" w:alignment="right" w:leader="none"/>
    </w:r>
    <w:r w:rsidR="006A5BEB">
      <w:rPr>
        <w:b/>
        <w:noProof/>
        <w:sz w:val="28"/>
        <w:szCs w:val="28"/>
      </w:rPr>
      <w:drawing>
        <wp:inline distT="0" distB="0" distL="0" distR="0" wp14:anchorId="3A2ED6AF" wp14:editId="31EECDBE">
          <wp:extent cx="571500" cy="190500"/>
          <wp:effectExtent l="0" t="0" r="0" b="0"/>
          <wp:docPr id="10" name="Picture 10"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006A5BEB">
      <w:t xml:space="preserve">  </w:t>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FE4B" w14:textId="7E13075F" w:rsidR="00F66145" w:rsidRDefault="00677835" w:rsidP="00B53FCE">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00E77074">
      <w:t xml:space="preserve">Health and Movement Science, </w:t>
    </w:r>
    <w:r w:rsidR="001D7496" w:rsidRPr="001D7496">
      <w:t>Year</w:t>
    </w:r>
    <w:r w:rsidR="00E77074">
      <w:t xml:space="preserve"> 11</w:t>
    </w:r>
    <w:r w:rsidR="008C4E7E">
      <w:t>:</w:t>
    </w:r>
    <w:r w:rsidR="001D7496" w:rsidRPr="001D7496">
      <w:t xml:space="preserve"> Sample assessment task notification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FD0D" w14:textId="177D8E9D" w:rsidR="00EF7042" w:rsidRPr="009B05C3" w:rsidRDefault="00EF7042" w:rsidP="003C3165">
    <w:pPr>
      <w:pStyle w:val="Log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EDE2" w14:textId="77777777" w:rsidR="0061544F" w:rsidRDefault="0061544F" w:rsidP="00E51733">
      <w:r>
        <w:separator/>
      </w:r>
    </w:p>
  </w:footnote>
  <w:footnote w:type="continuationSeparator" w:id="0">
    <w:p w14:paraId="1884C391" w14:textId="77777777" w:rsidR="0061544F" w:rsidRDefault="0061544F" w:rsidP="00E51733">
      <w:r>
        <w:continuationSeparator/>
      </w:r>
    </w:p>
  </w:footnote>
  <w:footnote w:type="continuationNotice" w:id="1">
    <w:p w14:paraId="551C8F54" w14:textId="77777777" w:rsidR="0061544F" w:rsidRDefault="006154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B186" w14:textId="41AFD4A1" w:rsidR="00A4585A" w:rsidRDefault="00A4585A">
    <w:pPr>
      <w:pStyle w:val="Documentname"/>
    </w:pPr>
    <w:r w:rsidRPr="002265C7">
      <w:t xml:space="preserve">Health and movement science Stage 6 (Year 11) </w:t>
    </w:r>
    <w:r>
      <w:t xml:space="preserve">– </w:t>
    </w:r>
    <w:r w:rsidRPr="002265C7">
      <w:t xml:space="preserve">Core </w:t>
    </w:r>
    <w:r w:rsidR="003C3165">
      <w:t>2</w:t>
    </w:r>
    <w:r w:rsidRPr="002265C7">
      <w:t xml:space="preserve"> – sample assessment task notification</w:t>
    </w:r>
    <w:r>
      <w:t xml:space="preserve"> </w:t>
    </w:r>
    <w:r w:rsidRPr="00D2403C">
      <w:t xml:space="preserve">| </w:t>
    </w:r>
    <w:r>
      <w:fldChar w:fldCharType="begin"/>
    </w:r>
    <w: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BB72" w14:textId="77777777" w:rsidR="00A4585A" w:rsidRPr="00B20058" w:rsidRDefault="00A4585A">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FC73" w14:textId="117CED52" w:rsidR="00EF7042" w:rsidRPr="00F14D7F" w:rsidRDefault="00EF7042" w:rsidP="003C316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576F6D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C54A8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EA28AE"/>
    <w:multiLevelType w:val="hybridMultilevel"/>
    <w:tmpl w:val="FFFFFFFF"/>
    <w:lvl w:ilvl="0" w:tplc="912E3EDA">
      <w:start w:val="1"/>
      <w:numFmt w:val="bullet"/>
      <w:lvlText w:val="o"/>
      <w:lvlJc w:val="left"/>
      <w:pPr>
        <w:ind w:left="720" w:hanging="360"/>
      </w:pPr>
      <w:rPr>
        <w:rFonts w:ascii="Courier New" w:hAnsi="Courier New" w:hint="default"/>
      </w:rPr>
    </w:lvl>
    <w:lvl w:ilvl="1" w:tplc="8BF8092E">
      <w:start w:val="1"/>
      <w:numFmt w:val="bullet"/>
      <w:lvlText w:val="o"/>
      <w:lvlJc w:val="left"/>
      <w:pPr>
        <w:ind w:left="1440" w:hanging="360"/>
      </w:pPr>
      <w:rPr>
        <w:rFonts w:ascii="Courier New" w:hAnsi="Courier New" w:hint="default"/>
      </w:rPr>
    </w:lvl>
    <w:lvl w:ilvl="2" w:tplc="70CA8A00">
      <w:start w:val="1"/>
      <w:numFmt w:val="bullet"/>
      <w:lvlText w:val=""/>
      <w:lvlJc w:val="left"/>
      <w:pPr>
        <w:ind w:left="2160" w:hanging="360"/>
      </w:pPr>
      <w:rPr>
        <w:rFonts w:ascii="Wingdings" w:hAnsi="Wingdings" w:hint="default"/>
      </w:rPr>
    </w:lvl>
    <w:lvl w:ilvl="3" w:tplc="A6A464C0">
      <w:start w:val="1"/>
      <w:numFmt w:val="bullet"/>
      <w:lvlText w:val=""/>
      <w:lvlJc w:val="left"/>
      <w:pPr>
        <w:ind w:left="2880" w:hanging="360"/>
      </w:pPr>
      <w:rPr>
        <w:rFonts w:ascii="Symbol" w:hAnsi="Symbol" w:hint="default"/>
      </w:rPr>
    </w:lvl>
    <w:lvl w:ilvl="4" w:tplc="B55ADE18">
      <w:start w:val="1"/>
      <w:numFmt w:val="bullet"/>
      <w:lvlText w:val="o"/>
      <w:lvlJc w:val="left"/>
      <w:pPr>
        <w:ind w:left="3600" w:hanging="360"/>
      </w:pPr>
      <w:rPr>
        <w:rFonts w:ascii="Courier New" w:hAnsi="Courier New" w:hint="default"/>
      </w:rPr>
    </w:lvl>
    <w:lvl w:ilvl="5" w:tplc="F86AA478">
      <w:start w:val="1"/>
      <w:numFmt w:val="bullet"/>
      <w:lvlText w:val=""/>
      <w:lvlJc w:val="left"/>
      <w:pPr>
        <w:ind w:left="4320" w:hanging="360"/>
      </w:pPr>
      <w:rPr>
        <w:rFonts w:ascii="Wingdings" w:hAnsi="Wingdings" w:hint="default"/>
      </w:rPr>
    </w:lvl>
    <w:lvl w:ilvl="6" w:tplc="FCA60B3A">
      <w:start w:val="1"/>
      <w:numFmt w:val="bullet"/>
      <w:lvlText w:val=""/>
      <w:lvlJc w:val="left"/>
      <w:pPr>
        <w:ind w:left="5040" w:hanging="360"/>
      </w:pPr>
      <w:rPr>
        <w:rFonts w:ascii="Symbol" w:hAnsi="Symbol" w:hint="default"/>
      </w:rPr>
    </w:lvl>
    <w:lvl w:ilvl="7" w:tplc="147E838E">
      <w:start w:val="1"/>
      <w:numFmt w:val="bullet"/>
      <w:lvlText w:val="o"/>
      <w:lvlJc w:val="left"/>
      <w:pPr>
        <w:ind w:left="5760" w:hanging="360"/>
      </w:pPr>
      <w:rPr>
        <w:rFonts w:ascii="Courier New" w:hAnsi="Courier New" w:hint="default"/>
      </w:rPr>
    </w:lvl>
    <w:lvl w:ilvl="8" w:tplc="5198B9E8">
      <w:start w:val="1"/>
      <w:numFmt w:val="bullet"/>
      <w:lvlText w:val=""/>
      <w:lvlJc w:val="left"/>
      <w:pPr>
        <w:ind w:left="6480" w:hanging="360"/>
      </w:pPr>
      <w:rPr>
        <w:rFonts w:ascii="Wingdings" w:hAnsi="Wingdings" w:hint="default"/>
      </w:rPr>
    </w:lvl>
  </w:abstractNum>
  <w:abstractNum w:abstractNumId="3"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862FBE"/>
    <w:multiLevelType w:val="hybridMultilevel"/>
    <w:tmpl w:val="94261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4AC26466"/>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E0E0FBF"/>
    <w:multiLevelType w:val="hybridMultilevel"/>
    <w:tmpl w:val="B936BCA2"/>
    <w:lvl w:ilvl="0" w:tplc="466C069A">
      <w:start w:val="1"/>
      <w:numFmt w:val="bullet"/>
      <w:lvlText w:val=""/>
      <w:lvlJc w:val="left"/>
      <w:pPr>
        <w:ind w:left="720" w:hanging="360"/>
      </w:pPr>
      <w:rPr>
        <w:rFonts w:ascii="Symbol" w:hAnsi="Symbol" w:hint="default"/>
      </w:rPr>
    </w:lvl>
    <w:lvl w:ilvl="1" w:tplc="AFA6E362">
      <w:start w:val="1"/>
      <w:numFmt w:val="bullet"/>
      <w:lvlText w:val="o"/>
      <w:lvlJc w:val="left"/>
      <w:pPr>
        <w:ind w:left="1440" w:hanging="360"/>
      </w:pPr>
      <w:rPr>
        <w:rFonts w:ascii="Courier New" w:hAnsi="Courier New" w:hint="default"/>
      </w:rPr>
    </w:lvl>
    <w:lvl w:ilvl="2" w:tplc="A1BE5F04">
      <w:start w:val="1"/>
      <w:numFmt w:val="bullet"/>
      <w:lvlText w:val=""/>
      <w:lvlJc w:val="left"/>
      <w:pPr>
        <w:ind w:left="2160" w:hanging="360"/>
      </w:pPr>
      <w:rPr>
        <w:rFonts w:ascii="Wingdings" w:hAnsi="Wingdings" w:hint="default"/>
      </w:rPr>
    </w:lvl>
    <w:lvl w:ilvl="3" w:tplc="89F883C4">
      <w:start w:val="1"/>
      <w:numFmt w:val="bullet"/>
      <w:lvlText w:val=""/>
      <w:lvlJc w:val="left"/>
      <w:pPr>
        <w:ind w:left="2880" w:hanging="360"/>
      </w:pPr>
      <w:rPr>
        <w:rFonts w:ascii="Symbol" w:hAnsi="Symbol" w:hint="default"/>
      </w:rPr>
    </w:lvl>
    <w:lvl w:ilvl="4" w:tplc="5C4C5ADA">
      <w:start w:val="1"/>
      <w:numFmt w:val="bullet"/>
      <w:lvlText w:val="o"/>
      <w:lvlJc w:val="left"/>
      <w:pPr>
        <w:ind w:left="3600" w:hanging="360"/>
      </w:pPr>
      <w:rPr>
        <w:rFonts w:ascii="Courier New" w:hAnsi="Courier New" w:hint="default"/>
      </w:rPr>
    </w:lvl>
    <w:lvl w:ilvl="5" w:tplc="F5BEFCEE">
      <w:start w:val="1"/>
      <w:numFmt w:val="bullet"/>
      <w:lvlText w:val=""/>
      <w:lvlJc w:val="left"/>
      <w:pPr>
        <w:ind w:left="4320" w:hanging="360"/>
      </w:pPr>
      <w:rPr>
        <w:rFonts w:ascii="Wingdings" w:hAnsi="Wingdings" w:hint="default"/>
      </w:rPr>
    </w:lvl>
    <w:lvl w:ilvl="6" w:tplc="F24617EA">
      <w:start w:val="1"/>
      <w:numFmt w:val="bullet"/>
      <w:lvlText w:val=""/>
      <w:lvlJc w:val="left"/>
      <w:pPr>
        <w:ind w:left="5040" w:hanging="360"/>
      </w:pPr>
      <w:rPr>
        <w:rFonts w:ascii="Symbol" w:hAnsi="Symbol" w:hint="default"/>
      </w:rPr>
    </w:lvl>
    <w:lvl w:ilvl="7" w:tplc="B178BC22">
      <w:start w:val="1"/>
      <w:numFmt w:val="bullet"/>
      <w:lvlText w:val="o"/>
      <w:lvlJc w:val="left"/>
      <w:pPr>
        <w:ind w:left="5760" w:hanging="360"/>
      </w:pPr>
      <w:rPr>
        <w:rFonts w:ascii="Courier New" w:hAnsi="Courier New" w:hint="default"/>
      </w:rPr>
    </w:lvl>
    <w:lvl w:ilvl="8" w:tplc="1ADE2FA4">
      <w:start w:val="1"/>
      <w:numFmt w:val="bullet"/>
      <w:lvlText w:val=""/>
      <w:lvlJc w:val="left"/>
      <w:pPr>
        <w:ind w:left="6480" w:hanging="360"/>
      </w:pPr>
      <w:rPr>
        <w:rFonts w:ascii="Wingdings" w:hAnsi="Wingdings" w:hint="default"/>
      </w:rPr>
    </w:lvl>
  </w:abstractNum>
  <w:num w:numId="1" w16cid:durableId="1095983091">
    <w:abstractNumId w:val="8"/>
  </w:num>
  <w:num w:numId="2" w16cid:durableId="1608924822">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16cid:durableId="1198662686">
    <w:abstractNumId w:val="3"/>
  </w:num>
  <w:num w:numId="4" w16cid:durableId="231041416">
    <w:abstractNumId w:val="7"/>
  </w:num>
  <w:num w:numId="5" w16cid:durableId="963073155">
    <w:abstractNumId w:val="4"/>
  </w:num>
  <w:num w:numId="6" w16cid:durableId="979847388">
    <w:abstractNumId w:val="2"/>
  </w:num>
  <w:num w:numId="7" w16cid:durableId="1424719309">
    <w:abstractNumId w:val="1"/>
  </w:num>
  <w:num w:numId="8" w16cid:durableId="1025014545">
    <w:abstractNumId w:val="1"/>
  </w:num>
  <w:num w:numId="9" w16cid:durableId="1369985248">
    <w:abstractNumId w:val="1"/>
  </w:num>
  <w:num w:numId="10" w16cid:durableId="1215313285">
    <w:abstractNumId w:val="1"/>
  </w:num>
  <w:num w:numId="11" w16cid:durableId="1577127592">
    <w:abstractNumId w:val="0"/>
  </w:num>
  <w:num w:numId="12" w16cid:durableId="3902318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8113594">
    <w:abstractNumId w:val="1"/>
  </w:num>
  <w:num w:numId="14" w16cid:durableId="1345941429">
    <w:abstractNumId w:val="5"/>
  </w:num>
  <w:num w:numId="15" w16cid:durableId="1657150575">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341590426">
    <w:abstractNumId w:val="3"/>
  </w:num>
  <w:num w:numId="17" w16cid:durableId="15467387">
    <w:abstractNumId w:val="7"/>
  </w:num>
  <w:num w:numId="18" w16cid:durableId="20277555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48"/>
    <w:rsid w:val="000113E0"/>
    <w:rsid w:val="00013FF2"/>
    <w:rsid w:val="0001660E"/>
    <w:rsid w:val="000236B9"/>
    <w:rsid w:val="000252CB"/>
    <w:rsid w:val="00045F0D"/>
    <w:rsid w:val="0004750C"/>
    <w:rsid w:val="00047862"/>
    <w:rsid w:val="00056D0F"/>
    <w:rsid w:val="000612D8"/>
    <w:rsid w:val="00061D5B"/>
    <w:rsid w:val="00064F1C"/>
    <w:rsid w:val="000667F6"/>
    <w:rsid w:val="00072E11"/>
    <w:rsid w:val="00074F0F"/>
    <w:rsid w:val="00074FD5"/>
    <w:rsid w:val="00085114"/>
    <w:rsid w:val="0008611F"/>
    <w:rsid w:val="00087D95"/>
    <w:rsid w:val="000B379C"/>
    <w:rsid w:val="000B3E35"/>
    <w:rsid w:val="000B5468"/>
    <w:rsid w:val="000C1B93"/>
    <w:rsid w:val="000C24ED"/>
    <w:rsid w:val="000C5E43"/>
    <w:rsid w:val="000D3BBE"/>
    <w:rsid w:val="000D6A60"/>
    <w:rsid w:val="000D7466"/>
    <w:rsid w:val="000F2D7E"/>
    <w:rsid w:val="000F5BE6"/>
    <w:rsid w:val="00112528"/>
    <w:rsid w:val="00112619"/>
    <w:rsid w:val="00114030"/>
    <w:rsid w:val="00122017"/>
    <w:rsid w:val="00122444"/>
    <w:rsid w:val="0012676A"/>
    <w:rsid w:val="0014218A"/>
    <w:rsid w:val="0015258F"/>
    <w:rsid w:val="00156E54"/>
    <w:rsid w:val="00164FAE"/>
    <w:rsid w:val="0016603B"/>
    <w:rsid w:val="00166CC7"/>
    <w:rsid w:val="001674D7"/>
    <w:rsid w:val="001707D4"/>
    <w:rsid w:val="00175A65"/>
    <w:rsid w:val="0018076D"/>
    <w:rsid w:val="00187FFC"/>
    <w:rsid w:val="00190BDF"/>
    <w:rsid w:val="00190C6F"/>
    <w:rsid w:val="001A28D1"/>
    <w:rsid w:val="001A2D64"/>
    <w:rsid w:val="001A3009"/>
    <w:rsid w:val="001B5FA4"/>
    <w:rsid w:val="001C12F7"/>
    <w:rsid w:val="001C7E97"/>
    <w:rsid w:val="001D5230"/>
    <w:rsid w:val="001D7496"/>
    <w:rsid w:val="001E3EBC"/>
    <w:rsid w:val="001E79EB"/>
    <w:rsid w:val="001F345E"/>
    <w:rsid w:val="001F4E2E"/>
    <w:rsid w:val="002105AD"/>
    <w:rsid w:val="00210FBB"/>
    <w:rsid w:val="002155C2"/>
    <w:rsid w:val="00223E7A"/>
    <w:rsid w:val="00246E76"/>
    <w:rsid w:val="0025592F"/>
    <w:rsid w:val="0026548C"/>
    <w:rsid w:val="00266207"/>
    <w:rsid w:val="0027370C"/>
    <w:rsid w:val="00281D40"/>
    <w:rsid w:val="00293A67"/>
    <w:rsid w:val="002A28B4"/>
    <w:rsid w:val="002A2B8C"/>
    <w:rsid w:val="002A35CF"/>
    <w:rsid w:val="002A432C"/>
    <w:rsid w:val="002A475D"/>
    <w:rsid w:val="002B235B"/>
    <w:rsid w:val="002B792F"/>
    <w:rsid w:val="002E4FBF"/>
    <w:rsid w:val="002E7D3B"/>
    <w:rsid w:val="002F7CFE"/>
    <w:rsid w:val="00303085"/>
    <w:rsid w:val="00306C23"/>
    <w:rsid w:val="00311AF4"/>
    <w:rsid w:val="0031333A"/>
    <w:rsid w:val="00313C65"/>
    <w:rsid w:val="0032119F"/>
    <w:rsid w:val="00325367"/>
    <w:rsid w:val="003307CD"/>
    <w:rsid w:val="00340DD9"/>
    <w:rsid w:val="00360E17"/>
    <w:rsid w:val="00361D11"/>
    <w:rsid w:val="0036209C"/>
    <w:rsid w:val="00366BEA"/>
    <w:rsid w:val="00375FB1"/>
    <w:rsid w:val="003819F6"/>
    <w:rsid w:val="00385DFB"/>
    <w:rsid w:val="0038608B"/>
    <w:rsid w:val="00396E97"/>
    <w:rsid w:val="003A5190"/>
    <w:rsid w:val="003B240E"/>
    <w:rsid w:val="003C3165"/>
    <w:rsid w:val="003D13EF"/>
    <w:rsid w:val="003D1B6F"/>
    <w:rsid w:val="003D7789"/>
    <w:rsid w:val="003E0905"/>
    <w:rsid w:val="003F6EB9"/>
    <w:rsid w:val="00401084"/>
    <w:rsid w:val="00404E3B"/>
    <w:rsid w:val="00407EF0"/>
    <w:rsid w:val="00412F2B"/>
    <w:rsid w:val="004178B3"/>
    <w:rsid w:val="00420460"/>
    <w:rsid w:val="00430576"/>
    <w:rsid w:val="00430F12"/>
    <w:rsid w:val="00447F2C"/>
    <w:rsid w:val="00453669"/>
    <w:rsid w:val="00453ACE"/>
    <w:rsid w:val="00456F47"/>
    <w:rsid w:val="004662AB"/>
    <w:rsid w:val="00466CEC"/>
    <w:rsid w:val="00480185"/>
    <w:rsid w:val="00483161"/>
    <w:rsid w:val="00485294"/>
    <w:rsid w:val="0048642E"/>
    <w:rsid w:val="00491051"/>
    <w:rsid w:val="004A371A"/>
    <w:rsid w:val="004A37A9"/>
    <w:rsid w:val="004B0F58"/>
    <w:rsid w:val="004B24CE"/>
    <w:rsid w:val="004B302E"/>
    <w:rsid w:val="004B484F"/>
    <w:rsid w:val="004C11A9"/>
    <w:rsid w:val="004C2E85"/>
    <w:rsid w:val="004D613B"/>
    <w:rsid w:val="004E12D9"/>
    <w:rsid w:val="004F48DD"/>
    <w:rsid w:val="004F5FCB"/>
    <w:rsid w:val="004F6AF2"/>
    <w:rsid w:val="00502290"/>
    <w:rsid w:val="00510BB5"/>
    <w:rsid w:val="00511863"/>
    <w:rsid w:val="00522BA7"/>
    <w:rsid w:val="00523C29"/>
    <w:rsid w:val="00526795"/>
    <w:rsid w:val="0053613A"/>
    <w:rsid w:val="005367D0"/>
    <w:rsid w:val="00541FBB"/>
    <w:rsid w:val="00543141"/>
    <w:rsid w:val="00563220"/>
    <w:rsid w:val="00563DE2"/>
    <w:rsid w:val="005649D2"/>
    <w:rsid w:val="0056642E"/>
    <w:rsid w:val="00575814"/>
    <w:rsid w:val="0058102D"/>
    <w:rsid w:val="00583731"/>
    <w:rsid w:val="00586250"/>
    <w:rsid w:val="005934B4"/>
    <w:rsid w:val="00593BC5"/>
    <w:rsid w:val="00594840"/>
    <w:rsid w:val="005A34D4"/>
    <w:rsid w:val="005A67CA"/>
    <w:rsid w:val="005B184F"/>
    <w:rsid w:val="005B77E0"/>
    <w:rsid w:val="005C14A7"/>
    <w:rsid w:val="005C327E"/>
    <w:rsid w:val="005D0140"/>
    <w:rsid w:val="005D49FE"/>
    <w:rsid w:val="005E1E2B"/>
    <w:rsid w:val="005E1F63"/>
    <w:rsid w:val="005E65FD"/>
    <w:rsid w:val="00601B33"/>
    <w:rsid w:val="006026C8"/>
    <w:rsid w:val="00606119"/>
    <w:rsid w:val="0061544F"/>
    <w:rsid w:val="006169FB"/>
    <w:rsid w:val="00622A42"/>
    <w:rsid w:val="00624E37"/>
    <w:rsid w:val="00626BBF"/>
    <w:rsid w:val="00640354"/>
    <w:rsid w:val="00641141"/>
    <w:rsid w:val="0064273E"/>
    <w:rsid w:val="0064309E"/>
    <w:rsid w:val="00643CC4"/>
    <w:rsid w:val="00644194"/>
    <w:rsid w:val="0064434E"/>
    <w:rsid w:val="00645A65"/>
    <w:rsid w:val="0064780D"/>
    <w:rsid w:val="006711BD"/>
    <w:rsid w:val="00673DD7"/>
    <w:rsid w:val="00677835"/>
    <w:rsid w:val="00680388"/>
    <w:rsid w:val="0068246E"/>
    <w:rsid w:val="00691456"/>
    <w:rsid w:val="0069518C"/>
    <w:rsid w:val="00696410"/>
    <w:rsid w:val="00696EFC"/>
    <w:rsid w:val="00697B45"/>
    <w:rsid w:val="006A3884"/>
    <w:rsid w:val="006A5BEB"/>
    <w:rsid w:val="006B3426"/>
    <w:rsid w:val="006B3488"/>
    <w:rsid w:val="006B7CC6"/>
    <w:rsid w:val="006C2F67"/>
    <w:rsid w:val="006D00B0"/>
    <w:rsid w:val="006D1CF3"/>
    <w:rsid w:val="006E54D3"/>
    <w:rsid w:val="006F5CBE"/>
    <w:rsid w:val="0070062E"/>
    <w:rsid w:val="007144E2"/>
    <w:rsid w:val="00717237"/>
    <w:rsid w:val="00720A10"/>
    <w:rsid w:val="00720EB8"/>
    <w:rsid w:val="00722C1F"/>
    <w:rsid w:val="00726A3F"/>
    <w:rsid w:val="00751094"/>
    <w:rsid w:val="00752E23"/>
    <w:rsid w:val="00755FA3"/>
    <w:rsid w:val="007561FD"/>
    <w:rsid w:val="00762903"/>
    <w:rsid w:val="00763C54"/>
    <w:rsid w:val="00766D19"/>
    <w:rsid w:val="0077478D"/>
    <w:rsid w:val="007768CF"/>
    <w:rsid w:val="007B020C"/>
    <w:rsid w:val="007B523A"/>
    <w:rsid w:val="007C00E7"/>
    <w:rsid w:val="007C0E89"/>
    <w:rsid w:val="007C155B"/>
    <w:rsid w:val="007C61E6"/>
    <w:rsid w:val="007D2872"/>
    <w:rsid w:val="007D76B2"/>
    <w:rsid w:val="007F066A"/>
    <w:rsid w:val="007F1765"/>
    <w:rsid w:val="007F40C8"/>
    <w:rsid w:val="007F6BE6"/>
    <w:rsid w:val="007F786F"/>
    <w:rsid w:val="0080248A"/>
    <w:rsid w:val="00804F58"/>
    <w:rsid w:val="008073B1"/>
    <w:rsid w:val="00812B17"/>
    <w:rsid w:val="008156DE"/>
    <w:rsid w:val="008158C5"/>
    <w:rsid w:val="00822F0F"/>
    <w:rsid w:val="0083638C"/>
    <w:rsid w:val="00852137"/>
    <w:rsid w:val="008559F3"/>
    <w:rsid w:val="00856CA3"/>
    <w:rsid w:val="00864406"/>
    <w:rsid w:val="00864999"/>
    <w:rsid w:val="00864CC4"/>
    <w:rsid w:val="00865BC1"/>
    <w:rsid w:val="008667A0"/>
    <w:rsid w:val="00867DC1"/>
    <w:rsid w:val="0087496A"/>
    <w:rsid w:val="00884A97"/>
    <w:rsid w:val="00890EEE"/>
    <w:rsid w:val="0089316E"/>
    <w:rsid w:val="008A4CF6"/>
    <w:rsid w:val="008A5705"/>
    <w:rsid w:val="008A70BC"/>
    <w:rsid w:val="008A7F48"/>
    <w:rsid w:val="008B5D95"/>
    <w:rsid w:val="008C4E7E"/>
    <w:rsid w:val="008D30A9"/>
    <w:rsid w:val="008D4B3E"/>
    <w:rsid w:val="008E3DE9"/>
    <w:rsid w:val="008E699B"/>
    <w:rsid w:val="008E6F8D"/>
    <w:rsid w:val="00903B33"/>
    <w:rsid w:val="00904D98"/>
    <w:rsid w:val="009076C2"/>
    <w:rsid w:val="009107ED"/>
    <w:rsid w:val="00911DC3"/>
    <w:rsid w:val="009138BF"/>
    <w:rsid w:val="0093679E"/>
    <w:rsid w:val="00950DDA"/>
    <w:rsid w:val="00961F29"/>
    <w:rsid w:val="00965B72"/>
    <w:rsid w:val="00967C89"/>
    <w:rsid w:val="009734DD"/>
    <w:rsid w:val="009739C8"/>
    <w:rsid w:val="00980AD3"/>
    <w:rsid w:val="00982157"/>
    <w:rsid w:val="009904E6"/>
    <w:rsid w:val="00992F56"/>
    <w:rsid w:val="00995512"/>
    <w:rsid w:val="009A0A7A"/>
    <w:rsid w:val="009A3902"/>
    <w:rsid w:val="009A6615"/>
    <w:rsid w:val="009B0C6B"/>
    <w:rsid w:val="009B1280"/>
    <w:rsid w:val="009B6FD3"/>
    <w:rsid w:val="009C0088"/>
    <w:rsid w:val="009C2DB5"/>
    <w:rsid w:val="009C5B0E"/>
    <w:rsid w:val="009D2131"/>
    <w:rsid w:val="009E6A7E"/>
    <w:rsid w:val="009E6FBE"/>
    <w:rsid w:val="009F17E2"/>
    <w:rsid w:val="009F7FA0"/>
    <w:rsid w:val="00A10EC7"/>
    <w:rsid w:val="00A119B4"/>
    <w:rsid w:val="00A170A2"/>
    <w:rsid w:val="00A221E9"/>
    <w:rsid w:val="00A27E95"/>
    <w:rsid w:val="00A329DC"/>
    <w:rsid w:val="00A32D36"/>
    <w:rsid w:val="00A42197"/>
    <w:rsid w:val="00A4585A"/>
    <w:rsid w:val="00A46F6E"/>
    <w:rsid w:val="00A534B8"/>
    <w:rsid w:val="00A54063"/>
    <w:rsid w:val="00A5409F"/>
    <w:rsid w:val="00A54F5E"/>
    <w:rsid w:val="00A57460"/>
    <w:rsid w:val="00A63054"/>
    <w:rsid w:val="00A70B7E"/>
    <w:rsid w:val="00A727A2"/>
    <w:rsid w:val="00A80E01"/>
    <w:rsid w:val="00A8296F"/>
    <w:rsid w:val="00A84C52"/>
    <w:rsid w:val="00A90FF5"/>
    <w:rsid w:val="00A91B96"/>
    <w:rsid w:val="00A96DC5"/>
    <w:rsid w:val="00AA027D"/>
    <w:rsid w:val="00AA3133"/>
    <w:rsid w:val="00AA3ED0"/>
    <w:rsid w:val="00AA5FB4"/>
    <w:rsid w:val="00AB099B"/>
    <w:rsid w:val="00AB4438"/>
    <w:rsid w:val="00AC0F0C"/>
    <w:rsid w:val="00AC7EA4"/>
    <w:rsid w:val="00AD02C1"/>
    <w:rsid w:val="00AD65BB"/>
    <w:rsid w:val="00B06805"/>
    <w:rsid w:val="00B11F30"/>
    <w:rsid w:val="00B14A04"/>
    <w:rsid w:val="00B2036D"/>
    <w:rsid w:val="00B21B40"/>
    <w:rsid w:val="00B24EE4"/>
    <w:rsid w:val="00B25C75"/>
    <w:rsid w:val="00B26C50"/>
    <w:rsid w:val="00B449D9"/>
    <w:rsid w:val="00B46033"/>
    <w:rsid w:val="00B53FC7"/>
    <w:rsid w:val="00B53FCE"/>
    <w:rsid w:val="00B5493E"/>
    <w:rsid w:val="00B55973"/>
    <w:rsid w:val="00B65452"/>
    <w:rsid w:val="00B6770F"/>
    <w:rsid w:val="00B72931"/>
    <w:rsid w:val="00B80AAD"/>
    <w:rsid w:val="00B8230B"/>
    <w:rsid w:val="00B917E0"/>
    <w:rsid w:val="00BA0F6F"/>
    <w:rsid w:val="00BA7230"/>
    <w:rsid w:val="00BA7AAB"/>
    <w:rsid w:val="00BB6158"/>
    <w:rsid w:val="00BB73A6"/>
    <w:rsid w:val="00BC4289"/>
    <w:rsid w:val="00BC6D7D"/>
    <w:rsid w:val="00BE1121"/>
    <w:rsid w:val="00BE13F4"/>
    <w:rsid w:val="00BE3753"/>
    <w:rsid w:val="00BF35D4"/>
    <w:rsid w:val="00BF4458"/>
    <w:rsid w:val="00BF732E"/>
    <w:rsid w:val="00C0536F"/>
    <w:rsid w:val="00C05B91"/>
    <w:rsid w:val="00C16EA4"/>
    <w:rsid w:val="00C202C5"/>
    <w:rsid w:val="00C32F0D"/>
    <w:rsid w:val="00C361B7"/>
    <w:rsid w:val="00C42595"/>
    <w:rsid w:val="00C436AB"/>
    <w:rsid w:val="00C455FC"/>
    <w:rsid w:val="00C50482"/>
    <w:rsid w:val="00C62B29"/>
    <w:rsid w:val="00C6564B"/>
    <w:rsid w:val="00C662AE"/>
    <w:rsid w:val="00C664FC"/>
    <w:rsid w:val="00C70C44"/>
    <w:rsid w:val="00C7303D"/>
    <w:rsid w:val="00C76C7E"/>
    <w:rsid w:val="00C805A0"/>
    <w:rsid w:val="00C83BAB"/>
    <w:rsid w:val="00C84909"/>
    <w:rsid w:val="00C87F4D"/>
    <w:rsid w:val="00C94717"/>
    <w:rsid w:val="00C94F2B"/>
    <w:rsid w:val="00CA0226"/>
    <w:rsid w:val="00CA07A1"/>
    <w:rsid w:val="00CA0C56"/>
    <w:rsid w:val="00CB2145"/>
    <w:rsid w:val="00CB4B4E"/>
    <w:rsid w:val="00CB5AF1"/>
    <w:rsid w:val="00CB66B0"/>
    <w:rsid w:val="00CC1926"/>
    <w:rsid w:val="00CC3320"/>
    <w:rsid w:val="00CC73EF"/>
    <w:rsid w:val="00CD6723"/>
    <w:rsid w:val="00CE5951"/>
    <w:rsid w:val="00CF73E9"/>
    <w:rsid w:val="00D065F9"/>
    <w:rsid w:val="00D12245"/>
    <w:rsid w:val="00D136E3"/>
    <w:rsid w:val="00D15A52"/>
    <w:rsid w:val="00D15BEB"/>
    <w:rsid w:val="00D2033E"/>
    <w:rsid w:val="00D253AD"/>
    <w:rsid w:val="00D31E35"/>
    <w:rsid w:val="00D35EF7"/>
    <w:rsid w:val="00D4229C"/>
    <w:rsid w:val="00D507E2"/>
    <w:rsid w:val="00D534B3"/>
    <w:rsid w:val="00D53913"/>
    <w:rsid w:val="00D61CE0"/>
    <w:rsid w:val="00D631D4"/>
    <w:rsid w:val="00D64044"/>
    <w:rsid w:val="00D678DB"/>
    <w:rsid w:val="00D93B76"/>
    <w:rsid w:val="00DA0D63"/>
    <w:rsid w:val="00DC0F15"/>
    <w:rsid w:val="00DC74E1"/>
    <w:rsid w:val="00DD2F4E"/>
    <w:rsid w:val="00DE020F"/>
    <w:rsid w:val="00DE07A5"/>
    <w:rsid w:val="00DE2CE3"/>
    <w:rsid w:val="00DF372C"/>
    <w:rsid w:val="00E04DAF"/>
    <w:rsid w:val="00E0548A"/>
    <w:rsid w:val="00E05B03"/>
    <w:rsid w:val="00E05C35"/>
    <w:rsid w:val="00E07FA8"/>
    <w:rsid w:val="00E112C7"/>
    <w:rsid w:val="00E134A8"/>
    <w:rsid w:val="00E23B4B"/>
    <w:rsid w:val="00E31C3D"/>
    <w:rsid w:val="00E33B22"/>
    <w:rsid w:val="00E40A53"/>
    <w:rsid w:val="00E4272D"/>
    <w:rsid w:val="00E5058E"/>
    <w:rsid w:val="00E51733"/>
    <w:rsid w:val="00E540F6"/>
    <w:rsid w:val="00E56264"/>
    <w:rsid w:val="00E604B6"/>
    <w:rsid w:val="00E66CA0"/>
    <w:rsid w:val="00E729F7"/>
    <w:rsid w:val="00E743E9"/>
    <w:rsid w:val="00E7578A"/>
    <w:rsid w:val="00E77074"/>
    <w:rsid w:val="00E836F5"/>
    <w:rsid w:val="00E94423"/>
    <w:rsid w:val="00E97B37"/>
    <w:rsid w:val="00EA7023"/>
    <w:rsid w:val="00ED333F"/>
    <w:rsid w:val="00EE7CB5"/>
    <w:rsid w:val="00EF2423"/>
    <w:rsid w:val="00EF3B00"/>
    <w:rsid w:val="00EF7042"/>
    <w:rsid w:val="00F12D5C"/>
    <w:rsid w:val="00F14D7F"/>
    <w:rsid w:val="00F20AC8"/>
    <w:rsid w:val="00F21E77"/>
    <w:rsid w:val="00F2432E"/>
    <w:rsid w:val="00F27551"/>
    <w:rsid w:val="00F3454B"/>
    <w:rsid w:val="00F40B13"/>
    <w:rsid w:val="00F4460E"/>
    <w:rsid w:val="00F4627C"/>
    <w:rsid w:val="00F522E3"/>
    <w:rsid w:val="00F54C73"/>
    <w:rsid w:val="00F559A1"/>
    <w:rsid w:val="00F57EA6"/>
    <w:rsid w:val="00F66145"/>
    <w:rsid w:val="00F66F31"/>
    <w:rsid w:val="00F67719"/>
    <w:rsid w:val="00F81980"/>
    <w:rsid w:val="00F8674B"/>
    <w:rsid w:val="00FA2CED"/>
    <w:rsid w:val="00FA3555"/>
    <w:rsid w:val="00FB6436"/>
    <w:rsid w:val="00FC4301"/>
    <w:rsid w:val="00FD0A47"/>
    <w:rsid w:val="00FD0A93"/>
    <w:rsid w:val="00FD277E"/>
    <w:rsid w:val="00FD3335"/>
    <w:rsid w:val="00FD44CF"/>
    <w:rsid w:val="00FE3A62"/>
    <w:rsid w:val="00FE5E0D"/>
    <w:rsid w:val="00FF3ECA"/>
    <w:rsid w:val="00FF590C"/>
    <w:rsid w:val="00FF5FFB"/>
    <w:rsid w:val="00FF7DFB"/>
    <w:rsid w:val="0189FD71"/>
    <w:rsid w:val="0A148883"/>
    <w:rsid w:val="0A2938A5"/>
    <w:rsid w:val="0B4F3218"/>
    <w:rsid w:val="0EF8E726"/>
    <w:rsid w:val="195DB4F7"/>
    <w:rsid w:val="1B765945"/>
    <w:rsid w:val="22A3467B"/>
    <w:rsid w:val="28C0A311"/>
    <w:rsid w:val="34461ADA"/>
    <w:rsid w:val="421AA2A9"/>
    <w:rsid w:val="501B79BD"/>
    <w:rsid w:val="53DE059C"/>
    <w:rsid w:val="5B37B4C6"/>
    <w:rsid w:val="75D15762"/>
    <w:rsid w:val="75FB577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A5708"/>
  <w15:chartTrackingRefBased/>
  <w15:docId w15:val="{3FC3FE3E-41F1-429F-8621-1B603FFB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2" w:unhideWhenUsed="1"/>
    <w:lsdException w:name="toc 2" w:semiHidden="1" w:uiPriority="23" w:unhideWhenUsed="1"/>
    <w:lsdException w:name="toc 3" w:semiHidden="1" w:uiPriority="24"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qFormat="1"/>
    <w:lsdException w:name="footer" w:semiHidden="1" w:uiPriority="19"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6"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3C3165"/>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2"/>
    <w:qFormat/>
    <w:rsid w:val="003C3165"/>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3C3165"/>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3C3165"/>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3C3165"/>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3C3165"/>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3C3165"/>
    <w:pPr>
      <w:keepNext/>
      <w:spacing w:after="200" w:line="240" w:lineRule="auto"/>
    </w:pPr>
    <w:rPr>
      <w:b/>
      <w:iCs/>
      <w:szCs w:val="18"/>
    </w:rPr>
  </w:style>
  <w:style w:type="table" w:customStyle="1" w:styleId="Tableheader">
    <w:name w:val="ŠTable header"/>
    <w:basedOn w:val="TableNormal"/>
    <w:uiPriority w:val="99"/>
    <w:rsid w:val="003C3165"/>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3C3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3C3165"/>
    <w:pPr>
      <w:numPr>
        <w:numId w:val="18"/>
      </w:numPr>
      <w:contextualSpacing/>
    </w:pPr>
  </w:style>
  <w:style w:type="paragraph" w:styleId="ListNumber2">
    <w:name w:val="List Number 2"/>
    <w:aliases w:val="ŠList Number 2"/>
    <w:basedOn w:val="Normal"/>
    <w:uiPriority w:val="8"/>
    <w:qFormat/>
    <w:rsid w:val="003C3165"/>
    <w:pPr>
      <w:numPr>
        <w:numId w:val="17"/>
      </w:numPr>
      <w:contextualSpacing/>
    </w:pPr>
  </w:style>
  <w:style w:type="paragraph" w:styleId="ListBullet">
    <w:name w:val="List Bullet"/>
    <w:aliases w:val="ŠList Bullet"/>
    <w:basedOn w:val="Normal"/>
    <w:uiPriority w:val="9"/>
    <w:qFormat/>
    <w:rsid w:val="003C3165"/>
    <w:pPr>
      <w:numPr>
        <w:numId w:val="16"/>
      </w:numPr>
      <w:contextualSpacing/>
    </w:pPr>
  </w:style>
  <w:style w:type="paragraph" w:styleId="ListBullet2">
    <w:name w:val="List Bullet 2"/>
    <w:aliases w:val="ŠList Bullet 2"/>
    <w:basedOn w:val="Normal"/>
    <w:uiPriority w:val="10"/>
    <w:qFormat/>
    <w:rsid w:val="003C3165"/>
    <w:pPr>
      <w:numPr>
        <w:numId w:val="15"/>
      </w:numPr>
      <w:contextualSpacing/>
    </w:pPr>
  </w:style>
  <w:style w:type="character" w:styleId="SubtleReference">
    <w:name w:val="Subtle Reference"/>
    <w:aliases w:val="ŠSubtle Reference,ŠReference"/>
    <w:uiPriority w:val="31"/>
    <w:qFormat/>
    <w:rsid w:val="00085114"/>
    <w:rPr>
      <w:rFonts w:ascii="Arial" w:hAnsi="Arial"/>
      <w:sz w:val="22"/>
    </w:rPr>
  </w:style>
  <w:style w:type="paragraph" w:styleId="Quote">
    <w:name w:val="Quote"/>
    <w:aliases w:val="ŠQuote"/>
    <w:basedOn w:val="Normal"/>
    <w:next w:val="Normal"/>
    <w:link w:val="QuoteChar"/>
    <w:uiPriority w:val="19"/>
    <w:qFormat/>
    <w:rsid w:val="003C3165"/>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line="720" w:lineRule="atLeast"/>
    </w:pPr>
  </w:style>
  <w:style w:type="character" w:customStyle="1" w:styleId="DateChar">
    <w:name w:val="Date Char"/>
    <w:aliases w:val="ŠDate Char"/>
    <w:basedOn w:val="DefaultParagraphFont"/>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line="720" w:lineRule="atLeast"/>
    </w:pPr>
  </w:style>
  <w:style w:type="character" w:customStyle="1" w:styleId="SignatureChar">
    <w:name w:val="Signature Char"/>
    <w:aliases w:val="ŠSignature Char"/>
    <w:basedOn w:val="DefaultParagraphFont"/>
    <w:link w:val="Signature"/>
    <w:uiPriority w:val="99"/>
    <w:rsid w:val="00085114"/>
    <w:rPr>
      <w:rFonts w:ascii="Arial" w:hAnsi="Arial" w:cs="Arial"/>
      <w:sz w:val="24"/>
      <w:szCs w:val="24"/>
    </w:rPr>
  </w:style>
  <w:style w:type="character" w:styleId="Strong">
    <w:name w:val="Strong"/>
    <w:aliases w:val="ŠStrong"/>
    <w:qFormat/>
    <w:rsid w:val="003C3165"/>
    <w:rPr>
      <w:b/>
      <w:bCs/>
    </w:rPr>
  </w:style>
  <w:style w:type="character" w:customStyle="1" w:styleId="QuoteChar">
    <w:name w:val="Quote Char"/>
    <w:aliases w:val="ŠQuote Char"/>
    <w:basedOn w:val="DefaultParagraphFont"/>
    <w:link w:val="Quote"/>
    <w:uiPriority w:val="19"/>
    <w:rsid w:val="003C3165"/>
    <w:rPr>
      <w:rFonts w:ascii="Arial" w:hAnsi="Arial" w:cs="Arial"/>
      <w:sz w:val="24"/>
      <w:szCs w:val="24"/>
    </w:rPr>
  </w:style>
  <w:style w:type="paragraph" w:customStyle="1" w:styleId="FeatureBox2">
    <w:name w:val="ŠFeature Box 2"/>
    <w:basedOn w:val="Normal"/>
    <w:next w:val="Normal"/>
    <w:uiPriority w:val="12"/>
    <w:qFormat/>
    <w:rsid w:val="003C3165"/>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085114"/>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3C3165"/>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3C3165"/>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C3165"/>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26"/>
    <w:unhideWhenUsed/>
    <w:rsid w:val="003C3165"/>
    <w:rPr>
      <w:color w:val="2F5496" w:themeColor="accent1" w:themeShade="BF"/>
      <w:u w:val="single"/>
    </w:rPr>
  </w:style>
  <w:style w:type="paragraph" w:customStyle="1" w:styleId="Logo">
    <w:name w:val="ŠLogo"/>
    <w:basedOn w:val="Normal"/>
    <w:uiPriority w:val="18"/>
    <w:qFormat/>
    <w:rsid w:val="003C3165"/>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22"/>
    <w:unhideWhenUsed/>
    <w:rsid w:val="003C3165"/>
    <w:pPr>
      <w:tabs>
        <w:tab w:val="right" w:leader="dot" w:pos="14570"/>
      </w:tabs>
      <w:spacing w:before="0"/>
    </w:pPr>
    <w:rPr>
      <w:b/>
      <w:noProof/>
    </w:rPr>
  </w:style>
  <w:style w:type="paragraph" w:styleId="TOC2">
    <w:name w:val="toc 2"/>
    <w:aliases w:val="ŠTOC 2"/>
    <w:basedOn w:val="Normal"/>
    <w:next w:val="Normal"/>
    <w:uiPriority w:val="23"/>
    <w:unhideWhenUsed/>
    <w:rsid w:val="003C3165"/>
    <w:pPr>
      <w:tabs>
        <w:tab w:val="right" w:leader="dot" w:pos="14570"/>
      </w:tabs>
      <w:spacing w:before="0"/>
    </w:pPr>
    <w:rPr>
      <w:noProof/>
    </w:rPr>
  </w:style>
  <w:style w:type="paragraph" w:styleId="TOC3">
    <w:name w:val="toc 3"/>
    <w:aliases w:val="ŠTOC 3"/>
    <w:basedOn w:val="Normal"/>
    <w:next w:val="Normal"/>
    <w:uiPriority w:val="24"/>
    <w:unhideWhenUsed/>
    <w:rsid w:val="003C3165"/>
    <w:pPr>
      <w:spacing w:before="0"/>
      <w:ind w:left="244"/>
    </w:pPr>
  </w:style>
  <w:style w:type="paragraph" w:styleId="Title">
    <w:name w:val="Title"/>
    <w:aliases w:val="ŠTitle"/>
    <w:basedOn w:val="Normal"/>
    <w:next w:val="Normal"/>
    <w:link w:val="TitleChar"/>
    <w:uiPriority w:val="1"/>
    <w:qFormat/>
    <w:rsid w:val="003C3165"/>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3C3165"/>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2"/>
    <w:rsid w:val="003C3165"/>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3"/>
    <w:rsid w:val="003C3165"/>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1"/>
    <w:qFormat/>
    <w:rsid w:val="003C3165"/>
    <w:pPr>
      <w:outlineLvl w:val="9"/>
    </w:pPr>
    <w:rPr>
      <w:sz w:val="40"/>
      <w:szCs w:val="40"/>
    </w:rPr>
  </w:style>
  <w:style w:type="paragraph" w:styleId="Footer">
    <w:name w:val="footer"/>
    <w:aliases w:val="ŠFooter"/>
    <w:basedOn w:val="Normal"/>
    <w:link w:val="FooterChar"/>
    <w:uiPriority w:val="19"/>
    <w:rsid w:val="003C3165"/>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3C3165"/>
    <w:rPr>
      <w:rFonts w:ascii="Arial" w:hAnsi="Arial" w:cs="Arial"/>
      <w:sz w:val="18"/>
      <w:szCs w:val="18"/>
    </w:rPr>
  </w:style>
  <w:style w:type="paragraph" w:styleId="Header">
    <w:name w:val="header"/>
    <w:aliases w:val="ŠHeader"/>
    <w:basedOn w:val="Normal"/>
    <w:link w:val="HeaderChar"/>
    <w:uiPriority w:val="16"/>
    <w:rsid w:val="003C3165"/>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3C3165"/>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4"/>
    <w:rsid w:val="003C3165"/>
    <w:rPr>
      <w:rFonts w:ascii="Arial" w:hAnsi="Arial" w:cs="Arial"/>
      <w:b/>
      <w:color w:val="002664"/>
      <w:sz w:val="40"/>
      <w:szCs w:val="40"/>
    </w:rPr>
  </w:style>
  <w:style w:type="character" w:customStyle="1" w:styleId="Heading4Char">
    <w:name w:val="Heading 4 Char"/>
    <w:aliases w:val="ŠHeading 4 Char"/>
    <w:basedOn w:val="DefaultParagraphFont"/>
    <w:link w:val="Heading4"/>
    <w:uiPriority w:val="5"/>
    <w:rsid w:val="003C3165"/>
    <w:rPr>
      <w:rFonts w:ascii="Arial" w:hAnsi="Arial" w:cs="Arial"/>
      <w:b/>
      <w:color w:val="002664"/>
      <w:sz w:val="36"/>
      <w:szCs w:val="36"/>
    </w:rPr>
  </w:style>
  <w:style w:type="character" w:customStyle="1" w:styleId="Heading5Char">
    <w:name w:val="Heading 5 Char"/>
    <w:aliases w:val="ŠHeading 5 Char"/>
    <w:basedOn w:val="DefaultParagraphFont"/>
    <w:link w:val="Heading5"/>
    <w:uiPriority w:val="6"/>
    <w:rsid w:val="003C3165"/>
    <w:rPr>
      <w:rFonts w:ascii="Arial" w:hAnsi="Arial" w:cs="Arial"/>
      <w:color w:val="002664"/>
      <w:sz w:val="32"/>
      <w:szCs w:val="32"/>
    </w:rPr>
  </w:style>
  <w:style w:type="character" w:styleId="UnresolvedMention">
    <w:name w:val="Unresolved Mention"/>
    <w:basedOn w:val="DefaultParagraphFont"/>
    <w:uiPriority w:val="99"/>
    <w:semiHidden/>
    <w:unhideWhenUsed/>
    <w:rsid w:val="003C3165"/>
    <w:rPr>
      <w:color w:val="605E5C"/>
      <w:shd w:val="clear" w:color="auto" w:fill="E1DFDD"/>
    </w:rPr>
  </w:style>
  <w:style w:type="character" w:styleId="Emphasis">
    <w:name w:val="Emphasis"/>
    <w:aliases w:val="ŠLanguage or scientific"/>
    <w:qFormat/>
    <w:rsid w:val="003C3165"/>
    <w:rPr>
      <w:i/>
      <w:iCs/>
    </w:rPr>
  </w:style>
  <w:style w:type="character" w:styleId="SubtleEmphasis">
    <w:name w:val="Subtle Emphasis"/>
    <w:basedOn w:val="DefaultParagraphFont"/>
    <w:uiPriority w:val="19"/>
    <w:semiHidden/>
    <w:qFormat/>
    <w:rsid w:val="003C3165"/>
    <w:rPr>
      <w:i/>
      <w:iCs/>
      <w:color w:val="404040" w:themeColor="text1" w:themeTint="BF"/>
    </w:rPr>
  </w:style>
  <w:style w:type="paragraph" w:styleId="TOC4">
    <w:name w:val="toc 4"/>
    <w:aliases w:val="ŠTOC 4"/>
    <w:basedOn w:val="Normal"/>
    <w:next w:val="Normal"/>
    <w:autoRedefine/>
    <w:uiPriority w:val="25"/>
    <w:unhideWhenUsed/>
    <w:rsid w:val="003C3165"/>
    <w:pPr>
      <w:spacing w:before="0"/>
      <w:ind w:left="488"/>
    </w:pPr>
  </w:style>
  <w:style w:type="character" w:styleId="CommentReference">
    <w:name w:val="annotation reference"/>
    <w:basedOn w:val="DefaultParagraphFont"/>
    <w:uiPriority w:val="99"/>
    <w:semiHidden/>
    <w:unhideWhenUsed/>
    <w:rsid w:val="003C3165"/>
    <w:rPr>
      <w:sz w:val="16"/>
      <w:szCs w:val="16"/>
    </w:rPr>
  </w:style>
  <w:style w:type="paragraph" w:styleId="CommentText">
    <w:name w:val="annotation text"/>
    <w:basedOn w:val="Normal"/>
    <w:link w:val="CommentTextChar"/>
    <w:uiPriority w:val="99"/>
    <w:unhideWhenUsed/>
    <w:rsid w:val="00293A67"/>
    <w:pPr>
      <w:spacing w:line="240" w:lineRule="auto"/>
    </w:pPr>
    <w:rPr>
      <w:sz w:val="20"/>
      <w:szCs w:val="20"/>
    </w:rPr>
  </w:style>
  <w:style w:type="character" w:customStyle="1" w:styleId="CommentTextChar">
    <w:name w:val="Comment Text Char"/>
    <w:basedOn w:val="DefaultParagraphFont"/>
    <w:link w:val="CommentText"/>
    <w:uiPriority w:val="99"/>
    <w:rsid w:val="00293A67"/>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3C3165"/>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C3165"/>
    <w:rPr>
      <w:rFonts w:ascii="Arial" w:hAnsi="Arial" w:cs="Arial"/>
      <w:b/>
      <w:bCs/>
      <w:sz w:val="20"/>
      <w:szCs w:val="20"/>
    </w:r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A70B7E"/>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customStyle="1" w:styleId="Documentname">
    <w:name w:val="ŠDocument name"/>
    <w:basedOn w:val="Normal"/>
    <w:next w:val="Normal"/>
    <w:uiPriority w:val="17"/>
    <w:qFormat/>
    <w:rsid w:val="003C3165"/>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3C3165"/>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3C3165"/>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3C31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38324">
      <w:bodyDiv w:val="1"/>
      <w:marLeft w:val="0"/>
      <w:marRight w:val="0"/>
      <w:marTop w:val="0"/>
      <w:marBottom w:val="0"/>
      <w:divBdr>
        <w:top w:val="none" w:sz="0" w:space="0" w:color="auto"/>
        <w:left w:val="none" w:sz="0" w:space="0" w:color="auto"/>
        <w:bottom w:val="none" w:sz="0" w:space="0" w:color="auto"/>
        <w:right w:val="none" w:sz="0" w:space="0" w:color="auto"/>
      </w:divBdr>
    </w:div>
    <w:div w:id="667562602">
      <w:bodyDiv w:val="1"/>
      <w:marLeft w:val="0"/>
      <w:marRight w:val="0"/>
      <w:marTop w:val="0"/>
      <w:marBottom w:val="0"/>
      <w:divBdr>
        <w:top w:val="none" w:sz="0" w:space="0" w:color="auto"/>
        <w:left w:val="none" w:sz="0" w:space="0" w:color="auto"/>
        <w:bottom w:val="none" w:sz="0" w:space="0" w:color="auto"/>
        <w:right w:val="none" w:sz="0" w:space="0" w:color="auto"/>
      </w:divBdr>
    </w:div>
    <w:div w:id="7153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teacher-accreditation/meeting-requirements/the-standards/proficient-teacher" TargetMode="External"/><Relationship Id="rId18" Type="http://schemas.openxmlformats.org/officeDocument/2006/relationships/hyperlink" Target="https://education.nsw.gov.au/teaching-and-learning/learning-from-home/teaching-at-home/teaching-and-learning-resources/universal-design-for-learnin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curriculum.nsw.edu.au/home"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ducation.nsw.gov.au/about-us/strategies-and-reports/school-excellence-and-accountability/school-excellence" TargetMode="External"/><Relationship Id="rId17" Type="http://schemas.openxmlformats.org/officeDocument/2006/relationships/hyperlink" Target="https://teams.microsoft.com/l/team/19%3a93bb42a54e4b4779b28ab5b737b9e642%40thread.tacv2/conversations?groupId=d759a943-a680-4d0b-bdfe-88a8998f709e&amp;tenantId=05a0e69a-418a-47c1-9c25-9387261bf991" TargetMode="External"/><Relationship Id="rId25" Type="http://schemas.openxmlformats.org/officeDocument/2006/relationships/header" Target="header2.xm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hschub.nsw.edu.au/" TargetMode="External"/><Relationship Id="rId20" Type="http://schemas.openxmlformats.org/officeDocument/2006/relationships/hyperlink" Target="https://educationstandards.nsw.edu.au/"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nsw.gov.au/public-schools/school-success-model/school-success-model-explained" TargetMode="External"/><Relationship Id="rId24" Type="http://schemas.openxmlformats.org/officeDocument/2006/relationships/footer" Target="footer2.xm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ducation.nsw.gov.au/teaching-and-learning/curriculum/pdhpe/planning-programming-and-assessing-pdhpe-k-12/planning-programming-and-assessing-pdhpe-11-12" TargetMode="External"/><Relationship Id="rId23" Type="http://schemas.openxmlformats.org/officeDocument/2006/relationships/footer" Target="footer1.xml"/><Relationship Id="rId28" Type="http://schemas.openxmlformats.org/officeDocument/2006/relationships/hyperlink" Target="https://creativecommons.org/licenses/by/4.0/" TargetMode="External"/><Relationship Id="rId10" Type="http://schemas.openxmlformats.org/officeDocument/2006/relationships/hyperlink" Target="https://education.nsw.gov.au/policy-library/policies/pd-2016-0468" TargetMode="External"/><Relationship Id="rId19" Type="http://schemas.openxmlformats.org/officeDocument/2006/relationships/hyperlink" Target="https://educationstandards.nsw.edu.au/wps/portal/nesa/mini-footer/copyright"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PDHPEcurriculum@det.nsw.edu.au" TargetMode="External"/><Relationship Id="rId14" Type="http://schemas.openxmlformats.org/officeDocument/2006/relationships/hyperlink" Target="https://curriculum.nsw.edu.au/syllabuses/health-and-movement-science-11-12-2023" TargetMode="External"/><Relationship Id="rId22" Type="http://schemas.openxmlformats.org/officeDocument/2006/relationships/header" Target="header1.xml"/><Relationship Id="rId27" Type="http://schemas.openxmlformats.org/officeDocument/2006/relationships/hyperlink" Target="https://curriculum.nsw.edu.au/syllabuses/health-and-movement-science-11-12-2023"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hyperlink" Target="https://education.nsw.gov.au/teaching-and-learning/curriculum/pdhpe/planning-programming-and-assessing-pdhpe-k-12/planning-programming-and-assessing-pdhpe-11-12"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2 – sample assessment task notification</dc:title>
  <dc:subject/>
  <dc:creator>NSW Department of Education</dc:creator>
  <cp:keywords/>
  <dc:description/>
  <dcterms:created xsi:type="dcterms:W3CDTF">2023-09-04T01:56:00Z</dcterms:created>
  <dcterms:modified xsi:type="dcterms:W3CDTF">2023-09-04T01:57:00Z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2023-09-04T01:57:22Z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4ad44eac-5c8b-416f-a1ba-25c64212c272</vt:lpwstr>
  </property>
  <property fmtid="{D5CDD505-2E9C-101B-9397-08002B2CF9AE}" pid="8" name="MSIP_Label_b603dfd7-d93a-4381-a340-2995d8282205_ContentBits">
    <vt:lpwstr>0</vt:lpwstr>
  </property>
</Properties>
</file>