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4637" w14:textId="6E6A9F05" w:rsidR="00087D95" w:rsidRDefault="00E622D9" w:rsidP="00734023">
      <w:pPr>
        <w:pStyle w:val="Title"/>
      </w:pPr>
      <w:r>
        <w:t xml:space="preserve">Mathematics </w:t>
      </w:r>
      <w:r w:rsidR="00087D95">
        <w:t>Stage</w:t>
      </w:r>
      <w:r w:rsidR="00602782">
        <w:t xml:space="preserve"> </w:t>
      </w:r>
      <w:r w:rsidR="002906DC">
        <w:t>4</w:t>
      </w:r>
      <w:r w:rsidR="00087D95">
        <w:t xml:space="preserve"> </w:t>
      </w:r>
      <w:r w:rsidR="007139E7">
        <w:br/>
      </w:r>
      <w:r w:rsidR="00602782">
        <w:t>(</w:t>
      </w:r>
      <w:r w:rsidR="00087D95">
        <w:t>Year</w:t>
      </w:r>
      <w:r w:rsidR="00602782">
        <w:t xml:space="preserve"> </w:t>
      </w:r>
      <w:r w:rsidR="002906DC">
        <w:t>8</w:t>
      </w:r>
      <w:r w:rsidR="00602782">
        <w:t>)</w:t>
      </w:r>
      <w:r w:rsidR="00087D95">
        <w:t xml:space="preserve"> – </w:t>
      </w:r>
      <w:r w:rsidR="002906DC">
        <w:t>student logbook</w:t>
      </w:r>
    </w:p>
    <w:p w14:paraId="1E580564" w14:textId="3ED30399" w:rsidR="0008611F" w:rsidRPr="00FD6D6A" w:rsidRDefault="002906DC" w:rsidP="00FD6D6A">
      <w:pPr>
        <w:pStyle w:val="Subtitle0"/>
      </w:pPr>
      <w:r>
        <w:t>How healthy are young people?</w:t>
      </w:r>
      <w:r w:rsidR="0008611F">
        <w:br w:type="page"/>
      </w:r>
    </w:p>
    <w:sdt>
      <w:sdtPr>
        <w:rPr>
          <w:rFonts w:eastAsiaTheme="minorHAnsi"/>
          <w:b/>
          <w:bCs w:val="0"/>
          <w:color w:val="auto"/>
          <w:sz w:val="24"/>
          <w:szCs w:val="24"/>
        </w:rPr>
        <w:id w:val="-269702453"/>
        <w:docPartObj>
          <w:docPartGallery w:val="Table of Contents"/>
          <w:docPartUnique/>
        </w:docPartObj>
      </w:sdtPr>
      <w:sdtEndPr>
        <w:rPr>
          <w:b w:val="0"/>
          <w:noProof/>
          <w:sz w:val="22"/>
        </w:rPr>
      </w:sdtEndPr>
      <w:sdtContent>
        <w:p w14:paraId="33728591" w14:textId="020DE9CC" w:rsidR="00FD44CF" w:rsidRDefault="00FD44CF" w:rsidP="006F1A55">
          <w:pPr>
            <w:pStyle w:val="TOCHeading"/>
          </w:pPr>
          <w:r>
            <w:t>Contents</w:t>
          </w:r>
        </w:p>
        <w:p w14:paraId="016FBF7A" w14:textId="59D3A8CB" w:rsidR="00235FE3" w:rsidRDefault="004C1DED">
          <w:pPr>
            <w:pStyle w:val="TOC1"/>
            <w:rPr>
              <w:rFonts w:asciiTheme="minorHAnsi" w:eastAsia="Batang" w:hAnsiTheme="minorHAnsi" w:cstheme="minorBidi"/>
              <w:b w:val="0"/>
              <w:kern w:val="2"/>
              <w:sz w:val="24"/>
              <w:lang w:eastAsia="ko-KR"/>
              <w14:ligatures w14:val="standardContextual"/>
            </w:rPr>
          </w:pPr>
          <w:r>
            <w:rPr>
              <w:b w:val="0"/>
            </w:rPr>
            <w:fldChar w:fldCharType="begin"/>
          </w:r>
          <w:r>
            <w:rPr>
              <w:b w:val="0"/>
            </w:rPr>
            <w:instrText xml:space="preserve"> TOC \o "1-3" \h \z \u </w:instrText>
          </w:r>
          <w:r>
            <w:rPr>
              <w:b w:val="0"/>
            </w:rPr>
            <w:fldChar w:fldCharType="separate"/>
          </w:r>
          <w:hyperlink w:anchor="_Toc179804264" w:history="1">
            <w:r w:rsidR="00235FE3" w:rsidRPr="002A0770">
              <w:rPr>
                <w:rStyle w:val="Hyperlink"/>
              </w:rPr>
              <w:t>Student logbook</w:t>
            </w:r>
            <w:r w:rsidR="00235FE3">
              <w:rPr>
                <w:webHidden/>
              </w:rPr>
              <w:tab/>
            </w:r>
            <w:r w:rsidR="00235FE3">
              <w:rPr>
                <w:webHidden/>
              </w:rPr>
              <w:fldChar w:fldCharType="begin"/>
            </w:r>
            <w:r w:rsidR="00235FE3">
              <w:rPr>
                <w:webHidden/>
              </w:rPr>
              <w:instrText xml:space="preserve"> PAGEREF _Toc179804264 \h </w:instrText>
            </w:r>
            <w:r w:rsidR="00235FE3">
              <w:rPr>
                <w:webHidden/>
              </w:rPr>
            </w:r>
            <w:r w:rsidR="00235FE3">
              <w:rPr>
                <w:webHidden/>
              </w:rPr>
              <w:fldChar w:fldCharType="separate"/>
            </w:r>
            <w:r w:rsidR="00235FE3">
              <w:rPr>
                <w:webHidden/>
              </w:rPr>
              <w:t>2</w:t>
            </w:r>
            <w:r w:rsidR="00235FE3">
              <w:rPr>
                <w:webHidden/>
              </w:rPr>
              <w:fldChar w:fldCharType="end"/>
            </w:r>
          </w:hyperlink>
        </w:p>
        <w:p w14:paraId="37114C37" w14:textId="49488967" w:rsidR="00235FE3" w:rsidRDefault="009334A9">
          <w:pPr>
            <w:pStyle w:val="TOC2"/>
            <w:rPr>
              <w:rFonts w:asciiTheme="minorHAnsi" w:eastAsia="Batang" w:hAnsiTheme="minorHAnsi" w:cstheme="minorBidi"/>
              <w:kern w:val="2"/>
              <w:sz w:val="24"/>
              <w:lang w:eastAsia="ko-KR"/>
              <w14:ligatures w14:val="standardContextual"/>
            </w:rPr>
          </w:pPr>
          <w:hyperlink w:anchor="_Toc179804265" w:history="1">
            <w:r w:rsidR="00235FE3" w:rsidRPr="002A0770">
              <w:rPr>
                <w:rStyle w:val="Hyperlink"/>
              </w:rPr>
              <w:t>Research</w:t>
            </w:r>
            <w:r w:rsidR="00235FE3">
              <w:rPr>
                <w:webHidden/>
              </w:rPr>
              <w:tab/>
            </w:r>
            <w:r w:rsidR="00235FE3">
              <w:rPr>
                <w:webHidden/>
              </w:rPr>
              <w:fldChar w:fldCharType="begin"/>
            </w:r>
            <w:r w:rsidR="00235FE3">
              <w:rPr>
                <w:webHidden/>
              </w:rPr>
              <w:instrText xml:space="preserve"> PAGEREF _Toc179804265 \h </w:instrText>
            </w:r>
            <w:r w:rsidR="00235FE3">
              <w:rPr>
                <w:webHidden/>
              </w:rPr>
            </w:r>
            <w:r w:rsidR="00235FE3">
              <w:rPr>
                <w:webHidden/>
              </w:rPr>
              <w:fldChar w:fldCharType="separate"/>
            </w:r>
            <w:r w:rsidR="00235FE3">
              <w:rPr>
                <w:webHidden/>
              </w:rPr>
              <w:t>2</w:t>
            </w:r>
            <w:r w:rsidR="00235FE3">
              <w:rPr>
                <w:webHidden/>
              </w:rPr>
              <w:fldChar w:fldCharType="end"/>
            </w:r>
          </w:hyperlink>
        </w:p>
        <w:p w14:paraId="2DA5A9DB" w14:textId="60623677" w:rsidR="00235FE3" w:rsidRDefault="009334A9">
          <w:pPr>
            <w:pStyle w:val="TOC2"/>
            <w:rPr>
              <w:rFonts w:asciiTheme="minorHAnsi" w:eastAsia="Batang" w:hAnsiTheme="minorHAnsi" w:cstheme="minorBidi"/>
              <w:kern w:val="2"/>
              <w:sz w:val="24"/>
              <w:lang w:eastAsia="ko-KR"/>
              <w14:ligatures w14:val="standardContextual"/>
            </w:rPr>
          </w:pPr>
          <w:hyperlink w:anchor="_Toc179804266" w:history="1">
            <w:r w:rsidR="00235FE3" w:rsidRPr="002A0770">
              <w:rPr>
                <w:rStyle w:val="Hyperlink"/>
              </w:rPr>
              <w:t>Data visualisation and analysis</w:t>
            </w:r>
            <w:r w:rsidR="00235FE3">
              <w:rPr>
                <w:webHidden/>
              </w:rPr>
              <w:tab/>
            </w:r>
            <w:r w:rsidR="00235FE3">
              <w:rPr>
                <w:webHidden/>
              </w:rPr>
              <w:fldChar w:fldCharType="begin"/>
            </w:r>
            <w:r w:rsidR="00235FE3">
              <w:rPr>
                <w:webHidden/>
              </w:rPr>
              <w:instrText xml:space="preserve"> PAGEREF _Toc179804266 \h </w:instrText>
            </w:r>
            <w:r w:rsidR="00235FE3">
              <w:rPr>
                <w:webHidden/>
              </w:rPr>
            </w:r>
            <w:r w:rsidR="00235FE3">
              <w:rPr>
                <w:webHidden/>
              </w:rPr>
              <w:fldChar w:fldCharType="separate"/>
            </w:r>
            <w:r w:rsidR="00235FE3">
              <w:rPr>
                <w:webHidden/>
              </w:rPr>
              <w:t>3</w:t>
            </w:r>
            <w:r w:rsidR="00235FE3">
              <w:rPr>
                <w:webHidden/>
              </w:rPr>
              <w:fldChar w:fldCharType="end"/>
            </w:r>
          </w:hyperlink>
        </w:p>
        <w:p w14:paraId="47720DA0" w14:textId="3C6E6336" w:rsidR="00235FE3" w:rsidRDefault="009334A9">
          <w:pPr>
            <w:pStyle w:val="TOC2"/>
            <w:rPr>
              <w:rFonts w:asciiTheme="minorHAnsi" w:eastAsia="Batang" w:hAnsiTheme="minorHAnsi" w:cstheme="minorBidi"/>
              <w:kern w:val="2"/>
              <w:sz w:val="24"/>
              <w:lang w:eastAsia="ko-KR"/>
              <w14:ligatures w14:val="standardContextual"/>
            </w:rPr>
          </w:pPr>
          <w:hyperlink w:anchor="_Toc179804267" w:history="1">
            <w:r w:rsidR="00235FE3" w:rsidRPr="002A0770">
              <w:rPr>
                <w:rStyle w:val="Hyperlink"/>
              </w:rPr>
              <w:t>Bringing it all together</w:t>
            </w:r>
            <w:r w:rsidR="00235FE3">
              <w:rPr>
                <w:webHidden/>
              </w:rPr>
              <w:tab/>
            </w:r>
            <w:r w:rsidR="00235FE3">
              <w:rPr>
                <w:webHidden/>
              </w:rPr>
              <w:fldChar w:fldCharType="begin"/>
            </w:r>
            <w:r w:rsidR="00235FE3">
              <w:rPr>
                <w:webHidden/>
              </w:rPr>
              <w:instrText xml:space="preserve"> PAGEREF _Toc179804267 \h </w:instrText>
            </w:r>
            <w:r w:rsidR="00235FE3">
              <w:rPr>
                <w:webHidden/>
              </w:rPr>
            </w:r>
            <w:r w:rsidR="00235FE3">
              <w:rPr>
                <w:webHidden/>
              </w:rPr>
              <w:fldChar w:fldCharType="separate"/>
            </w:r>
            <w:r w:rsidR="00235FE3">
              <w:rPr>
                <w:webHidden/>
              </w:rPr>
              <w:t>6</w:t>
            </w:r>
            <w:r w:rsidR="00235FE3">
              <w:rPr>
                <w:webHidden/>
              </w:rPr>
              <w:fldChar w:fldCharType="end"/>
            </w:r>
          </w:hyperlink>
        </w:p>
        <w:p w14:paraId="4B7ADA93" w14:textId="7D818F82" w:rsidR="00FD44CF" w:rsidRDefault="004C1DED">
          <w:r>
            <w:rPr>
              <w:b/>
              <w:noProof/>
            </w:rPr>
            <w:fldChar w:fldCharType="end"/>
          </w:r>
        </w:p>
      </w:sdtContent>
    </w:sdt>
    <w:p w14:paraId="5301D86C" w14:textId="268159C9" w:rsidR="009F17E2" w:rsidRDefault="009F17E2" w:rsidP="00CF0AB3">
      <w:pPr>
        <w:spacing w:before="100" w:after="100"/>
      </w:pPr>
      <w:r>
        <w:br w:type="page"/>
      </w:r>
    </w:p>
    <w:p w14:paraId="3BE9B783" w14:textId="38EBA469" w:rsidR="00F12D5C" w:rsidRPr="00E47E60" w:rsidRDefault="002906DC" w:rsidP="00E47E60">
      <w:pPr>
        <w:pStyle w:val="Heading1"/>
      </w:pPr>
      <w:bookmarkStart w:id="0" w:name="_Toc179804264"/>
      <w:r w:rsidRPr="00E47E60">
        <w:lastRenderedPageBreak/>
        <w:t>Student logbook</w:t>
      </w:r>
      <w:bookmarkEnd w:id="0"/>
    </w:p>
    <w:p w14:paraId="0E1139ED" w14:textId="77777777" w:rsidR="002906DC" w:rsidRPr="00E47E60" w:rsidRDefault="002906DC" w:rsidP="00E47E60">
      <w:pPr>
        <w:pStyle w:val="Heading2"/>
      </w:pPr>
      <w:bookmarkStart w:id="1" w:name="_Toc169698013"/>
      <w:bookmarkStart w:id="2" w:name="_Toc179804265"/>
      <w:r w:rsidRPr="00E47E60">
        <w:t>Research</w:t>
      </w:r>
      <w:bookmarkEnd w:id="1"/>
      <w:bookmarkEnd w:id="2"/>
    </w:p>
    <w:p w14:paraId="45E7E30F" w14:textId="7875E6C8" w:rsidR="002906DC" w:rsidRDefault="002906DC" w:rsidP="002906DC">
      <w:pPr>
        <w:pStyle w:val="ListNumber"/>
        <w:numPr>
          <w:ilvl w:val="0"/>
          <w:numId w:val="9"/>
        </w:numPr>
        <w:suppressAutoHyphens w:val="0"/>
        <w:spacing w:before="100" w:after="100"/>
      </w:pPr>
      <w:r>
        <w:t xml:space="preserve">State the </w:t>
      </w:r>
      <w:r w:rsidR="00831E6C">
        <w:t>sub</w:t>
      </w:r>
      <w:r w:rsidR="00EB669E">
        <w:t>-</w:t>
      </w:r>
      <w:r>
        <w:t xml:space="preserve">topic </w:t>
      </w:r>
      <w:r w:rsidR="003C4485">
        <w:t xml:space="preserve">that </w:t>
      </w:r>
      <w:r>
        <w:t>you were assigned to research.</w:t>
      </w:r>
    </w:p>
    <w:tbl>
      <w:tblPr>
        <w:tblStyle w:val="TableGrid"/>
        <w:tblW w:w="0" w:type="auto"/>
        <w:tblLook w:val="04A0" w:firstRow="1" w:lastRow="0" w:firstColumn="1" w:lastColumn="0" w:noHBand="0" w:noVBand="1"/>
        <w:tblDescription w:val="Blank space for student to fill in. "/>
      </w:tblPr>
      <w:tblGrid>
        <w:gridCol w:w="9628"/>
      </w:tblGrid>
      <w:tr w:rsidR="001360A3" w14:paraId="478FBDAA" w14:textId="77777777" w:rsidTr="001360A3">
        <w:tc>
          <w:tcPr>
            <w:tcW w:w="9628" w:type="dxa"/>
          </w:tcPr>
          <w:p w14:paraId="215EA940" w14:textId="77777777" w:rsidR="001360A3" w:rsidRDefault="001360A3" w:rsidP="001360A3">
            <w:pPr>
              <w:pStyle w:val="ListNumber"/>
              <w:numPr>
                <w:ilvl w:val="0"/>
                <w:numId w:val="0"/>
              </w:numPr>
              <w:suppressAutoHyphens w:val="0"/>
              <w:spacing w:before="100" w:after="100"/>
            </w:pPr>
          </w:p>
        </w:tc>
      </w:tr>
    </w:tbl>
    <w:p w14:paraId="1E544B2E" w14:textId="0C6EB5AC" w:rsidR="002906DC" w:rsidRDefault="002906DC" w:rsidP="002906DC">
      <w:pPr>
        <w:pStyle w:val="ListNumber"/>
        <w:numPr>
          <w:ilvl w:val="0"/>
          <w:numId w:val="9"/>
        </w:numPr>
        <w:suppressAutoHyphens w:val="0"/>
        <w:spacing w:before="100" w:after="100"/>
      </w:pPr>
      <w:r>
        <w:t xml:space="preserve">Identify </w:t>
      </w:r>
      <w:r w:rsidR="00701ECE">
        <w:t>the source</w:t>
      </w:r>
      <w:r w:rsidR="003C4485">
        <w:t>s</w:t>
      </w:r>
      <w:r w:rsidR="00701ECE">
        <w:t xml:space="preserve"> of your data and the type of data they contain.</w:t>
      </w:r>
    </w:p>
    <w:tbl>
      <w:tblPr>
        <w:tblStyle w:val="TableGrid"/>
        <w:tblW w:w="0" w:type="auto"/>
        <w:tblLook w:val="04A0" w:firstRow="1" w:lastRow="0" w:firstColumn="1" w:lastColumn="0" w:noHBand="0" w:noVBand="1"/>
        <w:tblDescription w:val="Blank space for student to fill in. "/>
      </w:tblPr>
      <w:tblGrid>
        <w:gridCol w:w="9628"/>
      </w:tblGrid>
      <w:tr w:rsidR="001360A3" w14:paraId="7CC81912" w14:textId="77777777" w:rsidTr="001360A3">
        <w:trPr>
          <w:trHeight w:val="2835"/>
        </w:trPr>
        <w:tc>
          <w:tcPr>
            <w:tcW w:w="9628" w:type="dxa"/>
          </w:tcPr>
          <w:p w14:paraId="301A51FD" w14:textId="77777777" w:rsidR="001360A3" w:rsidRDefault="001360A3" w:rsidP="001360A3">
            <w:pPr>
              <w:pStyle w:val="ListNumber"/>
              <w:numPr>
                <w:ilvl w:val="0"/>
                <w:numId w:val="0"/>
              </w:numPr>
              <w:suppressAutoHyphens w:val="0"/>
              <w:spacing w:before="100" w:after="100"/>
            </w:pPr>
          </w:p>
        </w:tc>
      </w:tr>
    </w:tbl>
    <w:p w14:paraId="5CF67F96" w14:textId="5C775FB6" w:rsidR="002906DC" w:rsidRDefault="002906DC" w:rsidP="002906DC">
      <w:pPr>
        <w:pStyle w:val="ListNumber"/>
        <w:numPr>
          <w:ilvl w:val="0"/>
          <w:numId w:val="9"/>
        </w:numPr>
        <w:suppressAutoHyphens w:val="0"/>
        <w:spacing w:before="100" w:after="100"/>
      </w:pPr>
      <w:r>
        <w:t>Explain how the source</w:t>
      </w:r>
      <w:r w:rsidR="00E37DEA">
        <w:t>s</w:t>
      </w:r>
      <w:r>
        <w:t xml:space="preserve"> of your data sets could impact your </w:t>
      </w:r>
      <w:r w:rsidR="006E30D4">
        <w:t>data analysis</w:t>
      </w:r>
      <w:r>
        <w:t>.</w:t>
      </w:r>
    </w:p>
    <w:tbl>
      <w:tblPr>
        <w:tblStyle w:val="TableGrid"/>
        <w:tblW w:w="0" w:type="auto"/>
        <w:tblLook w:val="04A0" w:firstRow="1" w:lastRow="0" w:firstColumn="1" w:lastColumn="0" w:noHBand="0" w:noVBand="1"/>
        <w:tblDescription w:val="Blank space for student to fill in. "/>
      </w:tblPr>
      <w:tblGrid>
        <w:gridCol w:w="9628"/>
      </w:tblGrid>
      <w:tr w:rsidR="001360A3" w14:paraId="0C8730BB" w14:textId="77777777" w:rsidTr="001360A3">
        <w:trPr>
          <w:trHeight w:val="6236"/>
        </w:trPr>
        <w:tc>
          <w:tcPr>
            <w:tcW w:w="9628" w:type="dxa"/>
          </w:tcPr>
          <w:p w14:paraId="0BCB2CED" w14:textId="77777777" w:rsidR="001360A3" w:rsidRDefault="001360A3" w:rsidP="001360A3">
            <w:pPr>
              <w:pStyle w:val="ListNumber"/>
              <w:numPr>
                <w:ilvl w:val="0"/>
                <w:numId w:val="0"/>
              </w:numPr>
              <w:suppressAutoHyphens w:val="0"/>
              <w:spacing w:before="100" w:after="100"/>
            </w:pPr>
          </w:p>
        </w:tc>
      </w:tr>
    </w:tbl>
    <w:p w14:paraId="2AC2EFA8" w14:textId="77777777" w:rsidR="001360A3" w:rsidRDefault="001360A3">
      <w:pPr>
        <w:suppressAutoHyphens w:val="0"/>
        <w:spacing w:before="0" w:after="160" w:line="259" w:lineRule="auto"/>
      </w:pPr>
      <w:r>
        <w:br w:type="page"/>
      </w:r>
    </w:p>
    <w:p w14:paraId="735CDF63" w14:textId="77777777" w:rsidR="002906DC" w:rsidRDefault="002906DC" w:rsidP="00E47E60">
      <w:pPr>
        <w:pStyle w:val="Heading2"/>
      </w:pPr>
      <w:bookmarkStart w:id="3" w:name="_Toc169698014"/>
      <w:bookmarkStart w:id="4" w:name="_Toc179804266"/>
      <w:r>
        <w:lastRenderedPageBreak/>
        <w:t>Data visualisation and analysis</w:t>
      </w:r>
      <w:bookmarkEnd w:id="3"/>
      <w:bookmarkEnd w:id="4"/>
    </w:p>
    <w:p w14:paraId="4CF2D7F8" w14:textId="77777777" w:rsidR="002906DC" w:rsidRDefault="002906DC" w:rsidP="002906DC">
      <w:pPr>
        <w:pStyle w:val="ListNumber"/>
        <w:numPr>
          <w:ilvl w:val="0"/>
          <w:numId w:val="10"/>
        </w:numPr>
        <w:suppressAutoHyphens w:val="0"/>
        <w:spacing w:before="100" w:after="100"/>
      </w:pPr>
      <w:r>
        <w:t>Display your data sets graphically.</w:t>
      </w:r>
    </w:p>
    <w:tbl>
      <w:tblPr>
        <w:tblStyle w:val="TableGrid"/>
        <w:tblW w:w="0" w:type="auto"/>
        <w:tblLook w:val="04A0" w:firstRow="1" w:lastRow="0" w:firstColumn="1" w:lastColumn="0" w:noHBand="0" w:noVBand="1"/>
        <w:tblDescription w:val="Blank space for student to fill in. "/>
      </w:tblPr>
      <w:tblGrid>
        <w:gridCol w:w="9628"/>
      </w:tblGrid>
      <w:tr w:rsidR="001360A3" w14:paraId="74A81AC7" w14:textId="77777777" w:rsidTr="001360A3">
        <w:trPr>
          <w:trHeight w:val="6803"/>
        </w:trPr>
        <w:tc>
          <w:tcPr>
            <w:tcW w:w="9628" w:type="dxa"/>
          </w:tcPr>
          <w:p w14:paraId="4FEA9021" w14:textId="77777777" w:rsidR="001360A3" w:rsidRDefault="001360A3" w:rsidP="001360A3">
            <w:pPr>
              <w:pStyle w:val="ListNumber"/>
              <w:numPr>
                <w:ilvl w:val="0"/>
                <w:numId w:val="0"/>
              </w:numPr>
              <w:suppressAutoHyphens w:val="0"/>
              <w:spacing w:before="100" w:after="100"/>
            </w:pPr>
          </w:p>
        </w:tc>
      </w:tr>
    </w:tbl>
    <w:p w14:paraId="04871042" w14:textId="38360204" w:rsidR="002906DC" w:rsidRDefault="002906DC" w:rsidP="002906DC">
      <w:pPr>
        <w:pStyle w:val="ListNumber"/>
        <w:numPr>
          <w:ilvl w:val="0"/>
          <w:numId w:val="10"/>
        </w:numPr>
        <w:suppressAutoHyphens w:val="0"/>
        <w:spacing w:before="100" w:after="100"/>
      </w:pPr>
      <w:r>
        <w:t xml:space="preserve">Why did you choose to represent </w:t>
      </w:r>
      <w:r w:rsidR="00045AB8">
        <w:t xml:space="preserve">the </w:t>
      </w:r>
      <w:r>
        <w:t>data using these data displays?</w:t>
      </w:r>
    </w:p>
    <w:tbl>
      <w:tblPr>
        <w:tblStyle w:val="TableGrid"/>
        <w:tblW w:w="0" w:type="auto"/>
        <w:tblLook w:val="04A0" w:firstRow="1" w:lastRow="0" w:firstColumn="1" w:lastColumn="0" w:noHBand="0" w:noVBand="1"/>
        <w:tblDescription w:val="Blank space for student to fill in. "/>
      </w:tblPr>
      <w:tblGrid>
        <w:gridCol w:w="9628"/>
      </w:tblGrid>
      <w:tr w:rsidR="001360A3" w14:paraId="5D5F8444" w14:textId="77777777" w:rsidTr="001360A3">
        <w:trPr>
          <w:trHeight w:val="5102"/>
        </w:trPr>
        <w:tc>
          <w:tcPr>
            <w:tcW w:w="9628" w:type="dxa"/>
          </w:tcPr>
          <w:p w14:paraId="3D2F5F15" w14:textId="77777777" w:rsidR="001360A3" w:rsidRDefault="001360A3" w:rsidP="001360A3">
            <w:pPr>
              <w:pStyle w:val="ListNumber"/>
              <w:numPr>
                <w:ilvl w:val="0"/>
                <w:numId w:val="0"/>
              </w:numPr>
              <w:suppressAutoHyphens w:val="0"/>
              <w:spacing w:before="100" w:after="100"/>
            </w:pPr>
          </w:p>
        </w:tc>
      </w:tr>
    </w:tbl>
    <w:p w14:paraId="0416C21B" w14:textId="6EBE13A5" w:rsidR="002906DC" w:rsidRDefault="002906DC" w:rsidP="002906DC">
      <w:pPr>
        <w:pStyle w:val="ListNumber"/>
        <w:numPr>
          <w:ilvl w:val="0"/>
          <w:numId w:val="10"/>
        </w:numPr>
        <w:suppressAutoHyphens w:val="0"/>
        <w:spacing w:before="100" w:after="100"/>
      </w:pPr>
      <w:r>
        <w:lastRenderedPageBreak/>
        <w:t xml:space="preserve">What information can </w:t>
      </w:r>
      <w:r w:rsidR="008625E8">
        <w:t>you</w:t>
      </w:r>
      <w:r>
        <w:t xml:space="preserve"> conclude from the </w:t>
      </w:r>
      <w:r w:rsidR="006E7C36">
        <w:t>data displays</w:t>
      </w:r>
      <w:r>
        <w:t xml:space="preserve">? How do they help </w:t>
      </w:r>
      <w:r w:rsidR="008625E8">
        <w:t>you</w:t>
      </w:r>
      <w:r>
        <w:t xml:space="preserve"> </w:t>
      </w:r>
      <w:r w:rsidR="006E7C36">
        <w:t xml:space="preserve">to </w:t>
      </w:r>
      <w:r w:rsidR="0087440E">
        <w:t>address</w:t>
      </w:r>
      <w:r>
        <w:t xml:space="preserve"> the driving question?</w:t>
      </w:r>
    </w:p>
    <w:tbl>
      <w:tblPr>
        <w:tblStyle w:val="TableGrid"/>
        <w:tblW w:w="0" w:type="auto"/>
        <w:tblLook w:val="04A0" w:firstRow="1" w:lastRow="0" w:firstColumn="1" w:lastColumn="0" w:noHBand="0" w:noVBand="1"/>
        <w:tblDescription w:val="Blank space for student to fill in. "/>
      </w:tblPr>
      <w:tblGrid>
        <w:gridCol w:w="9628"/>
      </w:tblGrid>
      <w:tr w:rsidR="001360A3" w14:paraId="64B8F55F" w14:textId="77777777" w:rsidTr="001360A3">
        <w:trPr>
          <w:trHeight w:val="6236"/>
        </w:trPr>
        <w:tc>
          <w:tcPr>
            <w:tcW w:w="9628" w:type="dxa"/>
          </w:tcPr>
          <w:p w14:paraId="0030A1B9" w14:textId="77777777" w:rsidR="001360A3" w:rsidRDefault="001360A3" w:rsidP="001360A3">
            <w:pPr>
              <w:pStyle w:val="ListNumber"/>
              <w:numPr>
                <w:ilvl w:val="0"/>
                <w:numId w:val="0"/>
              </w:numPr>
              <w:suppressAutoHyphens w:val="0"/>
              <w:spacing w:before="100" w:after="100"/>
            </w:pPr>
          </w:p>
        </w:tc>
      </w:tr>
    </w:tbl>
    <w:p w14:paraId="2E6E6DE2" w14:textId="11A045E4" w:rsidR="002906DC" w:rsidRDefault="002906DC" w:rsidP="007C7F25">
      <w:pPr>
        <w:pStyle w:val="ListNumber"/>
      </w:pPr>
      <w:r w:rsidRPr="00B8028D">
        <w:t>Conduct your statistical analysis using the best measures to represent your data. These could include distributions and measures of centre and spread.</w:t>
      </w:r>
    </w:p>
    <w:tbl>
      <w:tblPr>
        <w:tblStyle w:val="TableGrid"/>
        <w:tblW w:w="0" w:type="auto"/>
        <w:tblLook w:val="04A0" w:firstRow="1" w:lastRow="0" w:firstColumn="1" w:lastColumn="0" w:noHBand="0" w:noVBand="1"/>
        <w:tblDescription w:val="Blank space for student to fill in. "/>
      </w:tblPr>
      <w:tblGrid>
        <w:gridCol w:w="9628"/>
      </w:tblGrid>
      <w:tr w:rsidR="001360A3" w14:paraId="35C8BAF8" w14:textId="77777777" w:rsidTr="001360A3">
        <w:trPr>
          <w:trHeight w:val="5669"/>
        </w:trPr>
        <w:tc>
          <w:tcPr>
            <w:tcW w:w="9628" w:type="dxa"/>
          </w:tcPr>
          <w:p w14:paraId="2E38029B" w14:textId="77777777" w:rsidR="001360A3" w:rsidRDefault="001360A3" w:rsidP="001360A3">
            <w:pPr>
              <w:pStyle w:val="ListNumber"/>
              <w:numPr>
                <w:ilvl w:val="0"/>
                <w:numId w:val="0"/>
              </w:numPr>
            </w:pPr>
          </w:p>
        </w:tc>
      </w:tr>
    </w:tbl>
    <w:p w14:paraId="343BB05E" w14:textId="09561CBD" w:rsidR="002906DC" w:rsidRDefault="002906DC" w:rsidP="002906DC">
      <w:pPr>
        <w:pStyle w:val="ListNumber"/>
        <w:numPr>
          <w:ilvl w:val="0"/>
          <w:numId w:val="10"/>
        </w:numPr>
        <w:suppressAutoHyphens w:val="0"/>
        <w:spacing w:before="100" w:after="100"/>
      </w:pPr>
      <w:r>
        <w:lastRenderedPageBreak/>
        <w:t>Wh</w:t>
      </w:r>
      <w:r w:rsidR="00134ADB">
        <w:t>ich</w:t>
      </w:r>
      <w:r>
        <w:t xml:space="preserve"> measure</w:t>
      </w:r>
      <w:r w:rsidR="00134ADB">
        <w:t>s</w:t>
      </w:r>
      <w:r>
        <w:t xml:space="preserve"> did you choose to use to represent the data? Why?</w:t>
      </w:r>
    </w:p>
    <w:tbl>
      <w:tblPr>
        <w:tblStyle w:val="TableGrid"/>
        <w:tblW w:w="0" w:type="auto"/>
        <w:tblLook w:val="04A0" w:firstRow="1" w:lastRow="0" w:firstColumn="1" w:lastColumn="0" w:noHBand="0" w:noVBand="1"/>
        <w:tblDescription w:val="Blank space for student to fill in. "/>
      </w:tblPr>
      <w:tblGrid>
        <w:gridCol w:w="9628"/>
      </w:tblGrid>
      <w:tr w:rsidR="001360A3" w14:paraId="30F093AC" w14:textId="77777777" w:rsidTr="00714ED4">
        <w:trPr>
          <w:trHeight w:val="3969"/>
        </w:trPr>
        <w:tc>
          <w:tcPr>
            <w:tcW w:w="9628" w:type="dxa"/>
          </w:tcPr>
          <w:p w14:paraId="028B3157" w14:textId="77777777" w:rsidR="001360A3" w:rsidRDefault="001360A3" w:rsidP="001360A3">
            <w:pPr>
              <w:pStyle w:val="ListNumber"/>
              <w:numPr>
                <w:ilvl w:val="0"/>
                <w:numId w:val="0"/>
              </w:numPr>
              <w:suppressAutoHyphens w:val="0"/>
              <w:spacing w:before="100" w:after="100"/>
            </w:pPr>
          </w:p>
        </w:tc>
      </w:tr>
    </w:tbl>
    <w:p w14:paraId="56290B41" w14:textId="535DE31A" w:rsidR="002906DC" w:rsidRDefault="002906DC" w:rsidP="002906DC">
      <w:pPr>
        <w:pStyle w:val="ListNumber"/>
        <w:numPr>
          <w:ilvl w:val="0"/>
          <w:numId w:val="10"/>
        </w:numPr>
        <w:suppressAutoHyphens w:val="0"/>
        <w:spacing w:before="100" w:after="100"/>
      </w:pPr>
      <w:r>
        <w:t>How do the measure</w:t>
      </w:r>
      <w:r w:rsidR="00C91461">
        <w:t>s</w:t>
      </w:r>
      <w:r>
        <w:t xml:space="preserve"> of centre and spread help us </w:t>
      </w:r>
      <w:r w:rsidR="0000699B">
        <w:t xml:space="preserve">to </w:t>
      </w:r>
      <w:r w:rsidR="000E1189">
        <w:t xml:space="preserve">address </w:t>
      </w:r>
      <w:r>
        <w:t>the driving question?</w:t>
      </w:r>
    </w:p>
    <w:tbl>
      <w:tblPr>
        <w:tblStyle w:val="TableGrid"/>
        <w:tblW w:w="0" w:type="auto"/>
        <w:tblLook w:val="04A0" w:firstRow="1" w:lastRow="0" w:firstColumn="1" w:lastColumn="0" w:noHBand="0" w:noVBand="1"/>
        <w:tblDescription w:val="Blank space for student to fill in. "/>
      </w:tblPr>
      <w:tblGrid>
        <w:gridCol w:w="9628"/>
      </w:tblGrid>
      <w:tr w:rsidR="001360A3" w14:paraId="30357997" w14:textId="77777777" w:rsidTr="00714ED4">
        <w:trPr>
          <w:trHeight w:val="3969"/>
        </w:trPr>
        <w:tc>
          <w:tcPr>
            <w:tcW w:w="9628" w:type="dxa"/>
          </w:tcPr>
          <w:p w14:paraId="49CF4922" w14:textId="77777777" w:rsidR="001360A3" w:rsidRDefault="001360A3" w:rsidP="001360A3">
            <w:pPr>
              <w:pStyle w:val="ListNumber"/>
              <w:numPr>
                <w:ilvl w:val="0"/>
                <w:numId w:val="0"/>
              </w:numPr>
              <w:suppressAutoHyphens w:val="0"/>
              <w:spacing w:before="100" w:after="100"/>
            </w:pPr>
          </w:p>
        </w:tc>
      </w:tr>
    </w:tbl>
    <w:p w14:paraId="780C8FAB" w14:textId="4799404C" w:rsidR="002906DC" w:rsidRDefault="002906DC" w:rsidP="002906DC">
      <w:pPr>
        <w:pStyle w:val="ListNumber"/>
        <w:numPr>
          <w:ilvl w:val="0"/>
          <w:numId w:val="10"/>
        </w:numPr>
        <w:suppressAutoHyphens w:val="0"/>
        <w:spacing w:before="100" w:after="100"/>
      </w:pPr>
      <w:r>
        <w:t>What conclusions can you draw from your data, data displays and analysis?</w:t>
      </w:r>
    </w:p>
    <w:tbl>
      <w:tblPr>
        <w:tblStyle w:val="TableGrid"/>
        <w:tblW w:w="0" w:type="auto"/>
        <w:tblLook w:val="04A0" w:firstRow="1" w:lastRow="0" w:firstColumn="1" w:lastColumn="0" w:noHBand="0" w:noVBand="1"/>
        <w:tblDescription w:val="Blank space for student to fill in. "/>
      </w:tblPr>
      <w:tblGrid>
        <w:gridCol w:w="9628"/>
      </w:tblGrid>
      <w:tr w:rsidR="00714ED4" w14:paraId="69B735CA" w14:textId="77777777" w:rsidTr="00714ED4">
        <w:trPr>
          <w:trHeight w:val="3969"/>
        </w:trPr>
        <w:tc>
          <w:tcPr>
            <w:tcW w:w="9628" w:type="dxa"/>
          </w:tcPr>
          <w:p w14:paraId="4D62FE00" w14:textId="77777777" w:rsidR="00714ED4" w:rsidRDefault="00714ED4" w:rsidP="00714ED4">
            <w:pPr>
              <w:pStyle w:val="ListNumber"/>
              <w:numPr>
                <w:ilvl w:val="0"/>
                <w:numId w:val="0"/>
              </w:numPr>
              <w:suppressAutoHyphens w:val="0"/>
              <w:spacing w:before="100" w:after="100"/>
            </w:pPr>
          </w:p>
        </w:tc>
      </w:tr>
    </w:tbl>
    <w:p w14:paraId="6ADB908B" w14:textId="77777777" w:rsidR="00714ED4" w:rsidRDefault="00714ED4">
      <w:pPr>
        <w:suppressAutoHyphens w:val="0"/>
        <w:spacing w:before="0" w:after="160" w:line="259" w:lineRule="auto"/>
      </w:pPr>
      <w:r>
        <w:br w:type="page"/>
      </w:r>
    </w:p>
    <w:p w14:paraId="6A344136" w14:textId="77777777" w:rsidR="002906DC" w:rsidRDefault="002906DC" w:rsidP="00E47E60">
      <w:pPr>
        <w:pStyle w:val="Heading2"/>
      </w:pPr>
      <w:bookmarkStart w:id="5" w:name="_Toc169698015"/>
      <w:bookmarkStart w:id="6" w:name="_Toc179804267"/>
      <w:r>
        <w:lastRenderedPageBreak/>
        <w:t>Bringing it all together</w:t>
      </w:r>
      <w:bookmarkEnd w:id="5"/>
      <w:bookmarkEnd w:id="6"/>
    </w:p>
    <w:p w14:paraId="71B69C77" w14:textId="5DEAF848" w:rsidR="002906DC" w:rsidRDefault="002906DC" w:rsidP="002906DC">
      <w:r>
        <w:t>Return to your group and discuss</w:t>
      </w:r>
      <w:r w:rsidR="00B40AB3">
        <w:t xml:space="preserve"> your findings</w:t>
      </w:r>
      <w:r>
        <w:t xml:space="preserve">, then answer the following questions </w:t>
      </w:r>
      <w:r w:rsidRPr="13CFB233">
        <w:rPr>
          <w:rFonts w:eastAsia="Arial"/>
        </w:rPr>
        <w:t>(only one person in each group needs to submit this section)</w:t>
      </w:r>
      <w:r w:rsidR="007C7F25">
        <w:t>.</w:t>
      </w:r>
    </w:p>
    <w:p w14:paraId="059D77FF" w14:textId="4EE4D993" w:rsidR="002906DC" w:rsidRDefault="002906DC" w:rsidP="007C7F25">
      <w:pPr>
        <w:pStyle w:val="ListNumber"/>
        <w:numPr>
          <w:ilvl w:val="0"/>
          <w:numId w:val="18"/>
        </w:numPr>
      </w:pPr>
      <w:r>
        <w:t>Group member</w:t>
      </w:r>
      <w:r w:rsidR="00BC6F9E">
        <w:t>’</w:t>
      </w:r>
      <w:r>
        <w:t>s names and topics:</w:t>
      </w:r>
    </w:p>
    <w:tbl>
      <w:tblPr>
        <w:tblStyle w:val="TableGrid"/>
        <w:tblW w:w="0" w:type="auto"/>
        <w:tblLook w:val="04A0" w:firstRow="1" w:lastRow="0" w:firstColumn="1" w:lastColumn="0" w:noHBand="0" w:noVBand="1"/>
        <w:tblDescription w:val="Blank space for student to fill in. "/>
      </w:tblPr>
      <w:tblGrid>
        <w:gridCol w:w="9628"/>
      </w:tblGrid>
      <w:tr w:rsidR="00714ED4" w14:paraId="6629A43C" w14:textId="77777777" w:rsidTr="00714ED4">
        <w:trPr>
          <w:trHeight w:val="1701"/>
        </w:trPr>
        <w:tc>
          <w:tcPr>
            <w:tcW w:w="9628" w:type="dxa"/>
          </w:tcPr>
          <w:p w14:paraId="65757580" w14:textId="77777777" w:rsidR="00714ED4" w:rsidRDefault="00714ED4" w:rsidP="00714ED4">
            <w:pPr>
              <w:pStyle w:val="ListNumber"/>
              <w:numPr>
                <w:ilvl w:val="0"/>
                <w:numId w:val="0"/>
              </w:numPr>
            </w:pPr>
          </w:p>
        </w:tc>
      </w:tr>
    </w:tbl>
    <w:p w14:paraId="7D39E1AB" w14:textId="7FC1ACA5" w:rsidR="002906DC" w:rsidRDefault="002906DC" w:rsidP="007C7F25">
      <w:pPr>
        <w:pStyle w:val="ListNumber"/>
        <w:numPr>
          <w:ilvl w:val="0"/>
          <w:numId w:val="18"/>
        </w:numPr>
      </w:pPr>
      <w:r w:rsidRPr="007C7F25">
        <w:t xml:space="preserve">What position did you take </w:t>
      </w:r>
      <w:r w:rsidR="003E5DF9">
        <w:t>on</w:t>
      </w:r>
      <w:r w:rsidRPr="007C7F25">
        <w:t xml:space="preserve"> the driving question How healthy are young people? Support with evidence from your group’s analysis.</w:t>
      </w:r>
    </w:p>
    <w:tbl>
      <w:tblPr>
        <w:tblStyle w:val="TableGrid"/>
        <w:tblW w:w="0" w:type="auto"/>
        <w:tblLook w:val="04A0" w:firstRow="1" w:lastRow="0" w:firstColumn="1" w:lastColumn="0" w:noHBand="0" w:noVBand="1"/>
        <w:tblDescription w:val="Blank space for student to fill in. "/>
      </w:tblPr>
      <w:tblGrid>
        <w:gridCol w:w="9628"/>
      </w:tblGrid>
      <w:tr w:rsidR="00714ED4" w14:paraId="7466EC08" w14:textId="77777777" w:rsidTr="00714ED4">
        <w:trPr>
          <w:trHeight w:val="8504"/>
        </w:trPr>
        <w:tc>
          <w:tcPr>
            <w:tcW w:w="9628" w:type="dxa"/>
          </w:tcPr>
          <w:p w14:paraId="5F73B155" w14:textId="77777777" w:rsidR="00714ED4" w:rsidRDefault="00714ED4" w:rsidP="00714ED4">
            <w:pPr>
              <w:pStyle w:val="ListNumber"/>
              <w:numPr>
                <w:ilvl w:val="0"/>
                <w:numId w:val="0"/>
              </w:numPr>
            </w:pPr>
          </w:p>
        </w:tc>
      </w:tr>
    </w:tbl>
    <w:p w14:paraId="5D6FF4A8" w14:textId="77777777" w:rsidR="002906DC" w:rsidRDefault="002906DC">
      <w:pPr>
        <w:suppressAutoHyphens w:val="0"/>
        <w:spacing w:before="0" w:after="160" w:line="259" w:lineRule="auto"/>
      </w:pPr>
      <w:r>
        <w:br w:type="page"/>
      </w:r>
    </w:p>
    <w:p w14:paraId="452C01DD" w14:textId="6C558A73" w:rsidR="00C73125" w:rsidRDefault="00C73125" w:rsidP="007C7F25">
      <w:pPr>
        <w:pStyle w:val="ListNumber"/>
        <w:numPr>
          <w:ilvl w:val="0"/>
          <w:numId w:val="18"/>
        </w:numPr>
        <w:suppressAutoHyphens w:val="0"/>
        <w:spacing w:before="100" w:after="100"/>
      </w:pPr>
      <w:r>
        <w:lastRenderedPageBreak/>
        <w:t xml:space="preserve">Does </w:t>
      </w:r>
      <w:r w:rsidR="003E5DF9">
        <w:t xml:space="preserve">each </w:t>
      </w:r>
      <w:r w:rsidR="00D41556">
        <w:t>team member’s individual</w:t>
      </w:r>
      <w:r>
        <w:t xml:space="preserve"> data complement or contradict</w:t>
      </w:r>
      <w:r w:rsidR="00924033">
        <w:t xml:space="preserve"> </w:t>
      </w:r>
      <w:r w:rsidR="00D41556">
        <w:t xml:space="preserve">that of the other </w:t>
      </w:r>
      <w:r w:rsidR="003E5DF9">
        <w:t xml:space="preserve">group </w:t>
      </w:r>
      <w:r w:rsidR="00D41556">
        <w:t>members</w:t>
      </w:r>
      <w:r>
        <w:t>? How</w:t>
      </w:r>
      <w:r w:rsidR="004A58B9">
        <w:t xml:space="preserve"> or </w:t>
      </w:r>
      <w:r>
        <w:t>why do you think this?</w:t>
      </w:r>
    </w:p>
    <w:tbl>
      <w:tblPr>
        <w:tblStyle w:val="TableGrid"/>
        <w:tblW w:w="0" w:type="auto"/>
        <w:tblLook w:val="04A0" w:firstRow="1" w:lastRow="0" w:firstColumn="1" w:lastColumn="0" w:noHBand="0" w:noVBand="1"/>
        <w:tblDescription w:val="Blank space for student to fill in. "/>
      </w:tblPr>
      <w:tblGrid>
        <w:gridCol w:w="9628"/>
      </w:tblGrid>
      <w:tr w:rsidR="00714ED4" w14:paraId="45AEE395" w14:textId="77777777" w:rsidTr="00714ED4">
        <w:trPr>
          <w:trHeight w:val="6236"/>
        </w:trPr>
        <w:tc>
          <w:tcPr>
            <w:tcW w:w="9628" w:type="dxa"/>
          </w:tcPr>
          <w:p w14:paraId="4A053AD5" w14:textId="77777777" w:rsidR="00714ED4" w:rsidRDefault="00714ED4" w:rsidP="00714ED4">
            <w:pPr>
              <w:pStyle w:val="ListNumber"/>
              <w:numPr>
                <w:ilvl w:val="0"/>
                <w:numId w:val="0"/>
              </w:numPr>
              <w:suppressAutoHyphens w:val="0"/>
              <w:spacing w:before="100" w:after="100"/>
            </w:pPr>
          </w:p>
        </w:tc>
      </w:tr>
    </w:tbl>
    <w:p w14:paraId="5A4E6DBE" w14:textId="3F21B1D4" w:rsidR="00C73125" w:rsidRDefault="00C73125" w:rsidP="00C73125">
      <w:pPr>
        <w:pStyle w:val="ListNumber"/>
      </w:pPr>
      <w:r>
        <w:t xml:space="preserve">How reliable is your </w:t>
      </w:r>
      <w:r w:rsidR="00924033">
        <w:t xml:space="preserve">group </w:t>
      </w:r>
      <w:r>
        <w:t>presentation to help inform future decisions?</w:t>
      </w:r>
    </w:p>
    <w:tbl>
      <w:tblPr>
        <w:tblStyle w:val="TableGrid"/>
        <w:tblW w:w="0" w:type="auto"/>
        <w:tblLook w:val="04A0" w:firstRow="1" w:lastRow="0" w:firstColumn="1" w:lastColumn="0" w:noHBand="0" w:noVBand="1"/>
        <w:tblDescription w:val="Blank space for student to fill in. "/>
      </w:tblPr>
      <w:tblGrid>
        <w:gridCol w:w="9628"/>
      </w:tblGrid>
      <w:tr w:rsidR="00714ED4" w14:paraId="1553535C" w14:textId="77777777" w:rsidTr="00714ED4">
        <w:trPr>
          <w:trHeight w:val="5669"/>
        </w:trPr>
        <w:tc>
          <w:tcPr>
            <w:tcW w:w="9628" w:type="dxa"/>
          </w:tcPr>
          <w:p w14:paraId="65E82153" w14:textId="77777777" w:rsidR="00714ED4" w:rsidRDefault="00714ED4" w:rsidP="00714ED4">
            <w:pPr>
              <w:pStyle w:val="ListNumber"/>
              <w:numPr>
                <w:ilvl w:val="0"/>
                <w:numId w:val="0"/>
              </w:numPr>
            </w:pPr>
          </w:p>
        </w:tc>
      </w:tr>
    </w:tbl>
    <w:p w14:paraId="133647D1" w14:textId="7AE242CB" w:rsidR="002906DC" w:rsidRDefault="002906DC" w:rsidP="004A58B9">
      <w:pPr>
        <w:pStyle w:val="ListNumber"/>
      </w:pPr>
      <w:r w:rsidRPr="00CF2810">
        <w:lastRenderedPageBreak/>
        <w:t>How have you used data collection, data analysis and data displays to persuade your audience</w:t>
      </w:r>
      <w:r w:rsidR="00A7741D">
        <w:t xml:space="preserve"> of your position </w:t>
      </w:r>
      <w:r w:rsidR="003E5DF9">
        <w:t xml:space="preserve">in relation </w:t>
      </w:r>
      <w:r w:rsidR="00A7741D">
        <w:t>to the driving question</w:t>
      </w:r>
      <w:r w:rsidRPr="00CF2810">
        <w:t>?</w:t>
      </w:r>
    </w:p>
    <w:tbl>
      <w:tblPr>
        <w:tblStyle w:val="TableGrid"/>
        <w:tblW w:w="0" w:type="auto"/>
        <w:tblLook w:val="04A0" w:firstRow="1" w:lastRow="0" w:firstColumn="1" w:lastColumn="0" w:noHBand="0" w:noVBand="1"/>
        <w:tblDescription w:val="Blank space for student to fill in. "/>
      </w:tblPr>
      <w:tblGrid>
        <w:gridCol w:w="9628"/>
      </w:tblGrid>
      <w:tr w:rsidR="00714ED4" w14:paraId="6A487872" w14:textId="77777777" w:rsidTr="00714ED4">
        <w:trPr>
          <w:trHeight w:val="5669"/>
        </w:trPr>
        <w:tc>
          <w:tcPr>
            <w:tcW w:w="9628" w:type="dxa"/>
          </w:tcPr>
          <w:p w14:paraId="15BC0CEC" w14:textId="77777777" w:rsidR="00714ED4" w:rsidRDefault="00714ED4" w:rsidP="00714ED4">
            <w:pPr>
              <w:pStyle w:val="ListNumber"/>
              <w:numPr>
                <w:ilvl w:val="0"/>
                <w:numId w:val="0"/>
              </w:numPr>
            </w:pPr>
          </w:p>
        </w:tc>
      </w:tr>
    </w:tbl>
    <w:p w14:paraId="15CAFD8C" w14:textId="06A2B4A2" w:rsidR="00924033" w:rsidRDefault="00525485" w:rsidP="00525485">
      <w:pPr>
        <w:pStyle w:val="ListNumber"/>
        <w:numPr>
          <w:ilvl w:val="0"/>
          <w:numId w:val="9"/>
        </w:numPr>
      </w:pPr>
      <w:r>
        <w:t xml:space="preserve">What could your group modify in </w:t>
      </w:r>
      <w:r w:rsidR="003E5DF9">
        <w:t xml:space="preserve">your </w:t>
      </w:r>
      <w:r>
        <w:t xml:space="preserve">data collection, data analysis or data displays to strengthen </w:t>
      </w:r>
      <w:r w:rsidR="006603B5">
        <w:t>your response to the driving question?</w:t>
      </w:r>
    </w:p>
    <w:tbl>
      <w:tblPr>
        <w:tblStyle w:val="TableGrid"/>
        <w:tblW w:w="0" w:type="auto"/>
        <w:tblLook w:val="04A0" w:firstRow="1" w:lastRow="0" w:firstColumn="1" w:lastColumn="0" w:noHBand="0" w:noVBand="1"/>
        <w:tblDescription w:val="Blank space for student to fill in. "/>
      </w:tblPr>
      <w:tblGrid>
        <w:gridCol w:w="9628"/>
      </w:tblGrid>
      <w:tr w:rsidR="00714ED4" w14:paraId="775305E3" w14:textId="77777777" w:rsidTr="00714ED4">
        <w:trPr>
          <w:trHeight w:val="5669"/>
        </w:trPr>
        <w:tc>
          <w:tcPr>
            <w:tcW w:w="9628" w:type="dxa"/>
          </w:tcPr>
          <w:p w14:paraId="549871CF" w14:textId="77777777" w:rsidR="00714ED4" w:rsidRDefault="00714ED4" w:rsidP="00714ED4">
            <w:pPr>
              <w:pStyle w:val="ListNumber"/>
              <w:numPr>
                <w:ilvl w:val="0"/>
                <w:numId w:val="0"/>
              </w:numPr>
            </w:pPr>
          </w:p>
        </w:tc>
      </w:tr>
    </w:tbl>
    <w:p w14:paraId="3C0F0557" w14:textId="77777777" w:rsidR="00055A10" w:rsidRDefault="00F12D5C" w:rsidP="00F12D5C">
      <w:pPr>
        <w:sectPr w:rsidR="00055A10" w:rsidSect="00657ABC">
          <w:headerReference w:type="default" r:id="rId7"/>
          <w:footerReference w:type="even" r:id="rId8"/>
          <w:footerReference w:type="default" r:id="rId9"/>
          <w:headerReference w:type="first" r:id="rId10"/>
          <w:footerReference w:type="first" r:id="rId11"/>
          <w:pgSz w:w="11906" w:h="16838"/>
          <w:pgMar w:top="1134" w:right="1134" w:bottom="1134" w:left="1134" w:header="709" w:footer="709" w:gutter="0"/>
          <w:pgNumType w:start="0"/>
          <w:cols w:space="708"/>
          <w:titlePg/>
          <w:docGrid w:linePitch="360"/>
        </w:sectPr>
      </w:pPr>
      <w:r>
        <w:br w:type="page"/>
      </w:r>
    </w:p>
    <w:p w14:paraId="79A4A48B" w14:textId="3C2E86EB" w:rsidR="00075DDD" w:rsidRPr="00075DDD" w:rsidRDefault="00075DDD" w:rsidP="00075DDD">
      <w:pPr>
        <w:rPr>
          <w:rStyle w:val="Strong"/>
          <w:szCs w:val="22"/>
        </w:rPr>
      </w:pPr>
      <w:r w:rsidRPr="00075DDD">
        <w:rPr>
          <w:rStyle w:val="Strong"/>
          <w:szCs w:val="22"/>
        </w:rPr>
        <w:lastRenderedPageBreak/>
        <w:t>© State of New South Wales (Department of Education), 202</w:t>
      </w:r>
      <w:r w:rsidR="00E47E60">
        <w:rPr>
          <w:rStyle w:val="Strong"/>
          <w:szCs w:val="22"/>
        </w:rPr>
        <w:t>4</w:t>
      </w:r>
    </w:p>
    <w:p w14:paraId="3C495C90" w14:textId="77777777" w:rsidR="00075DDD" w:rsidRPr="00075DDD" w:rsidRDefault="00075DDD" w:rsidP="00D5631E">
      <w:pPr>
        <w:rPr>
          <w:szCs w:val="22"/>
        </w:rPr>
      </w:pPr>
      <w:r w:rsidRPr="00075DDD">
        <w:rPr>
          <w:szCs w:val="22"/>
        </w:rPr>
        <w:t xml:space="preserve">The copyright material published in this resource is subject to the </w:t>
      </w:r>
      <w:r w:rsidRPr="00075DDD">
        <w:rPr>
          <w:i/>
          <w:iCs/>
          <w:szCs w:val="22"/>
        </w:rPr>
        <w:t>Copyright Act 1968</w:t>
      </w:r>
      <w:r w:rsidRPr="00075DDD">
        <w:rPr>
          <w:szCs w:val="22"/>
        </w:rPr>
        <w:t xml:space="preserve"> (</w:t>
      </w:r>
      <w:proofErr w:type="spellStart"/>
      <w:r w:rsidRPr="00075DDD">
        <w:rPr>
          <w:szCs w:val="22"/>
        </w:rPr>
        <w:t>Cth</w:t>
      </w:r>
      <w:proofErr w:type="spellEnd"/>
      <w:r w:rsidRPr="00075DDD">
        <w:rPr>
          <w:szCs w:val="22"/>
        </w:rPr>
        <w:t xml:space="preserve">) and is owned by the NSW </w:t>
      </w:r>
      <w:r w:rsidRPr="00D5631E">
        <w:t>Department</w:t>
      </w:r>
      <w:r w:rsidRPr="00075DDD">
        <w:rPr>
          <w:szCs w:val="22"/>
        </w:rPr>
        <w:t xml:space="preserve"> of Education or, where indicated, by a party other than the NSW Department of Education (third-party material).</w:t>
      </w:r>
    </w:p>
    <w:p w14:paraId="6570C1B9" w14:textId="77777777" w:rsidR="00075DDD" w:rsidRPr="00075DDD" w:rsidRDefault="00075DDD" w:rsidP="00D5631E">
      <w:pPr>
        <w:rPr>
          <w:szCs w:val="22"/>
        </w:rPr>
      </w:pPr>
      <w:r w:rsidRPr="00075DDD">
        <w:rPr>
          <w:szCs w:val="22"/>
        </w:rPr>
        <w:t xml:space="preserve">Copyright </w:t>
      </w:r>
      <w:r w:rsidRPr="00D5631E">
        <w:t>material</w:t>
      </w:r>
      <w:r w:rsidRPr="00075DDD">
        <w:rPr>
          <w:szCs w:val="22"/>
        </w:rPr>
        <w:t xml:space="preserve"> available in this resource and owned by the NSW Department of Education is licensed under a </w:t>
      </w:r>
      <w:hyperlink r:id="rId12" w:history="1">
        <w:r w:rsidRPr="00075DDD">
          <w:rPr>
            <w:rStyle w:val="Hyperlink"/>
            <w:szCs w:val="22"/>
          </w:rPr>
          <w:t>Creative Commons Attribution 4.0 International (CC BY 4.0) license</w:t>
        </w:r>
      </w:hyperlink>
      <w:r w:rsidRPr="00075DDD">
        <w:rPr>
          <w:szCs w:val="22"/>
        </w:rPr>
        <w:t>.</w:t>
      </w:r>
    </w:p>
    <w:p w14:paraId="31C4C600" w14:textId="77777777" w:rsidR="00075DDD" w:rsidRPr="00075DDD" w:rsidRDefault="00075DDD" w:rsidP="00075DDD">
      <w:pPr>
        <w:rPr>
          <w:szCs w:val="22"/>
        </w:rPr>
      </w:pPr>
      <w:r w:rsidRPr="00075DDD">
        <w:rPr>
          <w:noProof/>
          <w:szCs w:val="22"/>
        </w:rPr>
        <w:drawing>
          <wp:inline distT="0" distB="0" distL="0" distR="0" wp14:anchorId="4A711EC7" wp14:editId="151A4DD5">
            <wp:extent cx="1228725" cy="428625"/>
            <wp:effectExtent l="0" t="0" r="9525" b="9525"/>
            <wp:docPr id="32" name="Picture 32" descr="Creative Commons Attribution license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4ECC823" w14:textId="77777777" w:rsidR="00075DDD" w:rsidRPr="00075DDD" w:rsidRDefault="00075DDD" w:rsidP="00075DDD">
      <w:pPr>
        <w:rPr>
          <w:szCs w:val="22"/>
        </w:rPr>
      </w:pPr>
      <w:r w:rsidRPr="00075DDD">
        <w:rPr>
          <w:szCs w:val="22"/>
        </w:rPr>
        <w:t>This license allows you to share and adapt the material for any purpose, even commercially.</w:t>
      </w:r>
    </w:p>
    <w:p w14:paraId="6AC6D442" w14:textId="5FFAB17F" w:rsidR="00075DDD" w:rsidRPr="00075DDD" w:rsidRDefault="00075DDD" w:rsidP="00075DDD">
      <w:pPr>
        <w:rPr>
          <w:szCs w:val="22"/>
        </w:rPr>
      </w:pPr>
      <w:r w:rsidRPr="00075DDD">
        <w:rPr>
          <w:szCs w:val="22"/>
        </w:rPr>
        <w:t>Attribution should be given to © State of New South Wales (Department of Education), 202</w:t>
      </w:r>
      <w:r w:rsidR="00E47E60">
        <w:rPr>
          <w:szCs w:val="22"/>
        </w:rPr>
        <w:t>4</w:t>
      </w:r>
      <w:r w:rsidRPr="00075DDD">
        <w:rPr>
          <w:szCs w:val="22"/>
        </w:rPr>
        <w:t>.</w:t>
      </w:r>
    </w:p>
    <w:p w14:paraId="68C9D73E" w14:textId="77777777" w:rsidR="00075DDD" w:rsidRPr="00075DDD" w:rsidRDefault="00075DDD" w:rsidP="00075DDD">
      <w:pPr>
        <w:rPr>
          <w:szCs w:val="22"/>
        </w:rPr>
      </w:pPr>
      <w:r w:rsidRPr="00075DDD">
        <w:rPr>
          <w:szCs w:val="22"/>
        </w:rPr>
        <w:t>Material in this resource not available under a Creative Commons license:</w:t>
      </w:r>
    </w:p>
    <w:p w14:paraId="22535BB0" w14:textId="77777777" w:rsidR="00075DDD" w:rsidRPr="00075DDD" w:rsidRDefault="00075DDD" w:rsidP="00075DDD">
      <w:pPr>
        <w:pStyle w:val="ListBullet"/>
        <w:rPr>
          <w:szCs w:val="22"/>
        </w:rPr>
      </w:pPr>
      <w:r w:rsidRPr="00075DDD">
        <w:rPr>
          <w:szCs w:val="22"/>
        </w:rPr>
        <w:t>the NSW Department of Education logo, other logos and trademark-protected material</w:t>
      </w:r>
    </w:p>
    <w:p w14:paraId="72F13392" w14:textId="77777777" w:rsidR="00075DDD" w:rsidRPr="00075DDD" w:rsidRDefault="00075DDD" w:rsidP="00075DDD">
      <w:pPr>
        <w:pStyle w:val="ListBullet"/>
        <w:rPr>
          <w:szCs w:val="22"/>
        </w:rPr>
      </w:pPr>
      <w:r w:rsidRPr="00075DDD">
        <w:rPr>
          <w:szCs w:val="22"/>
        </w:rPr>
        <w:t>material owned by a third party that has been reproduced with permission. You will need to obtain permission from the third party to reuse its material.</w:t>
      </w:r>
    </w:p>
    <w:p w14:paraId="2A545091" w14:textId="77777777" w:rsidR="00075DDD" w:rsidRPr="00075DDD" w:rsidRDefault="00075DDD" w:rsidP="00D5631E">
      <w:pPr>
        <w:pStyle w:val="FeatureBox2"/>
        <w:rPr>
          <w:rStyle w:val="Strong"/>
          <w:szCs w:val="22"/>
        </w:rPr>
      </w:pPr>
      <w:r w:rsidRPr="00075DDD">
        <w:rPr>
          <w:rStyle w:val="Strong"/>
          <w:szCs w:val="22"/>
        </w:rPr>
        <w:t xml:space="preserve">Links to third-party </w:t>
      </w:r>
      <w:r w:rsidRPr="00D5631E">
        <w:rPr>
          <w:rStyle w:val="Strong"/>
        </w:rPr>
        <w:t>material</w:t>
      </w:r>
      <w:r w:rsidRPr="00075DDD">
        <w:rPr>
          <w:rStyle w:val="Strong"/>
          <w:szCs w:val="22"/>
        </w:rPr>
        <w:t xml:space="preserve"> and websites</w:t>
      </w:r>
    </w:p>
    <w:p w14:paraId="7FA38D22" w14:textId="77777777" w:rsidR="00075DDD" w:rsidRPr="00075DDD" w:rsidRDefault="00075DDD" w:rsidP="00D5631E">
      <w:pPr>
        <w:pStyle w:val="FeatureBox2"/>
      </w:pPr>
      <w:r w:rsidRPr="00075DDD">
        <w:t xml:space="preserve">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w:t>
      </w:r>
      <w:r w:rsidRPr="00D5631E">
        <w:t>complement</w:t>
      </w:r>
      <w:r w:rsidRPr="00075DDD">
        <w:t xml:space="preserve"> the curriculum and reflect the needs and interests of their students.</w:t>
      </w:r>
    </w:p>
    <w:p w14:paraId="443C3281" w14:textId="2D2894C9" w:rsidR="00A8296F" w:rsidRDefault="00075DDD" w:rsidP="00B55F7A">
      <w:pPr>
        <w:pStyle w:val="FeatureBox2"/>
      </w:pPr>
      <w:r w:rsidRPr="00075DDD">
        <w:t xml:space="preserve">If you use the links provided in this document to access a third-party's website, you acknowledge that the terms of use, including licence terms set out on the third-party's website apply to the use which may be made </w:t>
      </w:r>
      <w:r w:rsidRPr="00D5631E">
        <w:t>of</w:t>
      </w:r>
      <w:r w:rsidRPr="00075DDD">
        <w:t xml:space="preserve"> the materials on that third-party website or </w:t>
      </w:r>
      <w:proofErr w:type="gramStart"/>
      <w:r w:rsidRPr="00075DDD">
        <w:t>where</w:t>
      </w:r>
      <w:proofErr w:type="gramEnd"/>
      <w:r w:rsidRPr="00075DDD">
        <w:t xml:space="preserve"> permitted by the </w:t>
      </w:r>
      <w:r w:rsidRPr="00075DDD">
        <w:rPr>
          <w:i/>
          <w:iCs/>
        </w:rPr>
        <w:t>Copyright Act 1968</w:t>
      </w:r>
      <w:r w:rsidRPr="00075DDD">
        <w:t xml:space="preserve"> (</w:t>
      </w:r>
      <w:proofErr w:type="spellStart"/>
      <w:r w:rsidRPr="00075DDD">
        <w:t>Cth</w:t>
      </w:r>
      <w:proofErr w:type="spellEnd"/>
      <w:r w:rsidRPr="00075DDD">
        <w:t>). The department accepts no responsibility for content on third-party websites.</w:t>
      </w:r>
    </w:p>
    <w:sectPr w:rsidR="00A8296F" w:rsidSect="00657ABC">
      <w:headerReference w:type="first" r:id="rId14"/>
      <w:footerReference w:type="first" r:id="rId15"/>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91DC6" w14:textId="77777777" w:rsidR="00DC3B97" w:rsidRDefault="00DC3B97" w:rsidP="00E51733">
      <w:r>
        <w:separator/>
      </w:r>
    </w:p>
  </w:endnote>
  <w:endnote w:type="continuationSeparator" w:id="0">
    <w:p w14:paraId="1230CB8F" w14:textId="77777777" w:rsidR="00DC3B97" w:rsidRDefault="00DC3B97" w:rsidP="00E51733">
      <w:r>
        <w:continuationSeparator/>
      </w:r>
    </w:p>
  </w:endnote>
  <w:endnote w:type="continuationNotice" w:id="1">
    <w:p w14:paraId="4E015FF4" w14:textId="77777777" w:rsidR="00DC3B97" w:rsidRDefault="00DC3B9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ABE37" w14:textId="563D620F"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9334A9">
      <w:rPr>
        <w:noProof/>
      </w:rPr>
      <w:t>Oct-24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6118" w14:textId="0A06113C" w:rsidR="00F66145" w:rsidRPr="00CF0AB3" w:rsidRDefault="00CF0AB3" w:rsidP="00CF0AB3">
    <w:pPr>
      <w:pStyle w:val="Footer"/>
    </w:pPr>
    <w:r>
      <w:t xml:space="preserve">© NSW Department of Education, </w:t>
    </w:r>
    <w:r>
      <w:fldChar w:fldCharType="begin"/>
    </w:r>
    <w:r>
      <w:instrText xml:space="preserve"> DATE  \@ "MMM-yy"  \* MERGEFORMAT </w:instrText>
    </w:r>
    <w:r>
      <w:fldChar w:fldCharType="separate"/>
    </w:r>
    <w:r w:rsidR="009334A9">
      <w:rPr>
        <w:noProof/>
      </w:rPr>
      <w:t>Oct-24</w:t>
    </w:r>
    <w:r>
      <w:fldChar w:fldCharType="end"/>
    </w:r>
    <w:r>
      <w:ptab w:relativeTo="margin" w:alignment="right" w:leader="none"/>
    </w:r>
    <w:r>
      <w:rPr>
        <w:b/>
        <w:noProof/>
        <w:sz w:val="28"/>
        <w:szCs w:val="28"/>
      </w:rPr>
      <w:drawing>
        <wp:inline distT="0" distB="0" distL="0" distR="0" wp14:anchorId="03928F06" wp14:editId="288599EB">
          <wp:extent cx="571500" cy="190500"/>
          <wp:effectExtent l="0" t="0" r="0" b="0"/>
          <wp:docPr id="1711989611" name="Picture 171198961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0BFA" w14:textId="7684412D" w:rsidR="00D5631E" w:rsidRPr="00734023" w:rsidRDefault="00734023" w:rsidP="00734023">
    <w:pPr>
      <w:pStyle w:val="Logo"/>
      <w:jc w:val="right"/>
    </w:pPr>
    <w:r w:rsidRPr="008426B6">
      <w:rPr>
        <w:noProof/>
      </w:rPr>
      <w:drawing>
        <wp:inline distT="0" distB="0" distL="0" distR="0" wp14:anchorId="2CFF7B32" wp14:editId="60260846">
          <wp:extent cx="834442" cy="906218"/>
          <wp:effectExtent l="0" t="0" r="3810" b="8255"/>
          <wp:docPr id="1321913121" name="Graphic 132191312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C2EC" w14:textId="599FE328" w:rsidR="00075DDD" w:rsidRPr="00B55F7A" w:rsidRDefault="00075DDD" w:rsidP="00B55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1C59E" w14:textId="77777777" w:rsidR="00DC3B97" w:rsidRDefault="00DC3B97" w:rsidP="00E51733">
      <w:r>
        <w:separator/>
      </w:r>
    </w:p>
  </w:footnote>
  <w:footnote w:type="continuationSeparator" w:id="0">
    <w:p w14:paraId="7BDDEE08" w14:textId="77777777" w:rsidR="00DC3B97" w:rsidRDefault="00DC3B97" w:rsidP="00E51733">
      <w:r>
        <w:continuationSeparator/>
      </w:r>
    </w:p>
  </w:footnote>
  <w:footnote w:type="continuationNotice" w:id="1">
    <w:p w14:paraId="353D5A4E" w14:textId="77777777" w:rsidR="00DC3B97" w:rsidRDefault="00DC3B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B97C" w14:textId="64A27BF0" w:rsidR="00734023" w:rsidRDefault="00E622D9" w:rsidP="00734023">
    <w:pPr>
      <w:pStyle w:val="Documentname"/>
    </w:pPr>
    <w:r>
      <w:t xml:space="preserve">Mathematics </w:t>
    </w:r>
    <w:r w:rsidR="006F1A55" w:rsidRPr="006F1A55">
      <w:t xml:space="preserve">Stage </w:t>
    </w:r>
    <w:r w:rsidR="002906DC">
      <w:t>4</w:t>
    </w:r>
    <w:r w:rsidR="006F1A55" w:rsidRPr="006F1A55">
      <w:t xml:space="preserve"> (Year </w:t>
    </w:r>
    <w:r w:rsidR="002906DC">
      <w:t>8</w:t>
    </w:r>
    <w:r w:rsidR="006F1A55" w:rsidRPr="006F1A55">
      <w:t>) –</w:t>
    </w:r>
    <w:r w:rsidR="002906DC">
      <w:t>student logbook</w:t>
    </w:r>
    <w:r w:rsidR="006F1A55">
      <w:t xml:space="preserve"> </w:t>
    </w:r>
    <w:r w:rsidR="00E47E60">
      <w:t xml:space="preserve">– How healthy are young people? </w:t>
    </w:r>
    <w:r w:rsidR="00734023" w:rsidRPr="00D2403C">
      <w:t xml:space="preserve">| </w:t>
    </w:r>
    <w:r w:rsidR="00734023">
      <w:fldChar w:fldCharType="begin"/>
    </w:r>
    <w:r w:rsidR="00734023">
      <w:instrText xml:space="preserve"> PAGE   \* MERGEFORMAT </w:instrText>
    </w:r>
    <w:r w:rsidR="00734023">
      <w:fldChar w:fldCharType="separate"/>
    </w:r>
    <w:r w:rsidR="00734023">
      <w:t>2</w:t>
    </w:r>
    <w:r w:rsidR="0073402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F888" w14:textId="426133BD" w:rsidR="00734023" w:rsidRDefault="009334A9" w:rsidP="00734023">
    <w:pPr>
      <w:pStyle w:val="Header"/>
      <w:spacing w:after="0"/>
    </w:pPr>
    <w:r>
      <w:pict w14:anchorId="5DCC1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734023" w:rsidRPr="009D43DD">
      <w:t>NSW Department of Education</w:t>
    </w:r>
    <w:r w:rsidR="00734023"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44EC" w14:textId="75AB06BF" w:rsidR="00075DDD" w:rsidRPr="00B55F7A" w:rsidRDefault="00075DDD" w:rsidP="00B55F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4984AD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7"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4182783">
    <w:abstractNumId w:val="5"/>
  </w:num>
  <w:num w:numId="2" w16cid:durableId="1541236239">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632711819">
    <w:abstractNumId w:val="0"/>
  </w:num>
  <w:num w:numId="4" w16cid:durableId="510147974">
    <w:abstractNumId w:val="2"/>
  </w:num>
  <w:num w:numId="5" w16cid:durableId="1839542397">
    <w:abstractNumId w:val="7"/>
  </w:num>
  <w:num w:numId="6" w16cid:durableId="1884361808">
    <w:abstractNumId w:val="3"/>
  </w:num>
  <w:num w:numId="7" w16cid:durableId="1846746497">
    <w:abstractNumId w:val="1"/>
  </w:num>
  <w:num w:numId="8" w16cid:durableId="1017386674">
    <w:abstractNumId w:val="6"/>
  </w:num>
  <w:num w:numId="9" w16cid:durableId="151565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4204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4115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0922822">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3" w16cid:durableId="1112282027">
    <w:abstractNumId w:val="0"/>
  </w:num>
  <w:num w:numId="14" w16cid:durableId="955449614">
    <w:abstractNumId w:val="2"/>
  </w:num>
  <w:num w:numId="15" w16cid:durableId="755175083">
    <w:abstractNumId w:val="7"/>
  </w:num>
  <w:num w:numId="16" w16cid:durableId="1929341017">
    <w:abstractNumId w:val="7"/>
  </w:num>
  <w:num w:numId="17" w16cid:durableId="1620726121">
    <w:abstractNumId w:val="3"/>
  </w:num>
  <w:num w:numId="18" w16cid:durableId="1088160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61AC"/>
    <w:rsid w:val="0000699B"/>
    <w:rsid w:val="00007D44"/>
    <w:rsid w:val="000113E0"/>
    <w:rsid w:val="00013FF2"/>
    <w:rsid w:val="0001660E"/>
    <w:rsid w:val="000236B9"/>
    <w:rsid w:val="000252CB"/>
    <w:rsid w:val="000257FC"/>
    <w:rsid w:val="00045AB8"/>
    <w:rsid w:val="00045F0D"/>
    <w:rsid w:val="0004750C"/>
    <w:rsid w:val="00047862"/>
    <w:rsid w:val="000537F9"/>
    <w:rsid w:val="00055A10"/>
    <w:rsid w:val="00061D5B"/>
    <w:rsid w:val="000664A4"/>
    <w:rsid w:val="00074F0F"/>
    <w:rsid w:val="00074FD5"/>
    <w:rsid w:val="00075DDD"/>
    <w:rsid w:val="00085114"/>
    <w:rsid w:val="0008611F"/>
    <w:rsid w:val="00087D95"/>
    <w:rsid w:val="000A649A"/>
    <w:rsid w:val="000B379C"/>
    <w:rsid w:val="000B3E35"/>
    <w:rsid w:val="000C00C7"/>
    <w:rsid w:val="000C1B93"/>
    <w:rsid w:val="000C24ED"/>
    <w:rsid w:val="000D3BBE"/>
    <w:rsid w:val="000D6A60"/>
    <w:rsid w:val="000D7466"/>
    <w:rsid w:val="000E1189"/>
    <w:rsid w:val="000E16D9"/>
    <w:rsid w:val="00101B46"/>
    <w:rsid w:val="00112528"/>
    <w:rsid w:val="00134ADB"/>
    <w:rsid w:val="001360A3"/>
    <w:rsid w:val="0014077B"/>
    <w:rsid w:val="0014336C"/>
    <w:rsid w:val="00190C6F"/>
    <w:rsid w:val="001930F3"/>
    <w:rsid w:val="001A28D1"/>
    <w:rsid w:val="001A2D64"/>
    <w:rsid w:val="001A3009"/>
    <w:rsid w:val="001C00CF"/>
    <w:rsid w:val="001C12F7"/>
    <w:rsid w:val="001C7E97"/>
    <w:rsid w:val="001D01BA"/>
    <w:rsid w:val="001D17FD"/>
    <w:rsid w:val="001D5230"/>
    <w:rsid w:val="001E566B"/>
    <w:rsid w:val="001E79EB"/>
    <w:rsid w:val="0020322B"/>
    <w:rsid w:val="002105AD"/>
    <w:rsid w:val="00210FBB"/>
    <w:rsid w:val="00212BCA"/>
    <w:rsid w:val="00214849"/>
    <w:rsid w:val="00217ACE"/>
    <w:rsid w:val="00223E7A"/>
    <w:rsid w:val="00235FE3"/>
    <w:rsid w:val="002556DD"/>
    <w:rsid w:val="0025592F"/>
    <w:rsid w:val="0026548C"/>
    <w:rsid w:val="00266207"/>
    <w:rsid w:val="00266AF8"/>
    <w:rsid w:val="00267EA9"/>
    <w:rsid w:val="0027370C"/>
    <w:rsid w:val="002906DC"/>
    <w:rsid w:val="002A28B4"/>
    <w:rsid w:val="002A2B8C"/>
    <w:rsid w:val="002A35CF"/>
    <w:rsid w:val="002A475D"/>
    <w:rsid w:val="002B4D67"/>
    <w:rsid w:val="002B792F"/>
    <w:rsid w:val="002D79F3"/>
    <w:rsid w:val="002E73A5"/>
    <w:rsid w:val="002F1EFB"/>
    <w:rsid w:val="002F716A"/>
    <w:rsid w:val="002F7CFE"/>
    <w:rsid w:val="00303085"/>
    <w:rsid w:val="00306C23"/>
    <w:rsid w:val="00311AF4"/>
    <w:rsid w:val="0031333A"/>
    <w:rsid w:val="003147C2"/>
    <w:rsid w:val="0032119F"/>
    <w:rsid w:val="003307CD"/>
    <w:rsid w:val="00340DD9"/>
    <w:rsid w:val="003527E8"/>
    <w:rsid w:val="003565E0"/>
    <w:rsid w:val="00360E17"/>
    <w:rsid w:val="0036209C"/>
    <w:rsid w:val="00363AD6"/>
    <w:rsid w:val="00364B14"/>
    <w:rsid w:val="0037240E"/>
    <w:rsid w:val="00375FB1"/>
    <w:rsid w:val="0038321C"/>
    <w:rsid w:val="00385DFB"/>
    <w:rsid w:val="003A40D2"/>
    <w:rsid w:val="003A5190"/>
    <w:rsid w:val="003B240E"/>
    <w:rsid w:val="003B7AEC"/>
    <w:rsid w:val="003C15E1"/>
    <w:rsid w:val="003C4485"/>
    <w:rsid w:val="003D13EF"/>
    <w:rsid w:val="003D7789"/>
    <w:rsid w:val="003E0E1D"/>
    <w:rsid w:val="003E5DF9"/>
    <w:rsid w:val="003F5381"/>
    <w:rsid w:val="00401084"/>
    <w:rsid w:val="00407EF0"/>
    <w:rsid w:val="00410299"/>
    <w:rsid w:val="00412F2B"/>
    <w:rsid w:val="00415C22"/>
    <w:rsid w:val="004178B3"/>
    <w:rsid w:val="00420460"/>
    <w:rsid w:val="00430F12"/>
    <w:rsid w:val="00433644"/>
    <w:rsid w:val="00447866"/>
    <w:rsid w:val="00455C00"/>
    <w:rsid w:val="00456F47"/>
    <w:rsid w:val="004662AB"/>
    <w:rsid w:val="00480185"/>
    <w:rsid w:val="00482BB2"/>
    <w:rsid w:val="00483161"/>
    <w:rsid w:val="00485851"/>
    <w:rsid w:val="0048642E"/>
    <w:rsid w:val="00491051"/>
    <w:rsid w:val="004A58B9"/>
    <w:rsid w:val="004B0F58"/>
    <w:rsid w:val="004B302E"/>
    <w:rsid w:val="004B484F"/>
    <w:rsid w:val="004C11A9"/>
    <w:rsid w:val="004C1DED"/>
    <w:rsid w:val="004C2861"/>
    <w:rsid w:val="004C2E85"/>
    <w:rsid w:val="004D613B"/>
    <w:rsid w:val="004E423C"/>
    <w:rsid w:val="004F48DD"/>
    <w:rsid w:val="004F5AB7"/>
    <w:rsid w:val="004F6AF2"/>
    <w:rsid w:val="00510BB5"/>
    <w:rsid w:val="00511863"/>
    <w:rsid w:val="00523C29"/>
    <w:rsid w:val="00525485"/>
    <w:rsid w:val="00526795"/>
    <w:rsid w:val="00534D6B"/>
    <w:rsid w:val="005367D0"/>
    <w:rsid w:val="00541FBB"/>
    <w:rsid w:val="005527B6"/>
    <w:rsid w:val="00556F90"/>
    <w:rsid w:val="005649D2"/>
    <w:rsid w:val="00565F67"/>
    <w:rsid w:val="0056642E"/>
    <w:rsid w:val="00575814"/>
    <w:rsid w:val="0058102D"/>
    <w:rsid w:val="00583731"/>
    <w:rsid w:val="005934B4"/>
    <w:rsid w:val="00594840"/>
    <w:rsid w:val="005A21FD"/>
    <w:rsid w:val="005A34D4"/>
    <w:rsid w:val="005A67CA"/>
    <w:rsid w:val="005A6D2B"/>
    <w:rsid w:val="005B184F"/>
    <w:rsid w:val="005B77E0"/>
    <w:rsid w:val="005C14A7"/>
    <w:rsid w:val="005D0140"/>
    <w:rsid w:val="005D49FE"/>
    <w:rsid w:val="005D4C68"/>
    <w:rsid w:val="005E1F63"/>
    <w:rsid w:val="00601B33"/>
    <w:rsid w:val="006026C8"/>
    <w:rsid w:val="00602782"/>
    <w:rsid w:val="006120A0"/>
    <w:rsid w:val="006169FB"/>
    <w:rsid w:val="00622A42"/>
    <w:rsid w:val="00626BBF"/>
    <w:rsid w:val="00637A95"/>
    <w:rsid w:val="00641141"/>
    <w:rsid w:val="0064273E"/>
    <w:rsid w:val="00643CC4"/>
    <w:rsid w:val="0064434E"/>
    <w:rsid w:val="0064780D"/>
    <w:rsid w:val="00657ABC"/>
    <w:rsid w:val="006603B5"/>
    <w:rsid w:val="006625E1"/>
    <w:rsid w:val="00662ED0"/>
    <w:rsid w:val="00677835"/>
    <w:rsid w:val="00680388"/>
    <w:rsid w:val="0068246E"/>
    <w:rsid w:val="0069518C"/>
    <w:rsid w:val="00696410"/>
    <w:rsid w:val="00697B45"/>
    <w:rsid w:val="006A0A81"/>
    <w:rsid w:val="006A3884"/>
    <w:rsid w:val="006B3488"/>
    <w:rsid w:val="006C2F67"/>
    <w:rsid w:val="006C5739"/>
    <w:rsid w:val="006D00B0"/>
    <w:rsid w:val="006D1CF3"/>
    <w:rsid w:val="006E30D4"/>
    <w:rsid w:val="006E54D3"/>
    <w:rsid w:val="006E73D2"/>
    <w:rsid w:val="006E7C36"/>
    <w:rsid w:val="006F1A55"/>
    <w:rsid w:val="006F47F9"/>
    <w:rsid w:val="0070088C"/>
    <w:rsid w:val="00701ECE"/>
    <w:rsid w:val="00702192"/>
    <w:rsid w:val="007139E7"/>
    <w:rsid w:val="00714ED4"/>
    <w:rsid w:val="00717237"/>
    <w:rsid w:val="00722C1F"/>
    <w:rsid w:val="00726A3F"/>
    <w:rsid w:val="00734023"/>
    <w:rsid w:val="0075082D"/>
    <w:rsid w:val="00761A1C"/>
    <w:rsid w:val="00762903"/>
    <w:rsid w:val="00763C54"/>
    <w:rsid w:val="00766D19"/>
    <w:rsid w:val="00775D1A"/>
    <w:rsid w:val="007A00B8"/>
    <w:rsid w:val="007B020C"/>
    <w:rsid w:val="007B523A"/>
    <w:rsid w:val="007C61E6"/>
    <w:rsid w:val="007C7F25"/>
    <w:rsid w:val="007E4401"/>
    <w:rsid w:val="007F066A"/>
    <w:rsid w:val="007F25C9"/>
    <w:rsid w:val="007F2F79"/>
    <w:rsid w:val="007F6BE6"/>
    <w:rsid w:val="007F7958"/>
    <w:rsid w:val="0080248A"/>
    <w:rsid w:val="00804F58"/>
    <w:rsid w:val="008073B1"/>
    <w:rsid w:val="00810D7F"/>
    <w:rsid w:val="008141E4"/>
    <w:rsid w:val="008156DE"/>
    <w:rsid w:val="0082002D"/>
    <w:rsid w:val="00822F0F"/>
    <w:rsid w:val="00825198"/>
    <w:rsid w:val="00831E6C"/>
    <w:rsid w:val="00833B36"/>
    <w:rsid w:val="00833F2C"/>
    <w:rsid w:val="008517CC"/>
    <w:rsid w:val="0085382A"/>
    <w:rsid w:val="008559F3"/>
    <w:rsid w:val="00856CA3"/>
    <w:rsid w:val="008625E8"/>
    <w:rsid w:val="00865BC1"/>
    <w:rsid w:val="00867DC1"/>
    <w:rsid w:val="0087440E"/>
    <w:rsid w:val="0087496A"/>
    <w:rsid w:val="00884A97"/>
    <w:rsid w:val="00890EEE"/>
    <w:rsid w:val="0089316E"/>
    <w:rsid w:val="008A4CF6"/>
    <w:rsid w:val="008B5D95"/>
    <w:rsid w:val="008C0C29"/>
    <w:rsid w:val="008E3DE9"/>
    <w:rsid w:val="008F5BBD"/>
    <w:rsid w:val="00903B33"/>
    <w:rsid w:val="00904D98"/>
    <w:rsid w:val="009076C2"/>
    <w:rsid w:val="009107ED"/>
    <w:rsid w:val="009138BF"/>
    <w:rsid w:val="00924033"/>
    <w:rsid w:val="00930D9C"/>
    <w:rsid w:val="009334A9"/>
    <w:rsid w:val="0093679E"/>
    <w:rsid w:val="00961E3C"/>
    <w:rsid w:val="00967C89"/>
    <w:rsid w:val="009739C8"/>
    <w:rsid w:val="00973D90"/>
    <w:rsid w:val="00982157"/>
    <w:rsid w:val="00983994"/>
    <w:rsid w:val="00987E59"/>
    <w:rsid w:val="009A0767"/>
    <w:rsid w:val="009A3370"/>
    <w:rsid w:val="009A3902"/>
    <w:rsid w:val="009B1280"/>
    <w:rsid w:val="009C0088"/>
    <w:rsid w:val="009C2DB5"/>
    <w:rsid w:val="009C5B0E"/>
    <w:rsid w:val="009D1DC7"/>
    <w:rsid w:val="009E6FBE"/>
    <w:rsid w:val="009F17E2"/>
    <w:rsid w:val="00A002E4"/>
    <w:rsid w:val="00A119B4"/>
    <w:rsid w:val="00A13FC1"/>
    <w:rsid w:val="00A170A2"/>
    <w:rsid w:val="00A27E95"/>
    <w:rsid w:val="00A33DDE"/>
    <w:rsid w:val="00A353DE"/>
    <w:rsid w:val="00A45E4A"/>
    <w:rsid w:val="00A46F6E"/>
    <w:rsid w:val="00A534B8"/>
    <w:rsid w:val="00A54063"/>
    <w:rsid w:val="00A5409F"/>
    <w:rsid w:val="00A57460"/>
    <w:rsid w:val="00A63054"/>
    <w:rsid w:val="00A70B7E"/>
    <w:rsid w:val="00A7741D"/>
    <w:rsid w:val="00A80E01"/>
    <w:rsid w:val="00A8296F"/>
    <w:rsid w:val="00A90FF5"/>
    <w:rsid w:val="00A91B96"/>
    <w:rsid w:val="00AA3AD0"/>
    <w:rsid w:val="00AA3ED0"/>
    <w:rsid w:val="00AA5FB4"/>
    <w:rsid w:val="00AB099B"/>
    <w:rsid w:val="00AC5BE1"/>
    <w:rsid w:val="00AD02C1"/>
    <w:rsid w:val="00AE6F35"/>
    <w:rsid w:val="00AF28C6"/>
    <w:rsid w:val="00B07A0B"/>
    <w:rsid w:val="00B2036D"/>
    <w:rsid w:val="00B21B40"/>
    <w:rsid w:val="00B24EE4"/>
    <w:rsid w:val="00B26C50"/>
    <w:rsid w:val="00B40AB3"/>
    <w:rsid w:val="00B4466C"/>
    <w:rsid w:val="00B46033"/>
    <w:rsid w:val="00B5323A"/>
    <w:rsid w:val="00B53FC7"/>
    <w:rsid w:val="00B53FCE"/>
    <w:rsid w:val="00B55F7A"/>
    <w:rsid w:val="00B65452"/>
    <w:rsid w:val="00B6770F"/>
    <w:rsid w:val="00B72931"/>
    <w:rsid w:val="00B80AAD"/>
    <w:rsid w:val="00B917E0"/>
    <w:rsid w:val="00BA7230"/>
    <w:rsid w:val="00BA7AAB"/>
    <w:rsid w:val="00BB6158"/>
    <w:rsid w:val="00BC4289"/>
    <w:rsid w:val="00BC6F9E"/>
    <w:rsid w:val="00BE13F4"/>
    <w:rsid w:val="00BE5303"/>
    <w:rsid w:val="00BF35D4"/>
    <w:rsid w:val="00BF732E"/>
    <w:rsid w:val="00C0536F"/>
    <w:rsid w:val="00C06799"/>
    <w:rsid w:val="00C14C74"/>
    <w:rsid w:val="00C15BD1"/>
    <w:rsid w:val="00C17BFC"/>
    <w:rsid w:val="00C202C5"/>
    <w:rsid w:val="00C361B7"/>
    <w:rsid w:val="00C436AB"/>
    <w:rsid w:val="00C455FC"/>
    <w:rsid w:val="00C54E68"/>
    <w:rsid w:val="00C62B29"/>
    <w:rsid w:val="00C664FC"/>
    <w:rsid w:val="00C70C44"/>
    <w:rsid w:val="00C7303D"/>
    <w:rsid w:val="00C73125"/>
    <w:rsid w:val="00C84909"/>
    <w:rsid w:val="00C91461"/>
    <w:rsid w:val="00C94717"/>
    <w:rsid w:val="00C94F2B"/>
    <w:rsid w:val="00CA0226"/>
    <w:rsid w:val="00CA07BF"/>
    <w:rsid w:val="00CA0C56"/>
    <w:rsid w:val="00CA21B8"/>
    <w:rsid w:val="00CA5151"/>
    <w:rsid w:val="00CB2145"/>
    <w:rsid w:val="00CB4B4E"/>
    <w:rsid w:val="00CB66B0"/>
    <w:rsid w:val="00CD6723"/>
    <w:rsid w:val="00CE3571"/>
    <w:rsid w:val="00CE5951"/>
    <w:rsid w:val="00CE69F8"/>
    <w:rsid w:val="00CF0AB3"/>
    <w:rsid w:val="00CF73E9"/>
    <w:rsid w:val="00D1296A"/>
    <w:rsid w:val="00D136E3"/>
    <w:rsid w:val="00D15A52"/>
    <w:rsid w:val="00D15BEB"/>
    <w:rsid w:val="00D2033E"/>
    <w:rsid w:val="00D31E35"/>
    <w:rsid w:val="00D41556"/>
    <w:rsid w:val="00D507E2"/>
    <w:rsid w:val="00D534B3"/>
    <w:rsid w:val="00D53913"/>
    <w:rsid w:val="00D5631E"/>
    <w:rsid w:val="00D61CE0"/>
    <w:rsid w:val="00D678DB"/>
    <w:rsid w:val="00D72FF5"/>
    <w:rsid w:val="00D80038"/>
    <w:rsid w:val="00DC3B97"/>
    <w:rsid w:val="00DC74E1"/>
    <w:rsid w:val="00DD2F4E"/>
    <w:rsid w:val="00DE07A5"/>
    <w:rsid w:val="00DE2CE3"/>
    <w:rsid w:val="00E04DAF"/>
    <w:rsid w:val="00E112C7"/>
    <w:rsid w:val="00E23B4B"/>
    <w:rsid w:val="00E33B22"/>
    <w:rsid w:val="00E37DEA"/>
    <w:rsid w:val="00E40A53"/>
    <w:rsid w:val="00E4272D"/>
    <w:rsid w:val="00E44795"/>
    <w:rsid w:val="00E47E60"/>
    <w:rsid w:val="00E5058E"/>
    <w:rsid w:val="00E51733"/>
    <w:rsid w:val="00E540F6"/>
    <w:rsid w:val="00E56264"/>
    <w:rsid w:val="00E604B6"/>
    <w:rsid w:val="00E622D9"/>
    <w:rsid w:val="00E66CA0"/>
    <w:rsid w:val="00E836F5"/>
    <w:rsid w:val="00E8501D"/>
    <w:rsid w:val="00E93A25"/>
    <w:rsid w:val="00EA4101"/>
    <w:rsid w:val="00EA7023"/>
    <w:rsid w:val="00EB669E"/>
    <w:rsid w:val="00ED1F2F"/>
    <w:rsid w:val="00EE6CD6"/>
    <w:rsid w:val="00EF3B00"/>
    <w:rsid w:val="00F00ED3"/>
    <w:rsid w:val="00F12D5C"/>
    <w:rsid w:val="00F14D7F"/>
    <w:rsid w:val="00F20AC8"/>
    <w:rsid w:val="00F33C95"/>
    <w:rsid w:val="00F3454B"/>
    <w:rsid w:val="00F4460E"/>
    <w:rsid w:val="00F522E3"/>
    <w:rsid w:val="00F54C73"/>
    <w:rsid w:val="00F66145"/>
    <w:rsid w:val="00F67719"/>
    <w:rsid w:val="00F70212"/>
    <w:rsid w:val="00F81980"/>
    <w:rsid w:val="00F8674B"/>
    <w:rsid w:val="00FA3555"/>
    <w:rsid w:val="00FA3F7C"/>
    <w:rsid w:val="00FD0A93"/>
    <w:rsid w:val="00FD277E"/>
    <w:rsid w:val="00FD3335"/>
    <w:rsid w:val="00FD44CF"/>
    <w:rsid w:val="00FD6D6A"/>
    <w:rsid w:val="00FE3A62"/>
    <w:rsid w:val="00FE5E0D"/>
    <w:rsid w:val="00FF7D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8F909"/>
  <w15:chartTrackingRefBased/>
  <w15:docId w15:val="{300F609D-BF1D-4EF4-A1BF-5165784E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E47E60"/>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E47E60"/>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E47E60"/>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E47E60"/>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E47E60"/>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E47E60"/>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E47E60"/>
    <w:pPr>
      <w:keepNext/>
      <w:spacing w:after="200" w:line="240" w:lineRule="auto"/>
    </w:pPr>
    <w:rPr>
      <w:iCs/>
      <w:color w:val="002664"/>
      <w:sz w:val="18"/>
      <w:szCs w:val="18"/>
    </w:rPr>
  </w:style>
  <w:style w:type="table" w:customStyle="1" w:styleId="Tableheader">
    <w:name w:val="ŠTable header"/>
    <w:basedOn w:val="TableNormal"/>
    <w:uiPriority w:val="99"/>
    <w:rsid w:val="00E47E60"/>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E47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E47E60"/>
    <w:pPr>
      <w:numPr>
        <w:numId w:val="17"/>
      </w:numPr>
    </w:pPr>
  </w:style>
  <w:style w:type="paragraph" w:styleId="ListNumber2">
    <w:name w:val="List Number 2"/>
    <w:aliases w:val="ŠList Number 2"/>
    <w:basedOn w:val="Normal"/>
    <w:uiPriority w:val="8"/>
    <w:qFormat/>
    <w:rsid w:val="00E47E60"/>
    <w:pPr>
      <w:numPr>
        <w:numId w:val="16"/>
      </w:numPr>
    </w:pPr>
  </w:style>
  <w:style w:type="paragraph" w:styleId="ListBullet">
    <w:name w:val="List Bullet"/>
    <w:aliases w:val="ŠList Bullet"/>
    <w:basedOn w:val="Normal"/>
    <w:uiPriority w:val="9"/>
    <w:qFormat/>
    <w:rsid w:val="00E47E60"/>
    <w:pPr>
      <w:numPr>
        <w:numId w:val="14"/>
      </w:numPr>
    </w:pPr>
  </w:style>
  <w:style w:type="paragraph" w:styleId="ListBullet2">
    <w:name w:val="List Bullet 2"/>
    <w:aliases w:val="ŠList Bullet 2"/>
    <w:basedOn w:val="Normal"/>
    <w:uiPriority w:val="10"/>
    <w:qFormat/>
    <w:rsid w:val="00E47E60"/>
    <w:pPr>
      <w:numPr>
        <w:numId w:val="12"/>
      </w:numPr>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E47E60"/>
    <w:rPr>
      <w:b/>
      <w:bCs/>
    </w:rPr>
  </w:style>
  <w:style w:type="character" w:customStyle="1" w:styleId="QuoteChar">
    <w:name w:val="Quote Char"/>
    <w:aliases w:val="ŠQuote Char"/>
    <w:basedOn w:val="DefaultParagraphFont"/>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E47E60"/>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E47E60"/>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E47E60"/>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E47E60"/>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E47E60"/>
    <w:rPr>
      <w:color w:val="2F5496" w:themeColor="accent1" w:themeShade="BF"/>
      <w:u w:val="single"/>
    </w:rPr>
  </w:style>
  <w:style w:type="paragraph" w:customStyle="1" w:styleId="Logo">
    <w:name w:val="ŠLogo"/>
    <w:basedOn w:val="Normal"/>
    <w:uiPriority w:val="18"/>
    <w:qFormat/>
    <w:rsid w:val="00E47E60"/>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E47E60"/>
    <w:pPr>
      <w:tabs>
        <w:tab w:val="right" w:leader="dot" w:pos="14570"/>
      </w:tabs>
      <w:spacing w:before="0"/>
    </w:pPr>
    <w:rPr>
      <w:b/>
      <w:noProof/>
    </w:rPr>
  </w:style>
  <w:style w:type="paragraph" w:styleId="TOC2">
    <w:name w:val="toc 2"/>
    <w:aliases w:val="ŠTOC 2"/>
    <w:basedOn w:val="Normal"/>
    <w:next w:val="Normal"/>
    <w:uiPriority w:val="39"/>
    <w:unhideWhenUsed/>
    <w:rsid w:val="00E47E60"/>
    <w:pPr>
      <w:tabs>
        <w:tab w:val="right" w:leader="dot" w:pos="14570"/>
      </w:tabs>
      <w:spacing w:before="0"/>
    </w:pPr>
    <w:rPr>
      <w:noProof/>
    </w:rPr>
  </w:style>
  <w:style w:type="paragraph" w:styleId="TOC3">
    <w:name w:val="toc 3"/>
    <w:aliases w:val="ŠTOC 3"/>
    <w:basedOn w:val="Normal"/>
    <w:next w:val="Normal"/>
    <w:uiPriority w:val="39"/>
    <w:unhideWhenUsed/>
    <w:rsid w:val="00E47E60"/>
    <w:pPr>
      <w:spacing w:before="0"/>
      <w:ind w:left="244"/>
    </w:pPr>
  </w:style>
  <w:style w:type="paragraph" w:styleId="Title">
    <w:name w:val="Title"/>
    <w:aliases w:val="ŠTitle"/>
    <w:basedOn w:val="Normal"/>
    <w:next w:val="Normal"/>
    <w:link w:val="TitleChar"/>
    <w:uiPriority w:val="1"/>
    <w:rsid w:val="00E47E60"/>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E47E60"/>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E47E60"/>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E47E60"/>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E47E60"/>
    <w:pPr>
      <w:spacing w:after="240"/>
      <w:outlineLvl w:val="9"/>
    </w:pPr>
    <w:rPr>
      <w:szCs w:val="40"/>
    </w:rPr>
  </w:style>
  <w:style w:type="paragraph" w:styleId="Footer">
    <w:name w:val="footer"/>
    <w:aliases w:val="ŠFooter"/>
    <w:basedOn w:val="Normal"/>
    <w:link w:val="FooterChar"/>
    <w:uiPriority w:val="19"/>
    <w:rsid w:val="00E47E60"/>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E47E60"/>
    <w:rPr>
      <w:rFonts w:ascii="Arial" w:hAnsi="Arial" w:cs="Arial"/>
      <w:sz w:val="18"/>
      <w:szCs w:val="18"/>
    </w:rPr>
  </w:style>
  <w:style w:type="paragraph" w:styleId="Header">
    <w:name w:val="header"/>
    <w:aliases w:val="ŠHeader"/>
    <w:basedOn w:val="Normal"/>
    <w:link w:val="HeaderChar"/>
    <w:uiPriority w:val="16"/>
    <w:rsid w:val="00E47E60"/>
    <w:rPr>
      <w:noProof/>
      <w:color w:val="002664"/>
      <w:sz w:val="28"/>
      <w:szCs w:val="28"/>
    </w:rPr>
  </w:style>
  <w:style w:type="character" w:customStyle="1" w:styleId="HeaderChar">
    <w:name w:val="Header Char"/>
    <w:aliases w:val="ŠHeader Char"/>
    <w:basedOn w:val="DefaultParagraphFont"/>
    <w:link w:val="Header"/>
    <w:uiPriority w:val="16"/>
    <w:rsid w:val="00E47E60"/>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E47E60"/>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E47E60"/>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E47E60"/>
    <w:rPr>
      <w:rFonts w:ascii="Arial" w:hAnsi="Arial" w:cs="Arial"/>
      <w:b/>
      <w:szCs w:val="32"/>
    </w:rPr>
  </w:style>
  <w:style w:type="character" w:styleId="UnresolvedMention">
    <w:name w:val="Unresolved Mention"/>
    <w:basedOn w:val="DefaultParagraphFont"/>
    <w:uiPriority w:val="99"/>
    <w:semiHidden/>
    <w:unhideWhenUsed/>
    <w:rsid w:val="00E47E60"/>
    <w:rPr>
      <w:color w:val="605E5C"/>
      <w:shd w:val="clear" w:color="auto" w:fill="E1DFDD"/>
    </w:rPr>
  </w:style>
  <w:style w:type="character" w:styleId="Emphasis">
    <w:name w:val="Emphasis"/>
    <w:aliases w:val="ŠEmphasis,Italic"/>
    <w:qFormat/>
    <w:rsid w:val="00E47E60"/>
    <w:rPr>
      <w:i/>
      <w:iCs/>
    </w:rPr>
  </w:style>
  <w:style w:type="character" w:styleId="SubtleEmphasis">
    <w:name w:val="Subtle Emphasis"/>
    <w:basedOn w:val="DefaultParagraphFont"/>
    <w:uiPriority w:val="19"/>
    <w:semiHidden/>
    <w:qFormat/>
    <w:rsid w:val="00E47E60"/>
    <w:rPr>
      <w:i/>
      <w:iCs/>
      <w:color w:val="404040" w:themeColor="text1" w:themeTint="BF"/>
    </w:rPr>
  </w:style>
  <w:style w:type="paragraph" w:styleId="TOC4">
    <w:name w:val="toc 4"/>
    <w:aliases w:val="ŠTOC 4"/>
    <w:basedOn w:val="Normal"/>
    <w:next w:val="Normal"/>
    <w:autoRedefine/>
    <w:uiPriority w:val="39"/>
    <w:unhideWhenUsed/>
    <w:rsid w:val="00E47E60"/>
    <w:pPr>
      <w:spacing w:before="0"/>
      <w:ind w:left="488"/>
    </w:pPr>
  </w:style>
  <w:style w:type="character" w:styleId="CommentReference">
    <w:name w:val="annotation reference"/>
    <w:basedOn w:val="DefaultParagraphFont"/>
    <w:uiPriority w:val="99"/>
    <w:semiHidden/>
    <w:unhideWhenUsed/>
    <w:rsid w:val="00E47E60"/>
    <w:rPr>
      <w:sz w:val="16"/>
      <w:szCs w:val="16"/>
    </w:rPr>
  </w:style>
  <w:style w:type="paragraph" w:styleId="CommentText">
    <w:name w:val="annotation text"/>
    <w:basedOn w:val="Normal"/>
    <w:link w:val="CommentTextChar"/>
    <w:uiPriority w:val="99"/>
    <w:unhideWhenUsed/>
    <w:rsid w:val="00E47E60"/>
    <w:pPr>
      <w:spacing w:line="240" w:lineRule="auto"/>
    </w:pPr>
    <w:rPr>
      <w:sz w:val="20"/>
      <w:szCs w:val="20"/>
    </w:rPr>
  </w:style>
  <w:style w:type="character" w:customStyle="1" w:styleId="CommentTextChar">
    <w:name w:val="Comment Text Char"/>
    <w:basedOn w:val="DefaultParagraphFont"/>
    <w:link w:val="CommentText"/>
    <w:uiPriority w:val="99"/>
    <w:rsid w:val="00E47E6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47E60"/>
    <w:rPr>
      <w:b/>
      <w:bCs/>
    </w:rPr>
  </w:style>
  <w:style w:type="character" w:customStyle="1" w:styleId="CommentSubjectChar">
    <w:name w:val="Comment Subject Char"/>
    <w:basedOn w:val="CommentTextChar"/>
    <w:link w:val="CommentSubject"/>
    <w:uiPriority w:val="99"/>
    <w:semiHidden/>
    <w:rsid w:val="00E47E60"/>
    <w:rPr>
      <w:rFonts w:ascii="Arial" w:hAnsi="Arial" w:cs="Arial"/>
      <w:b/>
      <w:bCs/>
      <w:sz w:val="20"/>
      <w:szCs w:val="20"/>
    </w:rPr>
  </w:style>
  <w:style w:type="paragraph" w:styleId="ListParagraph">
    <w:name w:val="List Paragraph"/>
    <w:aliases w:val="ŠList Paragraph"/>
    <w:basedOn w:val="Normal"/>
    <w:uiPriority w:val="34"/>
    <w:unhideWhenUsed/>
    <w:qFormat/>
    <w:rsid w:val="00E47E60"/>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E47E60"/>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E47E60"/>
    <w:pPr>
      <w:numPr>
        <w:numId w:val="13"/>
      </w:numPr>
    </w:pPr>
  </w:style>
  <w:style w:type="paragraph" w:styleId="ListNumber3">
    <w:name w:val="List Number 3"/>
    <w:aliases w:val="ŠList Number 3"/>
    <w:basedOn w:val="ListBullet3"/>
    <w:uiPriority w:val="8"/>
    <w:rsid w:val="00E47E60"/>
    <w:pPr>
      <w:numPr>
        <w:ilvl w:val="2"/>
        <w:numId w:val="16"/>
      </w:numPr>
    </w:pPr>
  </w:style>
  <w:style w:type="character" w:styleId="PlaceholderText">
    <w:name w:val="Placeholder Text"/>
    <w:basedOn w:val="DefaultParagraphFont"/>
    <w:uiPriority w:val="99"/>
    <w:semiHidden/>
    <w:rsid w:val="00E47E60"/>
    <w:rPr>
      <w:color w:val="808080"/>
    </w:rPr>
  </w:style>
  <w:style w:type="character" w:customStyle="1" w:styleId="BoldItalic">
    <w:name w:val="ŠBold Italic"/>
    <w:basedOn w:val="DefaultParagraphFont"/>
    <w:uiPriority w:val="1"/>
    <w:qFormat/>
    <w:rsid w:val="00E47E60"/>
    <w:rPr>
      <w:b/>
      <w:i/>
      <w:iCs/>
    </w:rPr>
  </w:style>
  <w:style w:type="paragraph" w:customStyle="1" w:styleId="Documentname">
    <w:name w:val="ŠDocument name"/>
    <w:basedOn w:val="Normal"/>
    <w:next w:val="Normal"/>
    <w:uiPriority w:val="17"/>
    <w:qFormat/>
    <w:rsid w:val="00E47E60"/>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E47E60"/>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E47E60"/>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E47E60"/>
    <w:pPr>
      <w:spacing w:after="0"/>
    </w:pPr>
    <w:rPr>
      <w:sz w:val="18"/>
      <w:szCs w:val="18"/>
    </w:rPr>
  </w:style>
  <w:style w:type="paragraph" w:customStyle="1" w:styleId="Pulloutquote">
    <w:name w:val="ŠPull out quote"/>
    <w:basedOn w:val="Normal"/>
    <w:next w:val="Normal"/>
    <w:uiPriority w:val="20"/>
    <w:qFormat/>
    <w:rsid w:val="00E47E60"/>
    <w:pPr>
      <w:keepNext/>
      <w:ind w:left="567" w:right="57"/>
    </w:pPr>
    <w:rPr>
      <w:szCs w:val="22"/>
    </w:rPr>
  </w:style>
  <w:style w:type="paragraph" w:customStyle="1" w:styleId="Subtitle0">
    <w:name w:val="ŠSubtitle"/>
    <w:basedOn w:val="Normal"/>
    <w:link w:val="SubtitleChar0"/>
    <w:uiPriority w:val="2"/>
    <w:qFormat/>
    <w:rsid w:val="00E47E60"/>
    <w:pPr>
      <w:spacing w:before="360"/>
    </w:pPr>
    <w:rPr>
      <w:color w:val="002664"/>
      <w:sz w:val="44"/>
      <w:szCs w:val="48"/>
    </w:rPr>
  </w:style>
  <w:style w:type="character" w:customStyle="1" w:styleId="SubtitleChar0">
    <w:name w:val="ŠSubtitle Char"/>
    <w:basedOn w:val="DefaultParagraphFont"/>
    <w:link w:val="Subtitle0"/>
    <w:uiPriority w:val="2"/>
    <w:rsid w:val="00E47E60"/>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reativecommons.org/licenses/by/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597</Words>
  <Characters>3091</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CR-secondary-assessment-task-template</vt:lpstr>
    </vt:vector>
  </TitlesOfParts>
  <Company/>
  <LinksUpToDate>false</LinksUpToDate>
  <CharactersWithSpaces>3652</CharactersWithSpaces>
  <SharedDoc>false</SharedDoc>
  <HLinks>
    <vt:vector size="264" baseType="variant">
      <vt:variant>
        <vt:i4>8192063</vt:i4>
      </vt:variant>
      <vt:variant>
        <vt:i4>192</vt:i4>
      </vt:variant>
      <vt:variant>
        <vt:i4>0</vt:i4>
      </vt:variant>
      <vt:variant>
        <vt:i4>5</vt:i4>
      </vt:variant>
      <vt:variant>
        <vt:lpwstr>https://education.nsw.gov.au/about-us/copyright</vt:lpwstr>
      </vt:variant>
      <vt:variant>
        <vt:lpwstr/>
      </vt:variant>
      <vt:variant>
        <vt:i4>3604517</vt:i4>
      </vt:variant>
      <vt:variant>
        <vt:i4>189</vt:i4>
      </vt:variant>
      <vt:variant>
        <vt:i4>0</vt:i4>
      </vt:variant>
      <vt:variant>
        <vt:i4>5</vt:i4>
      </vt:variant>
      <vt:variant>
        <vt:lpwstr>https://www.sciencedirect.com/science/article/abs/pii/S1747938X13000109?via%3Dihub</vt:lpwstr>
      </vt:variant>
      <vt:variant>
        <vt:lpwstr/>
      </vt:variant>
      <vt:variant>
        <vt:i4>65607</vt:i4>
      </vt:variant>
      <vt:variant>
        <vt:i4>186</vt:i4>
      </vt:variant>
      <vt:variant>
        <vt:i4>0</vt:i4>
      </vt:variant>
      <vt:variant>
        <vt:i4>5</vt:i4>
      </vt:variant>
      <vt:variant>
        <vt:lpwstr>https://www.ascd.org/el/articles/feed-up-back-forward</vt:lpwstr>
      </vt:variant>
      <vt:variant>
        <vt:lpwstr/>
      </vt:variant>
      <vt:variant>
        <vt:i4>7209021</vt:i4>
      </vt:variant>
      <vt:variant>
        <vt:i4>183</vt:i4>
      </vt:variant>
      <vt:variant>
        <vt:i4>0</vt:i4>
      </vt:variant>
      <vt:variant>
        <vt:i4>5</vt:i4>
      </vt:variant>
      <vt:variant>
        <vt:lpwstr>https://education.nsw.gov.au/about-us/educational-data/cese/publications/practical-guides-for-educators/growth-goal-setting</vt:lpwstr>
      </vt:variant>
      <vt:variant>
        <vt:lpwstr/>
      </vt:variant>
      <vt:variant>
        <vt:i4>5963784</vt:i4>
      </vt:variant>
      <vt:variant>
        <vt:i4>180</vt:i4>
      </vt:variant>
      <vt:variant>
        <vt:i4>0</vt:i4>
      </vt:variant>
      <vt:variant>
        <vt:i4>5</vt:i4>
      </vt:variant>
      <vt:variant>
        <vt:lpwstr>https://education.nsw.gov.au/about-us/educational-data/cese/publications/research-reports/what-works-best-2020-update</vt:lpwstr>
      </vt:variant>
      <vt:variant>
        <vt:lpwstr/>
      </vt:variant>
      <vt:variant>
        <vt:i4>983056</vt:i4>
      </vt:variant>
      <vt:variant>
        <vt:i4>177</vt:i4>
      </vt:variant>
      <vt:variant>
        <vt:i4>0</vt:i4>
      </vt:variant>
      <vt:variant>
        <vt:i4>5</vt:i4>
      </vt:variant>
      <vt:variant>
        <vt:lpwstr>https://education.nsw.gov.au/about-us/educational-data/cese/publications/practical-guides-for-educators-/what-works-best-in-practice</vt:lpwstr>
      </vt:variant>
      <vt:variant>
        <vt:lpwstr/>
      </vt:variant>
      <vt:variant>
        <vt:i4>3932267</vt:i4>
      </vt:variant>
      <vt:variant>
        <vt:i4>174</vt:i4>
      </vt:variant>
      <vt:variant>
        <vt:i4>0</vt:i4>
      </vt:variant>
      <vt:variant>
        <vt:i4>5</vt:i4>
      </vt:variant>
      <vt:variant>
        <vt:lpwstr>https://www.frontiersin.org/articles/10.3389/feduc.2018.00022/full</vt:lpwstr>
      </vt:variant>
      <vt:variant>
        <vt:lpwstr/>
      </vt:variant>
      <vt:variant>
        <vt:i4>7536744</vt:i4>
      </vt:variant>
      <vt:variant>
        <vt:i4>171</vt:i4>
      </vt:variant>
      <vt:variant>
        <vt:i4>0</vt:i4>
      </vt:variant>
      <vt:variant>
        <vt:i4>5</vt:i4>
      </vt:variant>
      <vt:variant>
        <vt:lpwstr>https://educationstandards.nsw.edu.au/wps/portal/nesa/mini-footer/copyright</vt:lpwstr>
      </vt:variant>
      <vt:variant>
        <vt:lpwstr/>
      </vt:variant>
      <vt:variant>
        <vt:i4>2949164</vt:i4>
      </vt:variant>
      <vt:variant>
        <vt:i4>168</vt:i4>
      </vt:variant>
      <vt:variant>
        <vt:i4>0</vt:i4>
      </vt:variant>
      <vt:variant>
        <vt:i4>5</vt:i4>
      </vt:variant>
      <vt:variant>
        <vt:lpwstr>https://educationstandards.nsw.edu.au/wps/portal/nesa/home</vt:lpwstr>
      </vt:variant>
      <vt:variant>
        <vt:lpwstr/>
      </vt:variant>
      <vt:variant>
        <vt:i4>8192063</vt:i4>
      </vt:variant>
      <vt:variant>
        <vt:i4>165</vt:i4>
      </vt:variant>
      <vt:variant>
        <vt:i4>0</vt:i4>
      </vt:variant>
      <vt:variant>
        <vt:i4>5</vt:i4>
      </vt:variant>
      <vt:variant>
        <vt:lpwstr>https://education.nsw.gov.au/about-us/copyright</vt:lpwstr>
      </vt:variant>
      <vt:variant>
        <vt:lpwstr/>
      </vt:variant>
      <vt:variant>
        <vt:i4>1376330</vt:i4>
      </vt:variant>
      <vt:variant>
        <vt:i4>162</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6684719</vt:i4>
      </vt:variant>
      <vt:variant>
        <vt:i4>159</vt:i4>
      </vt:variant>
      <vt:variant>
        <vt:i4>0</vt:i4>
      </vt:variant>
      <vt:variant>
        <vt:i4>5</vt:i4>
      </vt:variant>
      <vt:variant>
        <vt:lpwstr>https://education.nsw.gov.au/teaching-and-learning/professional-learning/hsc-pl</vt:lpwstr>
      </vt:variant>
      <vt:variant>
        <vt:lpwstr/>
      </vt:variant>
      <vt:variant>
        <vt:i4>7733362</vt:i4>
      </vt:variant>
      <vt:variant>
        <vt:i4>156</vt:i4>
      </vt:variant>
      <vt:variant>
        <vt:i4>0</vt:i4>
      </vt:variant>
      <vt:variant>
        <vt:i4>5</vt:i4>
      </vt:variant>
      <vt:variant>
        <vt:lpwstr>https://www.hschub.nsw.edu.au/</vt:lpwstr>
      </vt:variant>
      <vt:variant>
        <vt:lpwstr/>
      </vt:variant>
      <vt:variant>
        <vt:i4>4522007</vt:i4>
      </vt:variant>
      <vt:variant>
        <vt:i4>153</vt:i4>
      </vt:variant>
      <vt:variant>
        <vt:i4>0</vt:i4>
      </vt:variant>
      <vt:variant>
        <vt:i4>5</vt:i4>
      </vt:variant>
      <vt:variant>
        <vt:lpwstr>https://educationstandards.nsw.edu.au/wps/portal/nesa/teacher-accreditation/meeting-requirements/the-standards/proficient-teacher</vt:lpwstr>
      </vt:variant>
      <vt:variant>
        <vt:lpwstr/>
      </vt:variant>
      <vt:variant>
        <vt:i4>6815763</vt:i4>
      </vt:variant>
      <vt:variant>
        <vt:i4>150</vt:i4>
      </vt:variant>
      <vt:variant>
        <vt:i4>0</vt:i4>
      </vt:variant>
      <vt:variant>
        <vt:i4>5</vt:i4>
      </vt:variant>
      <vt:variant>
        <vt:lpwstr>https://policies.education.nsw.gov.au/content/dam/main-education/teaching-and-learning/school-excellence-and-accountability/media/documents/SEF_Document_Version_2_2017_AA.pdf</vt:lpwstr>
      </vt:variant>
      <vt:variant>
        <vt:lpwstr/>
      </vt:variant>
      <vt:variant>
        <vt:i4>1572871</vt:i4>
      </vt:variant>
      <vt:variant>
        <vt:i4>147</vt:i4>
      </vt:variant>
      <vt:variant>
        <vt:i4>0</vt:i4>
      </vt:variant>
      <vt:variant>
        <vt:i4>5</vt:i4>
      </vt:variant>
      <vt:variant>
        <vt:lpwstr>https://education.nsw.gov.au/content/dam/main-education/en/home/public-schools/school-success-model/The-School-Success-Model.pdf</vt:lpwstr>
      </vt:variant>
      <vt:variant>
        <vt:lpwstr/>
      </vt:variant>
      <vt:variant>
        <vt:i4>2031698</vt:i4>
      </vt:variant>
      <vt:variant>
        <vt:i4>144</vt:i4>
      </vt:variant>
      <vt:variant>
        <vt:i4>0</vt:i4>
      </vt:variant>
      <vt:variant>
        <vt:i4>5</vt:i4>
      </vt:variant>
      <vt:variant>
        <vt:lpwstr>https://education.nsw.gov.au/policy-library/policies/pd-2016-0468</vt:lpwstr>
      </vt:variant>
      <vt:variant>
        <vt:lpwstr/>
      </vt:variant>
      <vt:variant>
        <vt:i4>1507411</vt:i4>
      </vt:variant>
      <vt:variant>
        <vt:i4>141</vt:i4>
      </vt:variant>
      <vt:variant>
        <vt:i4>0</vt:i4>
      </vt:variant>
      <vt:variant>
        <vt:i4>5</vt:i4>
      </vt:variant>
      <vt:variant>
        <vt:lpwstr>https://schoolsnsw.sharepoint.com/sites/HPGEHub/SitePages/Home.aspx</vt:lpwstr>
      </vt:variant>
      <vt:variant>
        <vt:lpwstr>first-time-access-to-hpge-resources</vt:lpwstr>
      </vt:variant>
      <vt:variant>
        <vt:i4>6619240</vt:i4>
      </vt:variant>
      <vt:variant>
        <vt:i4>138</vt:i4>
      </vt:variant>
      <vt:variant>
        <vt:i4>0</vt:i4>
      </vt:variant>
      <vt:variant>
        <vt:i4>5</vt:i4>
      </vt:variant>
      <vt:variant>
        <vt:lpwstr>https://education.nsw.gov.au/teaching-and-learning/high-potential-and-gifted-education/supporting-educators/implement/differentiation-adjustment-strategies</vt:lpwstr>
      </vt:variant>
      <vt:variant>
        <vt:lpwstr/>
      </vt:variant>
      <vt:variant>
        <vt:i4>1376330</vt:i4>
      </vt:variant>
      <vt:variant>
        <vt:i4>135</vt:i4>
      </vt:variant>
      <vt:variant>
        <vt:i4>0</vt:i4>
      </vt:variant>
      <vt:variant>
        <vt:i4>5</vt:i4>
      </vt:variant>
      <vt:variant>
        <vt:lpwstr>https://education.nsw.gov.au/teaching-and-learning/learning-from-home/teaching-at-home/teaching-and-learning-resources/universal-design-for-learning</vt:lpwstr>
      </vt:variant>
      <vt:variant>
        <vt:lpwstr/>
      </vt:variant>
      <vt:variant>
        <vt:i4>1835072</vt:i4>
      </vt:variant>
      <vt:variant>
        <vt:i4>132</vt:i4>
      </vt:variant>
      <vt:variant>
        <vt:i4>0</vt:i4>
      </vt:variant>
      <vt:variant>
        <vt:i4>5</vt:i4>
      </vt:variant>
      <vt:variant>
        <vt:lpwstr>https://education.nsw.gov.au/campaigns/inclusive-practice-hub/all-resources/secondary-resources/other-pdf-resources/nesa-assessment-and-reporting</vt:lpwstr>
      </vt:variant>
      <vt:variant>
        <vt:lpwstr/>
      </vt:variant>
      <vt:variant>
        <vt:i4>1507341</vt:i4>
      </vt:variant>
      <vt:variant>
        <vt:i4>129</vt:i4>
      </vt:variant>
      <vt:variant>
        <vt:i4>0</vt:i4>
      </vt:variant>
      <vt:variant>
        <vt:i4>5</vt:i4>
      </vt:variant>
      <vt:variant>
        <vt:lpwstr>https://education.nsw.gov.au/teaching-and-learning/disability-learning-and-support/personalised-support-for-learning/adjustments-to-teaching-and-learning</vt:lpwstr>
      </vt:variant>
      <vt:variant>
        <vt:lpwstr/>
      </vt:variant>
      <vt:variant>
        <vt:i4>5701663</vt:i4>
      </vt:variant>
      <vt:variant>
        <vt:i4>126</vt:i4>
      </vt:variant>
      <vt:variant>
        <vt:i4>0</vt:i4>
      </vt:variant>
      <vt:variant>
        <vt:i4>5</vt:i4>
      </vt:variant>
      <vt:variant>
        <vt:lpwstr>https://education.nsw.gov.au/campaigns/inclusive-practice-hub/primary-school/teaching-strategies/differentiation</vt:lpwstr>
      </vt:variant>
      <vt:variant>
        <vt:lpwstr/>
      </vt:variant>
      <vt:variant>
        <vt:i4>524381</vt:i4>
      </vt:variant>
      <vt:variant>
        <vt:i4>123</vt:i4>
      </vt:variant>
      <vt:variant>
        <vt:i4>0</vt:i4>
      </vt:variant>
      <vt:variant>
        <vt:i4>5</vt:i4>
      </vt:variant>
      <vt:variant>
        <vt:lpwstr>https://education.nsw.gov.au/teaching-and-learning/professional-learning/teacher-quality-and-accreditation/strong-start-great-teachers/refining-practice/differentiating-learning</vt:lpwstr>
      </vt:variant>
      <vt:variant>
        <vt:lpwstr/>
      </vt:variant>
      <vt:variant>
        <vt:i4>4653074</vt:i4>
      </vt:variant>
      <vt:variant>
        <vt:i4>120</vt:i4>
      </vt:variant>
      <vt:variant>
        <vt:i4>0</vt:i4>
      </vt:variant>
      <vt:variant>
        <vt:i4>5</vt:i4>
      </vt:variant>
      <vt:variant>
        <vt:lpwstr>https://educationstandards.nsw.edu.au/wps/portal/nesa/k-10/diversity-in-learning/special-education/collaborative-curriculum-planning</vt:lpwstr>
      </vt:variant>
      <vt:variant>
        <vt:lpwstr/>
      </vt:variant>
      <vt:variant>
        <vt:i4>6619198</vt:i4>
      </vt:variant>
      <vt:variant>
        <vt:i4>117</vt:i4>
      </vt:variant>
      <vt:variant>
        <vt:i4>0</vt:i4>
      </vt:variant>
      <vt:variant>
        <vt:i4>5</vt:i4>
      </vt:variant>
      <vt:variant>
        <vt:lpwstr>https://www.dese.gov.au/disability-standards-education-2005</vt:lpwstr>
      </vt:variant>
      <vt:variant>
        <vt:lpwstr/>
      </vt:variant>
      <vt:variant>
        <vt:i4>7209021</vt:i4>
      </vt:variant>
      <vt:variant>
        <vt:i4>114</vt:i4>
      </vt:variant>
      <vt:variant>
        <vt:i4>0</vt:i4>
      </vt:variant>
      <vt:variant>
        <vt:i4>5</vt:i4>
      </vt:variant>
      <vt:variant>
        <vt:lpwstr>https://education.nsw.gov.au/about-us/educational-data/cese/publications/practical-guides-for-educators/growth-goal-setting</vt:lpwstr>
      </vt:variant>
      <vt:variant>
        <vt:lpwstr/>
      </vt:variant>
      <vt:variant>
        <vt:i4>1245238</vt:i4>
      </vt:variant>
      <vt:variant>
        <vt:i4>92</vt:i4>
      </vt:variant>
      <vt:variant>
        <vt:i4>0</vt:i4>
      </vt:variant>
      <vt:variant>
        <vt:i4>5</vt:i4>
      </vt:variant>
      <vt:variant>
        <vt:lpwstr/>
      </vt:variant>
      <vt:variant>
        <vt:lpwstr>_Toc112664373</vt:lpwstr>
      </vt:variant>
      <vt:variant>
        <vt:i4>1245238</vt:i4>
      </vt:variant>
      <vt:variant>
        <vt:i4>86</vt:i4>
      </vt:variant>
      <vt:variant>
        <vt:i4>0</vt:i4>
      </vt:variant>
      <vt:variant>
        <vt:i4>5</vt:i4>
      </vt:variant>
      <vt:variant>
        <vt:lpwstr/>
      </vt:variant>
      <vt:variant>
        <vt:lpwstr>_Toc112664372</vt:lpwstr>
      </vt:variant>
      <vt:variant>
        <vt:i4>1245238</vt:i4>
      </vt:variant>
      <vt:variant>
        <vt:i4>80</vt:i4>
      </vt:variant>
      <vt:variant>
        <vt:i4>0</vt:i4>
      </vt:variant>
      <vt:variant>
        <vt:i4>5</vt:i4>
      </vt:variant>
      <vt:variant>
        <vt:lpwstr/>
      </vt:variant>
      <vt:variant>
        <vt:lpwstr>_Toc112664371</vt:lpwstr>
      </vt:variant>
      <vt:variant>
        <vt:i4>1245238</vt:i4>
      </vt:variant>
      <vt:variant>
        <vt:i4>74</vt:i4>
      </vt:variant>
      <vt:variant>
        <vt:i4>0</vt:i4>
      </vt:variant>
      <vt:variant>
        <vt:i4>5</vt:i4>
      </vt:variant>
      <vt:variant>
        <vt:lpwstr/>
      </vt:variant>
      <vt:variant>
        <vt:lpwstr>_Toc112664370</vt:lpwstr>
      </vt:variant>
      <vt:variant>
        <vt:i4>1179702</vt:i4>
      </vt:variant>
      <vt:variant>
        <vt:i4>68</vt:i4>
      </vt:variant>
      <vt:variant>
        <vt:i4>0</vt:i4>
      </vt:variant>
      <vt:variant>
        <vt:i4>5</vt:i4>
      </vt:variant>
      <vt:variant>
        <vt:lpwstr/>
      </vt:variant>
      <vt:variant>
        <vt:lpwstr>_Toc112664369</vt:lpwstr>
      </vt:variant>
      <vt:variant>
        <vt:i4>1179702</vt:i4>
      </vt:variant>
      <vt:variant>
        <vt:i4>62</vt:i4>
      </vt:variant>
      <vt:variant>
        <vt:i4>0</vt:i4>
      </vt:variant>
      <vt:variant>
        <vt:i4>5</vt:i4>
      </vt:variant>
      <vt:variant>
        <vt:lpwstr/>
      </vt:variant>
      <vt:variant>
        <vt:lpwstr>_Toc112664368</vt:lpwstr>
      </vt:variant>
      <vt:variant>
        <vt:i4>1179702</vt:i4>
      </vt:variant>
      <vt:variant>
        <vt:i4>56</vt:i4>
      </vt:variant>
      <vt:variant>
        <vt:i4>0</vt:i4>
      </vt:variant>
      <vt:variant>
        <vt:i4>5</vt:i4>
      </vt:variant>
      <vt:variant>
        <vt:lpwstr/>
      </vt:variant>
      <vt:variant>
        <vt:lpwstr>_Toc112664367</vt:lpwstr>
      </vt:variant>
      <vt:variant>
        <vt:i4>1179702</vt:i4>
      </vt:variant>
      <vt:variant>
        <vt:i4>50</vt:i4>
      </vt:variant>
      <vt:variant>
        <vt:i4>0</vt:i4>
      </vt:variant>
      <vt:variant>
        <vt:i4>5</vt:i4>
      </vt:variant>
      <vt:variant>
        <vt:lpwstr/>
      </vt:variant>
      <vt:variant>
        <vt:lpwstr>_Toc112664366</vt:lpwstr>
      </vt:variant>
      <vt:variant>
        <vt:i4>1179702</vt:i4>
      </vt:variant>
      <vt:variant>
        <vt:i4>44</vt:i4>
      </vt:variant>
      <vt:variant>
        <vt:i4>0</vt:i4>
      </vt:variant>
      <vt:variant>
        <vt:i4>5</vt:i4>
      </vt:variant>
      <vt:variant>
        <vt:lpwstr/>
      </vt:variant>
      <vt:variant>
        <vt:lpwstr>_Toc112664365</vt:lpwstr>
      </vt:variant>
      <vt:variant>
        <vt:i4>1179702</vt:i4>
      </vt:variant>
      <vt:variant>
        <vt:i4>38</vt:i4>
      </vt:variant>
      <vt:variant>
        <vt:i4>0</vt:i4>
      </vt:variant>
      <vt:variant>
        <vt:i4>5</vt:i4>
      </vt:variant>
      <vt:variant>
        <vt:lpwstr/>
      </vt:variant>
      <vt:variant>
        <vt:lpwstr>_Toc112664364</vt:lpwstr>
      </vt:variant>
      <vt:variant>
        <vt:i4>1179702</vt:i4>
      </vt:variant>
      <vt:variant>
        <vt:i4>32</vt:i4>
      </vt:variant>
      <vt:variant>
        <vt:i4>0</vt:i4>
      </vt:variant>
      <vt:variant>
        <vt:i4>5</vt:i4>
      </vt:variant>
      <vt:variant>
        <vt:lpwstr/>
      </vt:variant>
      <vt:variant>
        <vt:lpwstr>_Toc112664363</vt:lpwstr>
      </vt:variant>
      <vt:variant>
        <vt:i4>1179702</vt:i4>
      </vt:variant>
      <vt:variant>
        <vt:i4>26</vt:i4>
      </vt:variant>
      <vt:variant>
        <vt:i4>0</vt:i4>
      </vt:variant>
      <vt:variant>
        <vt:i4>5</vt:i4>
      </vt:variant>
      <vt:variant>
        <vt:lpwstr/>
      </vt:variant>
      <vt:variant>
        <vt:lpwstr>_Toc112664362</vt:lpwstr>
      </vt:variant>
      <vt:variant>
        <vt:i4>1179702</vt:i4>
      </vt:variant>
      <vt:variant>
        <vt:i4>20</vt:i4>
      </vt:variant>
      <vt:variant>
        <vt:i4>0</vt:i4>
      </vt:variant>
      <vt:variant>
        <vt:i4>5</vt:i4>
      </vt:variant>
      <vt:variant>
        <vt:lpwstr/>
      </vt:variant>
      <vt:variant>
        <vt:lpwstr>_Toc112664361</vt:lpwstr>
      </vt:variant>
      <vt:variant>
        <vt:i4>1179702</vt:i4>
      </vt:variant>
      <vt:variant>
        <vt:i4>14</vt:i4>
      </vt:variant>
      <vt:variant>
        <vt:i4>0</vt:i4>
      </vt:variant>
      <vt:variant>
        <vt:i4>5</vt:i4>
      </vt:variant>
      <vt:variant>
        <vt:lpwstr/>
      </vt:variant>
      <vt:variant>
        <vt:lpwstr>_Toc112664360</vt:lpwstr>
      </vt:variant>
      <vt:variant>
        <vt:i4>1114166</vt:i4>
      </vt:variant>
      <vt:variant>
        <vt:i4>8</vt:i4>
      </vt:variant>
      <vt:variant>
        <vt:i4>0</vt:i4>
      </vt:variant>
      <vt:variant>
        <vt:i4>5</vt:i4>
      </vt:variant>
      <vt:variant>
        <vt:lpwstr/>
      </vt:variant>
      <vt:variant>
        <vt:lpwstr>_Toc112664359</vt:lpwstr>
      </vt:variant>
      <vt:variant>
        <vt:i4>1114166</vt:i4>
      </vt:variant>
      <vt:variant>
        <vt:i4>2</vt:i4>
      </vt:variant>
      <vt:variant>
        <vt:i4>0</vt:i4>
      </vt:variant>
      <vt:variant>
        <vt:i4>5</vt:i4>
      </vt:variant>
      <vt:variant>
        <vt:lpwstr/>
      </vt:variant>
      <vt:variant>
        <vt:lpwstr>_Toc112664358</vt:lpwstr>
      </vt:variant>
      <vt:variant>
        <vt:i4>65607</vt:i4>
      </vt:variant>
      <vt:variant>
        <vt:i4>0</vt:i4>
      </vt:variant>
      <vt:variant>
        <vt:i4>0</vt:i4>
      </vt:variant>
      <vt:variant>
        <vt:i4>5</vt:i4>
      </vt:variant>
      <vt:variant>
        <vt:lpwstr>https://www.ascd.org/el/articles/feed-up-back-forward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logbook – how healthy are young people – Year 8</dc:title>
  <dc:subject/>
  <dc:creator>NSW Department of Education</dc:creator>
  <cp:keywords/>
  <dc:description/>
  <cp:lastModifiedBy>Kath Puxty</cp:lastModifiedBy>
  <cp:revision>2</cp:revision>
  <dcterms:created xsi:type="dcterms:W3CDTF">2024-10-22T04:06:00Z</dcterms:created>
  <dcterms:modified xsi:type="dcterms:W3CDTF">2024-10-25T03:15:00Z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2023-10-06T01:26:14Z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be916aa7-638b-4bf3-963e-1e9b36650c0f</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aac7988f546b8fa457d8ce02b95fba90de4cf6d66b4ff474b1b4c87872a046ac</vt:lpwstr>
  </property>
</Properties>
</file>