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BEFF" w14:textId="7F97310D" w:rsidR="00CD6723" w:rsidRDefault="00625493" w:rsidP="001C4388">
      <w:pPr>
        <w:pStyle w:val="Heading1"/>
      </w:pPr>
      <w:r>
        <w:t>Philosophy</w:t>
      </w:r>
      <w:r w:rsidR="00A1057C" w:rsidRPr="00A1057C">
        <w:t xml:space="preserve"> </w:t>
      </w:r>
      <w:r w:rsidR="0056228C">
        <w:t xml:space="preserve">– </w:t>
      </w:r>
      <w:r w:rsidR="00337A5B">
        <w:t>A</w:t>
      </w:r>
      <w:r w:rsidR="00B23F99">
        <w:t>ssessment advice</w:t>
      </w:r>
    </w:p>
    <w:p w14:paraId="1E5B1132" w14:textId="77777777" w:rsidR="0025178D" w:rsidRPr="0025178D" w:rsidRDefault="0025178D" w:rsidP="0025178D">
      <w:pPr>
        <w:jc w:val="center"/>
      </w:pPr>
      <w:r>
        <w:rPr>
          <w:noProof/>
        </w:rPr>
        <w:drawing>
          <wp:inline distT="0" distB="0" distL="0" distR="0" wp14:anchorId="79E317C5" wp14:editId="1813DF20">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4C186646" w14:textId="54B35686" w:rsidR="005A6AAA" w:rsidRPr="00B23F99" w:rsidRDefault="0025178D" w:rsidP="00B23F99">
      <w:r>
        <w:br w:type="page"/>
      </w:r>
    </w:p>
    <w:p w14:paraId="2BAE02BD" w14:textId="628332BC" w:rsidR="0052654A" w:rsidRDefault="0052654A" w:rsidP="0052654A">
      <w:pPr>
        <w:pStyle w:val="Heading2"/>
        <w:rPr>
          <w:rStyle w:val="Strong"/>
          <w:b/>
        </w:rPr>
      </w:pPr>
      <w:bookmarkStart w:id="0" w:name="_Toc104382530"/>
      <w:bookmarkStart w:id="1" w:name="_Toc113619558"/>
      <w:r>
        <w:rPr>
          <w:rStyle w:val="Strong"/>
          <w:b/>
        </w:rPr>
        <w:lastRenderedPageBreak/>
        <w:t>Assessment</w:t>
      </w:r>
    </w:p>
    <w:p w14:paraId="6B381360" w14:textId="77777777" w:rsidR="00106E69" w:rsidRPr="00106E69" w:rsidRDefault="00106E69" w:rsidP="00106E69">
      <w:r w:rsidRPr="00106E69">
        <w:t>Philosophy is a department approved elective course and is not eligible for credentialing on the Record of School Achievement (</w:t>
      </w:r>
      <w:proofErr w:type="spellStart"/>
      <w:r w:rsidRPr="00106E69">
        <w:t>RoSA</w:t>
      </w:r>
      <w:proofErr w:type="spellEnd"/>
      <w:r w:rsidRPr="00106E69">
        <w:t>).</w:t>
      </w:r>
    </w:p>
    <w:p w14:paraId="5E3E38CA" w14:textId="614C3219" w:rsidR="00625493" w:rsidRPr="00106E69" w:rsidRDefault="00106E69" w:rsidP="00106E69">
      <w:r w:rsidRPr="00106E69">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37C92C0D" w14:textId="10F91488" w:rsidR="0052654A" w:rsidRDefault="0052654A" w:rsidP="0052654A">
      <w:pPr>
        <w:pStyle w:val="Heading2"/>
        <w:rPr>
          <w:rStyle w:val="Strong"/>
          <w:b/>
        </w:rPr>
      </w:pPr>
      <w:r>
        <w:rPr>
          <w:rStyle w:val="Strong"/>
          <w:b/>
        </w:rPr>
        <w:t>General performance descriptors</w:t>
      </w:r>
    </w:p>
    <w:p w14:paraId="6C4DE76A" w14:textId="2F87910C" w:rsidR="00E73BF5" w:rsidRDefault="00E73BF5" w:rsidP="0052654A">
      <w:r w:rsidRPr="00E73BF5">
        <w:t>Schools may choose to use general performance descriptors to describe performance at each of 5 grade levels.</w:t>
      </w:r>
    </w:p>
    <w:p w14:paraId="3193913E" w14:textId="01CE21D1" w:rsidR="00387558" w:rsidRDefault="00387558" w:rsidP="00387558">
      <w:pPr>
        <w:pStyle w:val="Caption"/>
      </w:pPr>
      <w:r>
        <w:t xml:space="preserve">Table </w:t>
      </w:r>
      <w:r w:rsidR="00CD06D4">
        <w:fldChar w:fldCharType="begin"/>
      </w:r>
      <w:r w:rsidR="00CD06D4">
        <w:instrText xml:space="preserve"> SEQ Table \* ARABIC </w:instrText>
      </w:r>
      <w:r w:rsidR="00CD06D4">
        <w:fldChar w:fldCharType="separate"/>
      </w:r>
      <w:r>
        <w:rPr>
          <w:noProof/>
        </w:rPr>
        <w:t>1</w:t>
      </w:r>
      <w:r w:rsidR="00CD06D4">
        <w:rPr>
          <w:noProof/>
        </w:rPr>
        <w:fldChar w:fldCharType="end"/>
      </w:r>
      <w:r>
        <w:t xml:space="preserve"> </w:t>
      </w:r>
      <w:r w:rsidR="00FA7432">
        <w:t>–</w:t>
      </w:r>
      <w:r>
        <w:t xml:space="preserve"> Performance descriptors for the A-E grade scale</w:t>
      </w:r>
    </w:p>
    <w:tbl>
      <w:tblPr>
        <w:tblStyle w:val="Tableheader"/>
        <w:tblW w:w="9576" w:type="dxa"/>
        <w:tblLook w:val="04A0" w:firstRow="1" w:lastRow="0" w:firstColumn="1" w:lastColumn="0" w:noHBand="0" w:noVBand="1"/>
        <w:tblDescription w:val="This table outlines the record of achievement/grade and the corresponding performance descriptors."/>
      </w:tblPr>
      <w:tblGrid>
        <w:gridCol w:w="1106"/>
        <w:gridCol w:w="8470"/>
      </w:tblGrid>
      <w:tr w:rsidR="0052654A" w14:paraId="409C219D" w14:textId="77777777" w:rsidTr="00387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534120E2" w14:textId="4F7D0161" w:rsidR="0052654A" w:rsidRDefault="00387558" w:rsidP="0052654A">
            <w:r>
              <w:t>Grade</w:t>
            </w:r>
          </w:p>
        </w:tc>
        <w:tc>
          <w:tcPr>
            <w:tcW w:w="8470" w:type="dxa"/>
          </w:tcPr>
          <w:p w14:paraId="04976F79" w14:textId="73066331" w:rsidR="0052654A" w:rsidRDefault="00387558" w:rsidP="0052654A">
            <w:pPr>
              <w:cnfStyle w:val="100000000000" w:firstRow="1" w:lastRow="0" w:firstColumn="0" w:lastColumn="0" w:oddVBand="0" w:evenVBand="0" w:oddHBand="0" w:evenHBand="0" w:firstRowFirstColumn="0" w:firstRowLastColumn="0" w:lastRowFirstColumn="0" w:lastRowLastColumn="0"/>
            </w:pPr>
            <w:r>
              <w:t>Performance descriptors</w:t>
            </w:r>
          </w:p>
        </w:tc>
      </w:tr>
      <w:tr w:rsidR="0052654A" w14:paraId="742D3B50" w14:textId="77777777" w:rsidTr="00387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40C267C4" w14:textId="7D2D5992" w:rsidR="0052654A" w:rsidRDefault="00387558" w:rsidP="0052654A">
            <w:r>
              <w:t>A</w:t>
            </w:r>
          </w:p>
        </w:tc>
        <w:tc>
          <w:tcPr>
            <w:tcW w:w="8470" w:type="dxa"/>
          </w:tcPr>
          <w:p w14:paraId="7D139AF9" w14:textId="4BEC1A5F" w:rsidR="0052654A" w:rsidRDefault="00384330" w:rsidP="0052654A">
            <w:pPr>
              <w:cnfStyle w:val="000000100000" w:firstRow="0" w:lastRow="0" w:firstColumn="0" w:lastColumn="0" w:oddVBand="0" w:evenVBand="0" w:oddHBand="1" w:evenHBand="0" w:firstRowFirstColumn="0" w:firstRowLastColumn="0" w:lastRowFirstColumn="0" w:lastRowLastColumn="0"/>
            </w:pPr>
            <w:r w:rsidRPr="00384330">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52654A" w14:paraId="7F8126CA" w14:textId="77777777" w:rsidTr="003875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06496BD2" w14:textId="4FD2259B" w:rsidR="0052654A" w:rsidRDefault="00387558" w:rsidP="0052654A">
            <w:r>
              <w:t>B</w:t>
            </w:r>
          </w:p>
        </w:tc>
        <w:tc>
          <w:tcPr>
            <w:tcW w:w="8470" w:type="dxa"/>
          </w:tcPr>
          <w:p w14:paraId="49B9FF3A" w14:textId="210A96E6" w:rsidR="0052654A" w:rsidRDefault="00015AAC" w:rsidP="0052654A">
            <w:pPr>
              <w:cnfStyle w:val="000000010000" w:firstRow="0" w:lastRow="0" w:firstColumn="0" w:lastColumn="0" w:oddVBand="0" w:evenVBand="0" w:oddHBand="0" w:evenHBand="1" w:firstRowFirstColumn="0" w:firstRowLastColumn="0" w:lastRowFirstColumn="0" w:lastRowLastColumn="0"/>
            </w:pPr>
            <w:r w:rsidRPr="00015AAC">
              <w:t xml:space="preserve">The student has a thorough knowledge and understanding of the content and a high level of competence in the processes and skills. In addition, the student </w:t>
            </w:r>
            <w:proofErr w:type="gramStart"/>
            <w:r w:rsidRPr="00015AAC">
              <w:t>is able to</w:t>
            </w:r>
            <w:proofErr w:type="gramEnd"/>
            <w:r w:rsidRPr="00015AAC">
              <w:t xml:space="preserve"> apply this knowledge and these skills to most situations.</w:t>
            </w:r>
          </w:p>
        </w:tc>
      </w:tr>
      <w:tr w:rsidR="0052654A" w14:paraId="494D45C2" w14:textId="77777777" w:rsidTr="00387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18BA019B" w14:textId="4BF996FB" w:rsidR="0052654A" w:rsidRDefault="00387558" w:rsidP="0052654A">
            <w:r>
              <w:t>C</w:t>
            </w:r>
          </w:p>
        </w:tc>
        <w:tc>
          <w:tcPr>
            <w:tcW w:w="8470" w:type="dxa"/>
          </w:tcPr>
          <w:p w14:paraId="32DC5247" w14:textId="294FA75F" w:rsidR="0052654A" w:rsidRDefault="00BD2793" w:rsidP="0052654A">
            <w:pPr>
              <w:cnfStyle w:val="000000100000" w:firstRow="0" w:lastRow="0" w:firstColumn="0" w:lastColumn="0" w:oddVBand="0" w:evenVBand="0" w:oddHBand="1" w:evenHBand="0" w:firstRowFirstColumn="0" w:firstRowLastColumn="0" w:lastRowFirstColumn="0" w:lastRowLastColumn="0"/>
            </w:pPr>
            <w:r w:rsidRPr="00BD2793">
              <w:t>The student has a sound knowledge and understanding of the main areas of content and has achieved an adequate level of competence in the processes and skills.</w:t>
            </w:r>
          </w:p>
        </w:tc>
      </w:tr>
      <w:tr w:rsidR="0052654A" w14:paraId="74B85CB1" w14:textId="77777777" w:rsidTr="003875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347A06C2" w14:textId="4121F5B2" w:rsidR="0052654A" w:rsidRDefault="00387558" w:rsidP="0052654A">
            <w:r>
              <w:t>D</w:t>
            </w:r>
          </w:p>
        </w:tc>
        <w:tc>
          <w:tcPr>
            <w:tcW w:w="8470" w:type="dxa"/>
          </w:tcPr>
          <w:p w14:paraId="48620DCD" w14:textId="2450041A" w:rsidR="0052654A" w:rsidRDefault="00C35E79" w:rsidP="0052654A">
            <w:pPr>
              <w:cnfStyle w:val="000000010000" w:firstRow="0" w:lastRow="0" w:firstColumn="0" w:lastColumn="0" w:oddVBand="0" w:evenVBand="0" w:oddHBand="0" w:evenHBand="1" w:firstRowFirstColumn="0" w:firstRowLastColumn="0" w:lastRowFirstColumn="0" w:lastRowLastColumn="0"/>
            </w:pPr>
            <w:r w:rsidRPr="00C35E79">
              <w:t>The student has a basic knowledge and understanding of the content and has achieved a limited level of competence in the processes and skills</w:t>
            </w:r>
            <w:r>
              <w:t>.</w:t>
            </w:r>
          </w:p>
        </w:tc>
      </w:tr>
      <w:tr w:rsidR="00D6098C" w14:paraId="53DB9C78" w14:textId="77777777" w:rsidTr="00387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6B097C98" w14:textId="7CE4868A" w:rsidR="00D6098C" w:rsidRDefault="00387558" w:rsidP="0052654A">
            <w:r>
              <w:t>E</w:t>
            </w:r>
          </w:p>
        </w:tc>
        <w:tc>
          <w:tcPr>
            <w:tcW w:w="8470" w:type="dxa"/>
          </w:tcPr>
          <w:p w14:paraId="65FDC781" w14:textId="67F56A31" w:rsidR="00D6098C" w:rsidRPr="00D6098C" w:rsidRDefault="0034117B" w:rsidP="0052654A">
            <w:pPr>
              <w:cnfStyle w:val="000000100000" w:firstRow="0" w:lastRow="0" w:firstColumn="0" w:lastColumn="0" w:oddVBand="0" w:evenVBand="0" w:oddHBand="1" w:evenHBand="0" w:firstRowFirstColumn="0" w:firstRowLastColumn="0" w:lastRowFirstColumn="0" w:lastRowLastColumn="0"/>
            </w:pPr>
            <w:r w:rsidRPr="0034117B">
              <w:t>The student has an elementary knowledge and understanding in few areas of the content and has achieved very limited competence in some of the processes and skills.</w:t>
            </w:r>
          </w:p>
        </w:tc>
      </w:tr>
    </w:tbl>
    <w:p w14:paraId="462C8FC6" w14:textId="77777777" w:rsidR="005A34DB" w:rsidRDefault="005A34DB" w:rsidP="005A34DB">
      <w:pPr>
        <w:pStyle w:val="Heading2"/>
      </w:pPr>
      <w:r>
        <w:lastRenderedPageBreak/>
        <w:t>Areas for assessment</w:t>
      </w:r>
    </w:p>
    <w:p w14:paraId="369482CF" w14:textId="77777777" w:rsidR="005A34DB" w:rsidRDefault="005A34DB" w:rsidP="005A34DB">
      <w:r>
        <w:t>The areas for assessment provide a framework for structuring an assessment program and may be used for reporting student achievement. They can be used as organisers for assessment of student achievement.</w:t>
      </w:r>
    </w:p>
    <w:p w14:paraId="7A6B1DE8" w14:textId="77777777" w:rsidR="005A34DB" w:rsidRDefault="005A34DB" w:rsidP="005A34DB">
      <w:r>
        <w:t>Quality assessment practice involves designing assessment activities that enable students to demonstrate their achievements and growth across the duration of the course. Teachers can use the areas for assessment when designing an assessment activity, to ensure it is assessing performance in relation to a grouping of outcomes.</w:t>
      </w:r>
    </w:p>
    <w:p w14:paraId="436BA960" w14:textId="7A673DE5" w:rsidR="0052654A" w:rsidRPr="0052654A" w:rsidRDefault="005A34DB" w:rsidP="005A34DB">
      <w:r>
        <w:t>In designing the assessment schedule for a course, teachers may find it useful to map each planned assessment activity to one or more of the areas for assessment. This allows teachers to ensure that assessment can occur across the year in a manageable way.</w:t>
      </w:r>
    </w:p>
    <w:p w14:paraId="6AA2F869" w14:textId="77777777" w:rsidR="005A34DB" w:rsidRDefault="0052654A" w:rsidP="0052654A">
      <w:pPr>
        <w:pStyle w:val="Heading2"/>
        <w:rPr>
          <w:rStyle w:val="Strong"/>
          <w:b/>
        </w:rPr>
      </w:pPr>
      <w:r>
        <w:rPr>
          <w:rStyle w:val="Strong"/>
          <w:b/>
        </w:rPr>
        <w:t>Useful assessment strategies</w:t>
      </w:r>
    </w:p>
    <w:p w14:paraId="5C93A42D" w14:textId="77777777" w:rsidR="00042CB9" w:rsidRDefault="00042CB9" w:rsidP="00042CB9">
      <w:r>
        <w:t>In developing and selecting activities for the purpose of assessing and reporting, teachers will use a range of different approaches.</w:t>
      </w:r>
    </w:p>
    <w:p w14:paraId="270E3BB3" w14:textId="77777777" w:rsidR="00042CB9" w:rsidRDefault="00042CB9" w:rsidP="00042CB9">
      <w:pPr>
        <w:pStyle w:val="Heading3"/>
      </w:pPr>
      <w:r>
        <w:t>Communities of inquiry</w:t>
      </w:r>
    </w:p>
    <w:p w14:paraId="68150456" w14:textId="3BCDA52B" w:rsidR="00042CB9" w:rsidRDefault="00042CB9" w:rsidP="00042CB9">
      <w:r>
        <w:t>A community of inquiry is a group activity in which students discuss philosophical questions. Students can be assessed for the creative, critical</w:t>
      </w:r>
      <w:r w:rsidR="0009588B">
        <w:t>,</w:t>
      </w:r>
      <w:r>
        <w:t xml:space="preserve"> and collaborative thinking that they show in communities of inquiry. For example, critical thinking requires that the students construct their own arguments and evaluate those of others.</w:t>
      </w:r>
    </w:p>
    <w:p w14:paraId="09544DEF" w14:textId="2F389BD6" w:rsidR="00042CB9" w:rsidRDefault="00042CB9" w:rsidP="00042CB9">
      <w:r>
        <w:t>Creative thinking requires that students make interesting links between arguments, contribute original ideas</w:t>
      </w:r>
      <w:r w:rsidR="00BF365E">
        <w:t>,</w:t>
      </w:r>
      <w:r>
        <w:t xml:space="preserve"> and support these with analogies or thought experiments. Collaborative thinking requires that the students contribute to the discussion, develop or support others’ ideas, ask thought provoking questions</w:t>
      </w:r>
      <w:r w:rsidR="00BF365E">
        <w:t>,</w:t>
      </w:r>
      <w:r>
        <w:t xml:space="preserve"> and behave respectfully.</w:t>
      </w:r>
    </w:p>
    <w:p w14:paraId="023E7284" w14:textId="77777777" w:rsidR="00042CB9" w:rsidRDefault="00042CB9" w:rsidP="00433D9F">
      <w:pPr>
        <w:pStyle w:val="Heading3"/>
      </w:pPr>
      <w:r>
        <w:t>Inquiry-based research assignments and projects</w:t>
      </w:r>
    </w:p>
    <w:p w14:paraId="30BBD745" w14:textId="77777777" w:rsidR="00042CB9" w:rsidRDefault="00042CB9" w:rsidP="00042CB9">
      <w:r>
        <w:t>Assessment activities might include independent research tasks to investigate issues and processes, a web-based research assignment, or the development of a media portfolio.</w:t>
      </w:r>
    </w:p>
    <w:p w14:paraId="313E3714" w14:textId="77777777" w:rsidR="00042CB9" w:rsidRDefault="00042CB9" w:rsidP="00042CB9">
      <w:r>
        <w:t>When this strategy is used for assessment purposes, students could be assessed on their ability to:</w:t>
      </w:r>
    </w:p>
    <w:p w14:paraId="3AD3CFE9" w14:textId="79118A5D" w:rsidR="00042CB9" w:rsidRDefault="00042CB9" w:rsidP="00433D9F">
      <w:pPr>
        <w:pStyle w:val="ListBullet"/>
      </w:pPr>
      <w:r>
        <w:lastRenderedPageBreak/>
        <w:t>gather and analyse information</w:t>
      </w:r>
    </w:p>
    <w:p w14:paraId="6ADBE8B8" w14:textId="6B8D03B0" w:rsidR="00042CB9" w:rsidRDefault="00042CB9" w:rsidP="00433D9F">
      <w:pPr>
        <w:pStyle w:val="ListBullet"/>
      </w:pPr>
      <w:r>
        <w:t>research information</w:t>
      </w:r>
    </w:p>
    <w:p w14:paraId="117BDB33" w14:textId="15BD4962" w:rsidR="00042CB9" w:rsidRDefault="00042CB9" w:rsidP="00433D9F">
      <w:pPr>
        <w:pStyle w:val="ListBullet"/>
      </w:pPr>
      <w:r>
        <w:t>communicate information.</w:t>
      </w:r>
    </w:p>
    <w:p w14:paraId="5794ECD9" w14:textId="77777777" w:rsidR="00042CB9" w:rsidRDefault="00042CB9" w:rsidP="00433D9F">
      <w:pPr>
        <w:pStyle w:val="Heading3"/>
      </w:pPr>
      <w:r>
        <w:t>Presentations</w:t>
      </w:r>
    </w:p>
    <w:p w14:paraId="074F18F4" w14:textId="779084B0" w:rsidR="00042CB9" w:rsidRDefault="00042CB9" w:rsidP="00042CB9">
      <w:r>
        <w:t>Assessment activities might include prepared and impromptu oral presentations, role-plays, poster presentations, prepared digital recordings (video</w:t>
      </w:r>
      <w:r w:rsidR="001047D1">
        <w:t xml:space="preserve"> or </w:t>
      </w:r>
      <w:r>
        <w:t>audio) and displays.</w:t>
      </w:r>
    </w:p>
    <w:p w14:paraId="007CED23" w14:textId="77777777" w:rsidR="00042CB9" w:rsidRDefault="00042CB9" w:rsidP="00042CB9">
      <w:r>
        <w:t>When these strategies are used for assessment purposes students could be assessed on their ability to:</w:t>
      </w:r>
    </w:p>
    <w:p w14:paraId="53A1F66F" w14:textId="6BB7D634" w:rsidR="00042CB9" w:rsidRDefault="00042CB9" w:rsidP="00433D9F">
      <w:pPr>
        <w:pStyle w:val="ListBullet"/>
      </w:pPr>
      <w:r>
        <w:t>participate in scenarios</w:t>
      </w:r>
    </w:p>
    <w:p w14:paraId="0777EC4D" w14:textId="7CFB7C23" w:rsidR="00042CB9" w:rsidRDefault="00042CB9" w:rsidP="00433D9F">
      <w:pPr>
        <w:pStyle w:val="ListBullet"/>
      </w:pPr>
      <w:r>
        <w:t>communicate information effectively using oral and graphical forms.</w:t>
      </w:r>
    </w:p>
    <w:p w14:paraId="1EB0FB19" w14:textId="77777777" w:rsidR="00042CB9" w:rsidRDefault="00042CB9" w:rsidP="00433D9F">
      <w:pPr>
        <w:pStyle w:val="Heading3"/>
      </w:pPr>
      <w:r>
        <w:t>Peer assessment</w:t>
      </w:r>
    </w:p>
    <w:p w14:paraId="069DBF9C" w14:textId="0B78DA04" w:rsidR="00042CB9" w:rsidRDefault="00042CB9" w:rsidP="00042CB9">
      <w:r>
        <w:t>Philosophy encourages the active involvement of students in the learning process. Opportunities exist for individual and collaborative work. Activities involving peer assessment might include evaluating the contributions of individuals to a group task and reflecting on a peer presentation.</w:t>
      </w:r>
    </w:p>
    <w:p w14:paraId="6CCC68C2" w14:textId="77777777" w:rsidR="00042CB9" w:rsidRDefault="00042CB9" w:rsidP="00433D9F">
      <w:pPr>
        <w:pStyle w:val="Heading3"/>
      </w:pPr>
      <w:r>
        <w:t>Self-assessment</w:t>
      </w:r>
    </w:p>
    <w:p w14:paraId="3F09B53D" w14:textId="78DBD74E" w:rsidR="00C17204" w:rsidRPr="005A34DB" w:rsidRDefault="00042CB9" w:rsidP="00042CB9">
      <w:r>
        <w:t xml:space="preserve">Philosophy encourages students to become self-directed learners. Opportunities exist for students to reflect on their progress towards the achievement of the course outcomes. This reflection provides the basis for improving their learning. Developing self-assessment skills is an ongoing process that becomes increasingly more sophisticated and self-initiated as </w:t>
      </w:r>
      <w:proofErr w:type="spellStart"/>
      <w:r>
        <w:t>students</w:t>
      </w:r>
      <w:proofErr w:type="spellEnd"/>
      <w:r>
        <w:t xml:space="preserve"> progress.</w:t>
      </w:r>
      <w:r w:rsidR="00C17204" w:rsidRPr="005A34DB">
        <w:br w:type="page"/>
      </w:r>
    </w:p>
    <w:p w14:paraId="42E41F9C" w14:textId="53640467" w:rsidR="004C731C" w:rsidRDefault="004C731C" w:rsidP="004C731C">
      <w:pPr>
        <w:pStyle w:val="Heading2"/>
      </w:pPr>
      <w:r>
        <w:lastRenderedPageBreak/>
        <w:t>Additional i</w:t>
      </w:r>
      <w:r w:rsidR="00A12C29">
        <w:t>nformation</w:t>
      </w:r>
    </w:p>
    <w:p w14:paraId="678D89BE" w14:textId="34E0B8EC" w:rsidR="0044411D" w:rsidRDefault="0044411D" w:rsidP="0044411D">
      <w:pPr>
        <w:pStyle w:val="Featurepink"/>
      </w:pPr>
      <w:r>
        <w:t xml:space="preserve">Please complete the following </w:t>
      </w:r>
      <w:hyperlink r:id="rId8" w:history="1">
        <w:r w:rsidRPr="00C2134A">
          <w:rPr>
            <w:rStyle w:val="Hyperlink"/>
          </w:rPr>
          <w:t>feedback form</w:t>
        </w:r>
      </w:hyperlink>
      <w:r>
        <w:t xml:space="preserve"> to help us improve our resources and support.</w:t>
      </w:r>
    </w:p>
    <w:p w14:paraId="449D8933" w14:textId="6E37A3A3" w:rsidR="004C731C" w:rsidRDefault="00A12C29" w:rsidP="004C731C">
      <w:r w:rsidRPr="00A12C29">
        <w:t xml:space="preserve">The information below can be used to support teachers when using this </w:t>
      </w:r>
      <w:r w:rsidR="00F72F2A">
        <w:t>assessment advice</w:t>
      </w:r>
      <w:r w:rsidRPr="00A12C29">
        <w:t xml:space="preserve"> for </w:t>
      </w:r>
      <w:r w:rsidR="00B6613D">
        <w:t>Philosophy.</w:t>
      </w:r>
    </w:p>
    <w:p w14:paraId="54BE6939" w14:textId="315DB442" w:rsidR="00310B7E" w:rsidRDefault="00310B7E" w:rsidP="00310B7E">
      <w:pPr>
        <w:pStyle w:val="Heading3"/>
      </w:pPr>
      <w:r>
        <w:t>Rationale</w:t>
      </w:r>
    </w:p>
    <w:p w14:paraId="3A226651" w14:textId="5F6FB832" w:rsidR="003C627B" w:rsidRDefault="003C627B" w:rsidP="003C627B">
      <w:r>
        <w:t xml:space="preserve">Philosophical thought shapes what people think, value, and how they engage with others and the world around them. Philosophy is concerned with questions of ethics, knowledge, </w:t>
      </w:r>
      <w:proofErr w:type="gramStart"/>
      <w:r>
        <w:t>aesthetics</w:t>
      </w:r>
      <w:proofErr w:type="gramEnd"/>
      <w:r>
        <w:t xml:space="preserve"> and reality. It seeks to shed light on life’s big issues, such as the nature of reality, how we should live and what it means to be human. Philosophy also grapples with the problems that lie at the foundation of issues of public debate such as artificial intelligence, human </w:t>
      </w:r>
      <w:proofErr w:type="gramStart"/>
      <w:r>
        <w:t>rights</w:t>
      </w:r>
      <w:proofErr w:type="gramEnd"/>
      <w:r>
        <w:t xml:space="preserve"> and freedom of speech.</w:t>
      </w:r>
    </w:p>
    <w:p w14:paraId="54BC0485" w14:textId="27A8ECB1" w:rsidR="003C627B" w:rsidRDefault="003C627B" w:rsidP="003C627B">
      <w:r>
        <w:t xml:space="preserve">In this course, students are actively engaged in exploring authentic ethical, </w:t>
      </w:r>
      <w:proofErr w:type="gramStart"/>
      <w:r>
        <w:t>social</w:t>
      </w:r>
      <w:proofErr w:type="gramEnd"/>
      <w:r>
        <w:t xml:space="preserve"> and political dilemmas in philosophy. They are challenged to think rigorously and discuss these issues in communities of inquiry. This engagement in philosophical discussion encourages students to think creatively, </w:t>
      </w:r>
      <w:proofErr w:type="gramStart"/>
      <w:r>
        <w:t>critically</w:t>
      </w:r>
      <w:proofErr w:type="gramEnd"/>
      <w:r>
        <w:t xml:space="preserve"> and collaboratively.</w:t>
      </w:r>
    </w:p>
    <w:p w14:paraId="4C064D04" w14:textId="77777777" w:rsidR="003C627B" w:rsidRDefault="003C627B" w:rsidP="003C627B">
      <w:r>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7BFA1728" w14:textId="77777777" w:rsidR="00BB7CCF" w:rsidRPr="00BB7CCF" w:rsidRDefault="00BB7CCF" w:rsidP="00BB7CCF">
      <w:pPr>
        <w:pStyle w:val="Heading3"/>
      </w:pPr>
      <w:r w:rsidRPr="00BB7CCF">
        <w:t>Aim</w:t>
      </w:r>
    </w:p>
    <w:p w14:paraId="1496BEE4" w14:textId="77777777" w:rsidR="003C627B" w:rsidRPr="0058236F" w:rsidRDefault="003C627B" w:rsidP="003C627B">
      <w:r>
        <w:t xml:space="preserve">The aim of philosophy is to develop student knowledge of key philosophical thinkers, </w:t>
      </w:r>
      <w:proofErr w:type="gramStart"/>
      <w:r>
        <w:t>problems</w:t>
      </w:r>
      <w:proofErr w:type="gramEnd"/>
      <w:r>
        <w:t xml:space="preserve"> and arguments. By applying this knowledge to social dilemmas through communities of inquiry, students will challenge assumptions and beliefs and build their capacity for critical reasoning and ethical decision making.</w:t>
      </w:r>
    </w:p>
    <w:p w14:paraId="3CF827B9" w14:textId="77777777" w:rsidR="00310B7E" w:rsidRDefault="00310B7E" w:rsidP="00310B7E">
      <w:pPr>
        <w:pStyle w:val="Heading3"/>
      </w:pPr>
      <w:r>
        <w:t>Purpose and audience</w:t>
      </w:r>
    </w:p>
    <w:p w14:paraId="1718B5A8" w14:textId="4176CE56" w:rsidR="00310B7E" w:rsidRDefault="00310B7E" w:rsidP="00310B7E">
      <w:pPr>
        <w:rPr>
          <w:lang w:eastAsia="zh-CN"/>
        </w:rPr>
      </w:pPr>
      <w:r>
        <w:t xml:space="preserve">This assessment advice provides performance band descriptors which align with the A-E grading scale. It also outlines a range of assessment strategies and how they could be </w:t>
      </w:r>
      <w:r>
        <w:lastRenderedPageBreak/>
        <w:t xml:space="preserve">applied to the course. This resource is for teachers and leaders when planning for assessment and reporting of </w:t>
      </w:r>
      <w:r w:rsidR="00BB7CCF">
        <w:t>the Philosophy</w:t>
      </w:r>
      <w:r w:rsidR="00C17204">
        <w:t xml:space="preserve"> </w:t>
      </w:r>
      <w:r>
        <w:t>course.</w:t>
      </w:r>
    </w:p>
    <w:p w14:paraId="29FDB284" w14:textId="77777777" w:rsidR="00310B7E" w:rsidRDefault="00310B7E" w:rsidP="00310B7E">
      <w:pPr>
        <w:pStyle w:val="Heading3"/>
      </w:pPr>
      <w:r>
        <w:t>When and how to use this document</w:t>
      </w:r>
    </w:p>
    <w:p w14:paraId="707E7576" w14:textId="77B3ED2A" w:rsidR="00310B7E" w:rsidRDefault="00310B7E" w:rsidP="004C731C">
      <w:pPr>
        <w:rPr>
          <w:lang w:eastAsia="zh-CN"/>
        </w:rPr>
      </w:pPr>
      <w:r>
        <w:t xml:space="preserve">Use the assessment advice to guide the development of an effective assessment schedule, formative tasks, and summative tasks which allow all students to demonstrate their achievement of course outcomes. This assessment advice should also be used when designing reporting processes for the </w:t>
      </w:r>
      <w:r w:rsidR="0064065A">
        <w:t xml:space="preserve">Philosophy </w:t>
      </w:r>
      <w:r>
        <w:t>course.</w:t>
      </w:r>
    </w:p>
    <w:p w14:paraId="739EEA83" w14:textId="77777777" w:rsidR="00B93FDA" w:rsidRDefault="00B93FDA" w:rsidP="00B93FDA">
      <w:pPr>
        <w:pStyle w:val="Heading3"/>
      </w:pPr>
      <w:bookmarkStart w:id="2" w:name="_Toc118968044"/>
      <w:r>
        <w:t>Assessment for learning</w:t>
      </w:r>
      <w:bookmarkEnd w:id="2"/>
    </w:p>
    <w:p w14:paraId="32979F99" w14:textId="77777777" w:rsidR="00B93FDA" w:rsidRDefault="00B93FDA" w:rsidP="00B93FDA">
      <w:r w:rsidRPr="00A12C29">
        <w:t>Possible formative assessment strategies that could be included</w:t>
      </w:r>
      <w:r>
        <w:t>:</w:t>
      </w:r>
    </w:p>
    <w:p w14:paraId="7DD27BBB" w14:textId="77777777" w:rsidR="00B93FDA" w:rsidRDefault="00B93FDA" w:rsidP="00B93FDA">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9" w:history="1">
        <w:r w:rsidRPr="00A16172">
          <w:rPr>
            <w:rStyle w:val="Hyperlink"/>
          </w:rPr>
          <w:t>Online tools</w:t>
        </w:r>
      </w:hyperlink>
      <w:r>
        <w:t xml:space="preserve"> can assist implementation of this formative assessment strategy.</w:t>
      </w:r>
    </w:p>
    <w:p w14:paraId="0EE1BC42" w14:textId="77777777" w:rsidR="00B93FDA" w:rsidRDefault="00B93FDA" w:rsidP="00B93FDA">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0">
        <w:r w:rsidRPr="3A874A9E">
          <w:rPr>
            <w:rStyle w:val="Hyperlink"/>
          </w:rPr>
          <w:t>exit tickets</w:t>
        </w:r>
      </w:hyperlink>
      <w:r>
        <w:t xml:space="preserve">, mini whiteboards (actual or </w:t>
      </w:r>
      <w:hyperlink r:id="rId11">
        <w:r w:rsidRPr="3A874A9E">
          <w:rPr>
            <w:rStyle w:val="Hyperlink"/>
          </w:rPr>
          <w:t>digital</w:t>
        </w:r>
      </w:hyperlink>
      <w:r>
        <w:t xml:space="preserve">), </w:t>
      </w:r>
      <w:hyperlink r:id="rId12">
        <w:r w:rsidRPr="3A874A9E">
          <w:rPr>
            <w:rStyle w:val="Hyperlink"/>
          </w:rPr>
          <w:t>hinge questions</w:t>
        </w:r>
      </w:hyperlink>
      <w:r>
        <w:t xml:space="preserve">, </w:t>
      </w:r>
      <w:hyperlink r:id="rId13" w:history="1">
        <w:r w:rsidRPr="00A81EF9">
          <w:rPr>
            <w:rStyle w:val="Hyperlink"/>
          </w:rPr>
          <w:t>Kahoot</w:t>
        </w:r>
      </w:hyperlink>
      <w:r>
        <w:t xml:space="preserve">, </w:t>
      </w:r>
      <w:hyperlink r:id="rId14" w:history="1">
        <w:r w:rsidRPr="00A81EF9">
          <w:rPr>
            <w:rStyle w:val="Hyperlink"/>
          </w:rPr>
          <w:t>Socrative</w:t>
        </w:r>
      </w:hyperlink>
      <w:r>
        <w:t>, or quick quizzes to ensure that individual student progress can be monitored and the lesson sequence adjusted based on formative data collected.</w:t>
      </w:r>
    </w:p>
    <w:p w14:paraId="04FFE541" w14:textId="77777777" w:rsidR="00B93FDA" w:rsidRDefault="00B93FDA" w:rsidP="00B93FDA">
      <w:pPr>
        <w:pStyle w:val="ListBullet"/>
        <w:numPr>
          <w:ilvl w:val="0"/>
          <w:numId w:val="2"/>
        </w:numPr>
      </w:pPr>
      <w:r>
        <w:t xml:space="preserve">Feedback is designed to close the gap between current and desired performance by informing teacher and student behaviour (AITSL 2017). AITSL provides a </w:t>
      </w:r>
      <w:hyperlink r:id="rId15" w:anchor=":~:text=FEEDBACK-,Factsheet,-A%20quick%20guide" w:history="1">
        <w:r w:rsidRPr="00A16172">
          <w:rPr>
            <w:rStyle w:val="Hyperlink"/>
          </w:rPr>
          <w:t>factsheet to support evidence-based feedback</w:t>
        </w:r>
      </w:hyperlink>
      <w:r>
        <w:t>.</w:t>
      </w:r>
    </w:p>
    <w:p w14:paraId="680AA7B5" w14:textId="77777777" w:rsidR="00B93FDA" w:rsidRDefault="00CD06D4" w:rsidP="00B93FDA">
      <w:pPr>
        <w:pStyle w:val="ListBullet"/>
        <w:numPr>
          <w:ilvl w:val="0"/>
          <w:numId w:val="2"/>
        </w:numPr>
      </w:pPr>
      <w:hyperlink r:id="rId16" w:history="1">
        <w:r w:rsidR="00B93FDA" w:rsidRPr="00DA1B0D">
          <w:rPr>
            <w:rStyle w:val="Hyperlink"/>
          </w:rPr>
          <w:t>Peer feedback</w:t>
        </w:r>
      </w:hyperlink>
      <w:r w:rsidR="00B93FDA">
        <w:t xml:space="preserve"> is a structured process where students evaluate the work of their peers by providing valuable feedback in relation to learning intentions and success criteria. It can be supported by </w:t>
      </w:r>
      <w:hyperlink r:id="rId17" w:history="1">
        <w:r w:rsidR="00B93FDA" w:rsidRPr="00A16172">
          <w:rPr>
            <w:rStyle w:val="Hyperlink"/>
          </w:rPr>
          <w:t>online tools</w:t>
        </w:r>
      </w:hyperlink>
      <w:r w:rsidR="00B93FDA">
        <w:t>.</w:t>
      </w:r>
    </w:p>
    <w:p w14:paraId="7BD0B453" w14:textId="77777777" w:rsidR="00B93FDA" w:rsidRDefault="00B93FDA" w:rsidP="00B93FDA">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8">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9">
        <w:r w:rsidRPr="3A874A9E">
          <w:rPr>
            <w:rStyle w:val="Hyperlink"/>
          </w:rPr>
          <w:t>KWLH charts</w:t>
        </w:r>
      </w:hyperlink>
      <w:r>
        <w:t xml:space="preserve">, </w:t>
      </w:r>
      <w:hyperlink r:id="rId20">
        <w:r w:rsidRPr="3A874A9E">
          <w:rPr>
            <w:rStyle w:val="Hyperlink"/>
          </w:rPr>
          <w:t>learning portfolios</w:t>
        </w:r>
      </w:hyperlink>
      <w:r>
        <w:t xml:space="preserve"> and </w:t>
      </w:r>
      <w:hyperlink r:id="rId21">
        <w:r w:rsidRPr="3A874A9E">
          <w:rPr>
            <w:rStyle w:val="Hyperlink"/>
          </w:rPr>
          <w:t>learning logs</w:t>
        </w:r>
      </w:hyperlink>
      <w:r>
        <w:t>.</w:t>
      </w:r>
    </w:p>
    <w:p w14:paraId="10A2D1BC" w14:textId="77777777" w:rsidR="00B93FDA" w:rsidRDefault="00B93FDA" w:rsidP="00B93FDA">
      <w:pPr>
        <w:pStyle w:val="FeatureBox"/>
      </w:pPr>
      <w:r>
        <w:lastRenderedPageBreak/>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5154DD42" w14:textId="77777777" w:rsidR="00B93FDA" w:rsidRDefault="00B93FDA" w:rsidP="00B93FDA">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3FB8FD26" w14:textId="77777777" w:rsidR="00B93FDA" w:rsidRDefault="00CD06D4" w:rsidP="00B93FDA">
      <w:pPr>
        <w:pStyle w:val="FeatureBox"/>
      </w:pPr>
      <w:hyperlink r:id="rId22" w:history="1">
        <w:r w:rsidR="00B93FDA" w:rsidRPr="00C2134A">
          <w:rPr>
            <w:rStyle w:val="Hyperlink"/>
          </w:rPr>
          <w:t>What works best update 2020</w:t>
        </w:r>
      </w:hyperlink>
      <w:r w:rsidR="00B93FDA" w:rsidRPr="008D59F5">
        <w:t xml:space="preserve"> (CESE 2020a)</w:t>
      </w:r>
    </w:p>
    <w:p w14:paraId="36D48248" w14:textId="77777777" w:rsidR="00B93FDA" w:rsidRDefault="00B93FDA" w:rsidP="00B93FDA">
      <w:pPr>
        <w:pStyle w:val="Heading3"/>
      </w:pPr>
      <w:bookmarkStart w:id="3" w:name="_Toc118968045"/>
      <w:r>
        <w:t>Differentiation</w:t>
      </w:r>
      <w:bookmarkEnd w:id="3"/>
    </w:p>
    <w:p w14:paraId="1196D814" w14:textId="4F60E207" w:rsidR="00B93FDA" w:rsidRDefault="00B93FDA" w:rsidP="00B93FDA">
      <w:r>
        <w:t>Differentiated learning can be enabled by differentiating the teaching approach to content, process, product</w:t>
      </w:r>
      <w:r w:rsidR="00F467CF">
        <w:t>,</w:t>
      </w:r>
      <w:r>
        <w:t xml:space="preserve"> and the learning environment. For more information on differentiation go to </w:t>
      </w:r>
      <w:hyperlink r:id="rId23" w:history="1">
        <w:r>
          <w:rPr>
            <w:rStyle w:val="Hyperlink"/>
          </w:rPr>
          <w:t>Differentiating learning</w:t>
        </w:r>
      </w:hyperlink>
      <w:r>
        <w:t xml:space="preserve"> and </w:t>
      </w:r>
      <w:hyperlink r:id="rId24" w:history="1">
        <w:r>
          <w:rPr>
            <w:rStyle w:val="Hyperlink"/>
          </w:rPr>
          <w:t>Differentiation</w:t>
        </w:r>
      </w:hyperlink>
      <w:r>
        <w:t>.</w:t>
      </w:r>
    </w:p>
    <w:p w14:paraId="62EC3B86" w14:textId="77777777" w:rsidR="00B93FDA" w:rsidRDefault="00B93FDA" w:rsidP="00B93FDA">
      <w:r>
        <w:t>When using these resources in the classroom, it is important for teachers to consider the needs of all students in their class, including:</w:t>
      </w:r>
    </w:p>
    <w:p w14:paraId="1BB46FBB" w14:textId="77777777" w:rsidR="00B93FDA" w:rsidRDefault="00B93FDA" w:rsidP="00B93FDA">
      <w:pPr>
        <w:pStyle w:val="ListBullet"/>
        <w:numPr>
          <w:ilvl w:val="0"/>
          <w:numId w:val="2"/>
        </w:numPr>
      </w:pPr>
      <w:r w:rsidRPr="00973DAE">
        <w:rPr>
          <w:b/>
          <w:bCs/>
        </w:rPr>
        <w:t>Aboriginal and Torres Strait Islander students</w:t>
      </w:r>
      <w:r>
        <w:t xml:space="preserve">. Targeted </w:t>
      </w:r>
      <w:hyperlink r:id="rId25"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42F098F" w14:textId="77777777" w:rsidR="00B93FDA" w:rsidRDefault="00B93FDA" w:rsidP="00B93FDA">
      <w:pPr>
        <w:pStyle w:val="ListBullet"/>
        <w:numPr>
          <w:ilvl w:val="0"/>
          <w:numId w:val="2"/>
        </w:numPr>
      </w:pPr>
      <w:r w:rsidRPr="00973DAE">
        <w:rPr>
          <w:b/>
          <w:bCs/>
        </w:rPr>
        <w:t>EAL/D learners</w:t>
      </w:r>
      <w:r>
        <w:t xml:space="preserve">. EAL/D learners will require explicit English language support and scaffolding, informed by the </w:t>
      </w:r>
      <w:hyperlink r:id="rId26" w:history="1">
        <w:r w:rsidRPr="00973DAE">
          <w:rPr>
            <w:rStyle w:val="Hyperlink"/>
          </w:rPr>
          <w:t>EAL/D enhanced teaching and learning cycle</w:t>
        </w:r>
      </w:hyperlink>
      <w:r>
        <w:t xml:space="preserve"> and the student’s phase on the </w:t>
      </w:r>
      <w:hyperlink r:id="rId27" w:history="1">
        <w:r w:rsidRPr="00973DAE">
          <w:rPr>
            <w:rStyle w:val="Hyperlink"/>
          </w:rPr>
          <w:t>EAL/D Learning Progression</w:t>
        </w:r>
      </w:hyperlink>
      <w:r>
        <w:t xml:space="preserve">. In addition, teachers can access information about </w:t>
      </w:r>
      <w:hyperlink r:id="rId28" w:history="1">
        <w:r w:rsidRPr="00973DAE">
          <w:rPr>
            <w:rStyle w:val="Hyperlink"/>
          </w:rPr>
          <w:t>supporting EAL/D learners</w:t>
        </w:r>
      </w:hyperlink>
      <w:r>
        <w:t xml:space="preserve"> and </w:t>
      </w:r>
      <w:hyperlink r:id="rId29" w:history="1">
        <w:r w:rsidRPr="00A53C65">
          <w:rPr>
            <w:rStyle w:val="Hyperlink"/>
          </w:rPr>
          <w:t>literacy and numeracy support specific to EAL/D learners</w:t>
        </w:r>
      </w:hyperlink>
      <w:r>
        <w:t>.</w:t>
      </w:r>
    </w:p>
    <w:p w14:paraId="4B8EAEBB" w14:textId="77777777" w:rsidR="00B93FDA" w:rsidRDefault="00B93FDA" w:rsidP="00B93FDA">
      <w:pPr>
        <w:pStyle w:val="ListBullet"/>
        <w:numPr>
          <w:ilvl w:val="0"/>
          <w:numId w:val="2"/>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30">
        <w:r w:rsidRPr="6667E0D0">
          <w:rPr>
            <w:rStyle w:val="Hyperlink"/>
          </w:rPr>
          <w:t>adjustments</w:t>
        </w:r>
      </w:hyperlink>
      <w:r w:rsidRPr="6667E0D0">
        <w:t xml:space="preserve"> to ensure a personalised approach to student learning. </w:t>
      </w:r>
      <w:r>
        <w:t xml:space="preserve">In addition, the </w:t>
      </w:r>
      <w:hyperlink r:id="rId31"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32" w:history="1">
        <w:r w:rsidRPr="00C03F0A">
          <w:rPr>
            <w:rStyle w:val="Hyperlink"/>
          </w:rPr>
          <w:t>Inclusive Practice hub</w:t>
        </w:r>
      </w:hyperlink>
      <w:r>
        <w:t>.</w:t>
      </w:r>
    </w:p>
    <w:p w14:paraId="3BD21878" w14:textId="77777777" w:rsidR="00B93FDA" w:rsidRDefault="00B93FDA" w:rsidP="00B93FDA">
      <w:pPr>
        <w:pStyle w:val="ListBullet"/>
        <w:numPr>
          <w:ilvl w:val="0"/>
          <w:numId w:val="2"/>
        </w:numPr>
      </w:pPr>
      <w:r w:rsidRPr="00973DAE">
        <w:rPr>
          <w:b/>
          <w:bCs/>
        </w:rPr>
        <w:lastRenderedPageBreak/>
        <w:t>High potential and gifted learners</w:t>
      </w:r>
      <w:r>
        <w:t xml:space="preserve">. </w:t>
      </w:r>
      <w:hyperlink r:id="rId33"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34">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35">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w:t>
      </w:r>
      <w:r w:rsidRPr="00F467CF">
        <w:t>support the specific learning needs of high potential and gifted students. The</w:t>
      </w:r>
      <w:r w:rsidRPr="6667E0D0">
        <w:rPr>
          <w:rFonts w:eastAsia="Arial"/>
          <w:color w:val="041E42"/>
        </w:rPr>
        <w:t xml:space="preserve"> </w:t>
      </w:r>
      <w:hyperlink r:id="rId36">
        <w:r w:rsidRPr="6667E0D0">
          <w:rPr>
            <w:rStyle w:val="Hyperlink"/>
          </w:rPr>
          <w:t>High Potential and Gifted Education Professional Learning and Resource Hub</w:t>
        </w:r>
      </w:hyperlink>
      <w:r w:rsidRPr="00F467CF">
        <w:t xml:space="preserve"> supports school leaders and teachers to effectively implement the High Potential and Gifted Education Policy in their unique contexts.</w:t>
      </w:r>
    </w:p>
    <w:p w14:paraId="060199F3" w14:textId="77777777" w:rsidR="00B93FDA" w:rsidRDefault="00B93FDA" w:rsidP="00B93FDA">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0D2ABD17" w14:textId="77777777" w:rsidR="004C731C" w:rsidRDefault="004C731C" w:rsidP="005F658C">
      <w:pPr>
        <w:pStyle w:val="Heading2"/>
      </w:pPr>
      <w:r>
        <w:t>About this resource</w:t>
      </w:r>
    </w:p>
    <w:p w14:paraId="3BE4BB75" w14:textId="3ECEBDFF" w:rsidR="004C731C" w:rsidRDefault="004C731C" w:rsidP="004C731C">
      <w:r>
        <w:t>All curriculum resources are prepared through a rigorous process. Resources are periodically reviewed as part of our ongoing evaluation plan to ensure currency, relevance</w:t>
      </w:r>
      <w:r w:rsidR="006876B1">
        <w:t>,</w:t>
      </w:r>
      <w:r>
        <w:t xml:space="preserve"> and effectiveness. For additional support or advice contact the Teaching and Learning Curriculum team by emailing </w:t>
      </w:r>
      <w:hyperlink r:id="rId37" w:history="1">
        <w:r w:rsidRPr="000E35AF">
          <w:rPr>
            <w:rStyle w:val="Hyperlink"/>
          </w:rPr>
          <w:t>secondaryteachingandlearning@det.nsw.edu.au</w:t>
        </w:r>
      </w:hyperlink>
      <w:r>
        <w:t>.</w:t>
      </w:r>
    </w:p>
    <w:p w14:paraId="50F85038" w14:textId="77777777" w:rsidR="004C731C" w:rsidRDefault="004C731C" w:rsidP="004C731C">
      <w:r w:rsidRPr="00C2134A">
        <w:rPr>
          <w:b/>
          <w:bCs/>
        </w:rPr>
        <w:t>Alignment to system priorities and/or needs</w:t>
      </w:r>
      <w:r>
        <w:t>:</w:t>
      </w:r>
    </w:p>
    <w:p w14:paraId="612A5094" w14:textId="77777777" w:rsidR="004C731C" w:rsidRDefault="004C731C" w:rsidP="004C731C">
      <w:r>
        <w:t>This resource aligns to the School Excellence Framework elements of curriculum (curriculum provision) and effective classroom practice (lesson planning, explicit teaching).</w:t>
      </w:r>
    </w:p>
    <w:p w14:paraId="2F622E9C" w14:textId="53FCBCC4" w:rsidR="004C731C" w:rsidRDefault="004C731C" w:rsidP="004C731C">
      <w:r>
        <w:t xml:space="preserve">This resource supports teachers to address </w:t>
      </w:r>
      <w:hyperlink r:id="rId38" w:history="1">
        <w:r w:rsidRPr="00C03DC7">
          <w:rPr>
            <w:rStyle w:val="Hyperlink"/>
          </w:rPr>
          <w:t>Australian Professional Teaching Standards</w:t>
        </w:r>
      </w:hyperlink>
      <w:r>
        <w:t xml:space="preserve"> </w:t>
      </w:r>
      <w:r w:rsidR="009D1FAD">
        <w:t>5.1.2, 5.5.2</w:t>
      </w:r>
    </w:p>
    <w:p w14:paraId="64A2DF47" w14:textId="307B9F31" w:rsidR="004C731C" w:rsidRDefault="004C731C" w:rsidP="004C731C">
      <w:r>
        <w:t xml:space="preserve">This resource has been designed to support schools with successful implementation of new curriculum, specifically the NSW Department of Education approved elective course, </w:t>
      </w:r>
      <w:r w:rsidR="0064065A" w:rsidRPr="0064065A">
        <w:t>Philosophy</w:t>
      </w:r>
      <w:r w:rsidRPr="0064065A">
        <w:t xml:space="preserve"> © 2021 NSW</w:t>
      </w:r>
      <w:r>
        <w:t xml:space="preserve"> Department of Education for and on behalf of the Crown in right of the State of New South Wales.</w:t>
      </w:r>
    </w:p>
    <w:p w14:paraId="575C8101"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12CDF7E1" w14:textId="31B4D78C" w:rsidR="004C731C" w:rsidRDefault="004C731C" w:rsidP="004C731C">
      <w:r w:rsidRPr="00CE344E">
        <w:rPr>
          <w:b/>
          <w:bCs/>
        </w:rPr>
        <w:lastRenderedPageBreak/>
        <w:t>Department approved elective course</w:t>
      </w:r>
      <w:r w:rsidRPr="00CE344E">
        <w:t xml:space="preserve">: </w:t>
      </w:r>
      <w:r w:rsidR="0064065A">
        <w:t>Philosophy</w:t>
      </w:r>
    </w:p>
    <w:p w14:paraId="02AB3787" w14:textId="4E8CA7B7" w:rsidR="004C731C" w:rsidRDefault="004C731C" w:rsidP="004C731C">
      <w:r w:rsidRPr="00CE344E">
        <w:rPr>
          <w:b/>
          <w:bCs/>
        </w:rPr>
        <w:t>Course outcomes</w:t>
      </w:r>
      <w:r w:rsidR="00BA35BD">
        <w:t xml:space="preserve">: </w:t>
      </w:r>
      <w:r w:rsidR="00BA35BD" w:rsidRPr="00BA35BD">
        <w:t>PH5-1, PH5-2, PH5-3, PH5-4, PH5-5, PH5-6, PH5-7, PH5-8, PH5-9</w:t>
      </w:r>
    </w:p>
    <w:p w14:paraId="7D7DDFC6" w14:textId="77777777" w:rsidR="004C731C" w:rsidRDefault="004C731C" w:rsidP="004C731C">
      <w:r w:rsidRPr="00C2134A">
        <w:rPr>
          <w:b/>
          <w:bCs/>
        </w:rPr>
        <w:t>Author</w:t>
      </w:r>
      <w:r>
        <w:t>: Curriculum Secondary Learners</w:t>
      </w:r>
    </w:p>
    <w:p w14:paraId="60FEB5CD" w14:textId="77777777" w:rsidR="004C731C" w:rsidRDefault="004C731C" w:rsidP="004C731C">
      <w:r w:rsidRPr="00C2134A">
        <w:rPr>
          <w:b/>
          <w:bCs/>
        </w:rPr>
        <w:t>Publisher</w:t>
      </w:r>
      <w:r>
        <w:t>: State of NSW, Department of Education</w:t>
      </w:r>
    </w:p>
    <w:p w14:paraId="26916898" w14:textId="77777777" w:rsidR="004C731C" w:rsidRDefault="004C731C" w:rsidP="004C731C">
      <w:r w:rsidRPr="00C2134A">
        <w:rPr>
          <w:b/>
          <w:bCs/>
        </w:rPr>
        <w:t>Resource</w:t>
      </w:r>
      <w:r>
        <w:t xml:space="preserve">: </w:t>
      </w:r>
      <w:r w:rsidR="00A12C29">
        <w:t>Teaching resource</w:t>
      </w:r>
    </w:p>
    <w:p w14:paraId="33665102" w14:textId="10D4A69E" w:rsidR="004C731C" w:rsidRDefault="004C731C" w:rsidP="004C731C">
      <w:r w:rsidRPr="00C2134A">
        <w:rPr>
          <w:b/>
          <w:bCs/>
        </w:rPr>
        <w:t>Related resources</w:t>
      </w:r>
      <w:r>
        <w:t xml:space="preserve">: </w:t>
      </w:r>
      <w:r w:rsidRPr="00BA35BD">
        <w:t>Further resources to support P</w:t>
      </w:r>
      <w:r w:rsidR="00BA35BD" w:rsidRPr="00BA35BD">
        <w:t>hilosophy</w:t>
      </w:r>
      <w:r w:rsidRPr="00BA35BD">
        <w:t xml:space="preserve"> can be found on the Department approved elective courses webpage including course document, sample scope and sequences, assessment materials and other learning sequences</w:t>
      </w:r>
      <w:r>
        <w:t>.</w:t>
      </w:r>
    </w:p>
    <w:p w14:paraId="773E7FA2" w14:textId="77777777" w:rsidR="004C731C" w:rsidRDefault="004C731C" w:rsidP="004C731C">
      <w:r w:rsidRPr="00C2134A">
        <w:rPr>
          <w:b/>
          <w:bCs/>
        </w:rPr>
        <w:t>Professional Learning</w:t>
      </w:r>
      <w:r>
        <w:t xml:space="preserve">: Join the </w:t>
      </w:r>
      <w:hyperlink r:id="rId39"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33B355C0" w14:textId="77777777" w:rsidR="004C731C" w:rsidRDefault="004C731C" w:rsidP="004C731C">
      <w:r w:rsidRPr="00C2134A">
        <w:rPr>
          <w:b/>
          <w:bCs/>
        </w:rPr>
        <w:t>Universal Design for Learning Tool</w:t>
      </w:r>
      <w:r>
        <w:t xml:space="preserve">: </w:t>
      </w:r>
      <w:hyperlink r:id="rId40" w:history="1">
        <w:r w:rsidRPr="00C2134A">
          <w:rPr>
            <w:rStyle w:val="Hyperlink"/>
          </w:rPr>
          <w:t>Universal Design for Learning planning tool</w:t>
        </w:r>
      </w:hyperlink>
      <w:r>
        <w:t>. Support the diverse learning needs of students using inclusive teaching and learning strategies.</w:t>
      </w:r>
    </w:p>
    <w:p w14:paraId="01ED6FCF" w14:textId="2FF8A186" w:rsidR="004C731C" w:rsidRDefault="004C731C" w:rsidP="004C731C">
      <w:r w:rsidRPr="00C2134A">
        <w:rPr>
          <w:b/>
          <w:bCs/>
        </w:rPr>
        <w:t>Consulted with</w:t>
      </w:r>
      <w:r>
        <w:t xml:space="preserve">: </w:t>
      </w:r>
      <w:r w:rsidR="00202E10" w:rsidRPr="00202E10">
        <w:t>Aboriginal Outcomes and Partnerships, Inclusion and Wellbeing, EAL/D and subject matter experts from Western Sydney University.</w:t>
      </w:r>
    </w:p>
    <w:p w14:paraId="0CE70F80"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74A56EE" w14:textId="4970E0F9" w:rsidR="004C731C" w:rsidRDefault="004C731C" w:rsidP="004C731C">
      <w:r w:rsidRPr="00C2134A">
        <w:rPr>
          <w:b/>
          <w:bCs/>
        </w:rPr>
        <w:t>Creation date</w:t>
      </w:r>
      <w:r>
        <w:t>:</w:t>
      </w:r>
      <w:r w:rsidR="008D3938">
        <w:t xml:space="preserve"> 1 December 2021</w:t>
      </w:r>
    </w:p>
    <w:p w14:paraId="19F5A020" w14:textId="77777777" w:rsidR="004C731C" w:rsidRDefault="004C731C" w:rsidP="004C731C">
      <w:r w:rsidRPr="00C2134A">
        <w:rPr>
          <w:b/>
          <w:bCs/>
        </w:rPr>
        <w:t>Rights</w:t>
      </w:r>
      <w:r>
        <w:t>: © State of New South Wales, Department of Education</w:t>
      </w:r>
    </w:p>
    <w:p w14:paraId="7F0CB4A4" w14:textId="77777777" w:rsidR="004C731C" w:rsidRDefault="004C731C" w:rsidP="004C731C">
      <w:r w:rsidRPr="00C2134A">
        <w:rPr>
          <w:b/>
          <w:bCs/>
        </w:rPr>
        <w:t>Evidence Base</w:t>
      </w:r>
      <w:r>
        <w:t>:</w:t>
      </w:r>
    </w:p>
    <w:p w14:paraId="7408F178" w14:textId="6ADDBF68" w:rsidR="002004ED" w:rsidRDefault="002004ED" w:rsidP="002004ED">
      <w:r>
        <w:t xml:space="preserve">The range of assessment strategies outlined in the advice encourages a </w:t>
      </w:r>
      <w:r w:rsidR="00746DCE">
        <w:t>‘</w:t>
      </w:r>
      <w:r>
        <w:t>variety of assessment methods each lesson to check for students’ understanding and inform what should be taught next</w:t>
      </w:r>
      <w:r w:rsidR="00746DCE">
        <w:t>’</w:t>
      </w:r>
      <w:r>
        <w:t xml:space="preserve"> (CESE 2020b:22). The assessment strategies outlined are student-centred, providing </w:t>
      </w:r>
      <w:r w:rsidR="00746DCE">
        <w:t>‘</w:t>
      </w:r>
      <w:r>
        <w:t>students with opportunities to reflect on their progress to inform future learning goals</w:t>
      </w:r>
      <w:r w:rsidR="00746DCE">
        <w:t>’.</w:t>
      </w:r>
      <w:r>
        <w:t xml:space="preserve"> (CESE 2020b:22).</w:t>
      </w:r>
    </w:p>
    <w:p w14:paraId="16248401" w14:textId="39D1269D" w:rsidR="002004ED" w:rsidRDefault="002004ED" w:rsidP="002004ED">
      <w:r>
        <w:t>The assessment advice complies with NESA’s assessment advice, outlined on NESA’s ACE website, NESA official notices and department memorandums</w:t>
      </w:r>
      <w:r w:rsidR="008B02DC">
        <w:t>. They:</w:t>
      </w:r>
    </w:p>
    <w:p w14:paraId="11E8D423" w14:textId="77777777" w:rsidR="002004ED" w:rsidRDefault="002004ED" w:rsidP="002004ED">
      <w:pPr>
        <w:pStyle w:val="ListBullet"/>
        <w:numPr>
          <w:ilvl w:val="0"/>
          <w:numId w:val="2"/>
        </w:numPr>
      </w:pPr>
      <w:r>
        <w:t>include statements of school procedures for allocating grades in Year 10</w:t>
      </w:r>
    </w:p>
    <w:p w14:paraId="2C1EF7EA" w14:textId="77777777" w:rsidR="002004ED" w:rsidRDefault="002004ED" w:rsidP="002004ED">
      <w:pPr>
        <w:pStyle w:val="ListBullet"/>
        <w:numPr>
          <w:ilvl w:val="0"/>
          <w:numId w:val="2"/>
        </w:numPr>
      </w:pPr>
      <w:r>
        <w:t xml:space="preserve">set out requirements to retain student work samples to support grade allocation as required by NESA for the </w:t>
      </w:r>
      <w:proofErr w:type="spellStart"/>
      <w:r>
        <w:t>RoSA</w:t>
      </w:r>
      <w:proofErr w:type="spellEnd"/>
      <w:r>
        <w:t xml:space="preserve"> (</w:t>
      </w:r>
      <w:r w:rsidRPr="008E5407">
        <w:t>NSW Department of Education 2021</w:t>
      </w:r>
      <w:r>
        <w:t>).</w:t>
      </w:r>
    </w:p>
    <w:p w14:paraId="00A95F26" w14:textId="4FEDC305" w:rsidR="004C731C" w:rsidRPr="004C731C" w:rsidRDefault="002004ED" w:rsidP="002004ED">
      <w:r>
        <w:lastRenderedPageBreak/>
        <w:t xml:space="preserve">The assessment strategies outlined provide teachers important information about whether students learned what they intended. </w:t>
      </w:r>
      <w:proofErr w:type="spellStart"/>
      <w:r>
        <w:t>Wiliam</w:t>
      </w:r>
      <w:proofErr w:type="spellEnd"/>
      <w:r>
        <w:t xml:space="preserve"> (2013:15) claims </w:t>
      </w:r>
      <w:r w:rsidR="000571E3">
        <w:t>‘</w:t>
      </w:r>
      <w:r>
        <w:t>the term formative should apply not to the assessment but to the function that the evidence generated by the assessment actually serve</w:t>
      </w:r>
      <w:r w:rsidR="000571E3">
        <w:t>’</w:t>
      </w:r>
      <w:r>
        <w:t xml:space="preserve">. </w:t>
      </w:r>
      <w:r w:rsidR="004C731C">
        <w:br w:type="page"/>
      </w:r>
    </w:p>
    <w:p w14:paraId="7CB3F0F8" w14:textId="44B4AFB2" w:rsidR="00A1057C" w:rsidRDefault="00A1057C" w:rsidP="00A1057C">
      <w:pPr>
        <w:pStyle w:val="Heading2"/>
      </w:pPr>
      <w:r>
        <w:lastRenderedPageBreak/>
        <w:t>References</w:t>
      </w:r>
      <w:bookmarkEnd w:id="0"/>
      <w:bookmarkEnd w:id="1"/>
    </w:p>
    <w:p w14:paraId="1E3054D4" w14:textId="77777777" w:rsidR="00A1057C" w:rsidRPr="00A1057C" w:rsidRDefault="00A1057C" w:rsidP="00A1057C">
      <w:pPr>
        <w:pStyle w:val="FeatureBox2"/>
        <w:rPr>
          <w:rStyle w:val="Strong"/>
        </w:rPr>
      </w:pPr>
      <w:r w:rsidRPr="00A1057C">
        <w:rPr>
          <w:rStyle w:val="Strong"/>
        </w:rPr>
        <w:t>Links to third-party material and websites</w:t>
      </w:r>
    </w:p>
    <w:p w14:paraId="3F331C43"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26D0089D"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Copyright Act 1968 (</w:t>
      </w:r>
      <w:proofErr w:type="spellStart"/>
      <w:r>
        <w:t>Cth</w:t>
      </w:r>
      <w:proofErr w:type="spellEnd"/>
      <w:r>
        <w:t>). The department accepts no responsibility for content on third-party websites.</w:t>
      </w:r>
    </w:p>
    <w:p w14:paraId="7C418498" w14:textId="77777777" w:rsidR="008C2A67" w:rsidRDefault="008C2A67" w:rsidP="008C2A67">
      <w:r>
        <w:t xml:space="preserve">All material </w:t>
      </w:r>
      <w:hyperlink r:id="rId41" w:history="1">
        <w:r w:rsidRPr="00417F01">
          <w:rPr>
            <w:rStyle w:val="Hyperlink"/>
          </w:rPr>
          <w:t>© State of New South Wales (Department of Education), 2021</w:t>
        </w:r>
      </w:hyperlink>
      <w:r>
        <w:t xml:space="preserve"> unless otherwise indicated. All other material used by permission or under licence.</w:t>
      </w:r>
    </w:p>
    <w:p w14:paraId="7888B353" w14:textId="4DA5C4B0" w:rsidR="008C2A67" w:rsidRDefault="008C2A67" w:rsidP="008C2A67">
      <w:r w:rsidRPr="006B34BA">
        <w:t>AITSL (Australian Institute for Teaching and School Leadership (2017) ‘</w:t>
      </w:r>
      <w:hyperlink r:id="rId42" w:anchor=":~:text=FEEDBACK-,Factsheet,-A%20quick%20guide" w:history="1">
        <w:r w:rsidRPr="00AD7703">
          <w:rPr>
            <w:rStyle w:val="Hyperlink"/>
          </w:rPr>
          <w:t>Feedback Factsheet</w:t>
        </w:r>
      </w:hyperlink>
      <w:r w:rsidRPr="006B34BA">
        <w:t xml:space="preserve">’, AITSL, </w:t>
      </w:r>
      <w:r>
        <w:t>accessed 1</w:t>
      </w:r>
      <w:r w:rsidR="004C5931">
        <w:t>6</w:t>
      </w:r>
      <w:r>
        <w:t xml:space="preserve"> November 2022.</w:t>
      </w:r>
    </w:p>
    <w:p w14:paraId="6B776814" w14:textId="2D09E5B6" w:rsidR="00F467CF" w:rsidRPr="00F90EB9" w:rsidRDefault="00F467CF" w:rsidP="008C2A67">
      <w:pPr>
        <w:rPr>
          <w:b/>
          <w:bCs/>
        </w:rPr>
      </w:pPr>
      <w:r w:rsidRPr="00EC038F">
        <w:t>NESA (NSW Education Standards Authority) (202</w:t>
      </w:r>
      <w:r>
        <w:t>2</w:t>
      </w:r>
      <w:r w:rsidRPr="00EC038F">
        <w:t xml:space="preserve">) </w:t>
      </w:r>
      <w:r>
        <w:t>‘</w:t>
      </w:r>
      <w:hyperlink r:id="rId43"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 1</w:t>
      </w:r>
      <w:r>
        <w:t>6</w:t>
      </w:r>
      <w:r w:rsidRPr="00EC038F">
        <w:t xml:space="preserve"> November 2022.</w:t>
      </w:r>
    </w:p>
    <w:p w14:paraId="2F547DF3" w14:textId="46569371" w:rsidR="008C2A67" w:rsidRPr="006E3DA0" w:rsidRDefault="008C2A67" w:rsidP="008C2A67">
      <w:bookmarkStart w:id="4" w:name="_Hlk118282940"/>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44" w:history="1">
        <w:r w:rsidRPr="006E3DA0">
          <w:rPr>
            <w:rStyle w:val="Hyperlink"/>
          </w:rPr>
          <w:t>What works best: 2020 update</w:t>
        </w:r>
      </w:hyperlink>
      <w:r>
        <w:t>’,</w:t>
      </w:r>
      <w:r w:rsidRPr="006E3DA0">
        <w:t xml:space="preserve"> </w:t>
      </w:r>
      <w:r>
        <w:t xml:space="preserve">CESE, </w:t>
      </w:r>
      <w:r w:rsidRPr="006E3DA0">
        <w:t>NSW Department of Education</w:t>
      </w:r>
      <w:r>
        <w:t>, accessed 1</w:t>
      </w:r>
      <w:r w:rsidR="004C5931">
        <w:t>6</w:t>
      </w:r>
      <w:r>
        <w:t xml:space="preserve"> November 2022.</w:t>
      </w:r>
    </w:p>
    <w:p w14:paraId="5770A46C" w14:textId="6FA3C35F" w:rsidR="008C2A67" w:rsidRDefault="008C2A67" w:rsidP="008C2A67">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45"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bookmarkEnd w:id="4"/>
      <w:r>
        <w:t>1</w:t>
      </w:r>
      <w:r w:rsidR="004C5931">
        <w:t>6</w:t>
      </w:r>
      <w:r>
        <w:t xml:space="preserve"> November 2022.</w:t>
      </w:r>
    </w:p>
    <w:p w14:paraId="788B01F4" w14:textId="4596702D" w:rsidR="00CD06D4" w:rsidRDefault="00CD06D4" w:rsidP="008C2A67">
      <w:r>
        <w:t>State of New South Wales</w:t>
      </w:r>
      <w:r w:rsidRPr="006E3DA0">
        <w:t xml:space="preserve"> </w:t>
      </w:r>
      <w:r>
        <w:t>(</w:t>
      </w:r>
      <w:r w:rsidRPr="006E3DA0">
        <w:t>Department of Education</w:t>
      </w:r>
      <w:r>
        <w:t>)</w:t>
      </w:r>
      <w:r w:rsidRPr="006E3DA0">
        <w:t xml:space="preserve"> (20</w:t>
      </w:r>
      <w:r>
        <w:t>21</w:t>
      </w:r>
      <w:r w:rsidRPr="006E3DA0">
        <w:t xml:space="preserve">) </w:t>
      </w:r>
      <w:hyperlink r:id="rId46" w:history="1">
        <w:r w:rsidRPr="00447A69">
          <w:rPr>
            <w:rStyle w:val="Hyperlink"/>
          </w:rPr>
          <w:t>‘COVID-19 Interim Policy Standards – 2022: Implementation document for Curriculum planning and programming, assessing and reporting to parents K-12 policy’</w:t>
        </w:r>
      </w:hyperlink>
      <w:r>
        <w:t>,</w:t>
      </w:r>
      <w:r w:rsidRPr="006E3DA0">
        <w:t xml:space="preserve"> </w:t>
      </w:r>
      <w:r>
        <w:t>NSW Department of Education, accessed 16 November 2022.</w:t>
      </w:r>
    </w:p>
    <w:p w14:paraId="1760B893" w14:textId="5848F586" w:rsidR="00D41B29" w:rsidRPr="003B19DF" w:rsidRDefault="00F467CF" w:rsidP="00F467CF">
      <w:pPr>
        <w:rPr>
          <w:rFonts w:ascii="Calibri" w:eastAsia="Calibri" w:hAnsi="Calibri" w:cs="Calibri"/>
          <w:bCs/>
        </w:rPr>
      </w:pPr>
      <w:r>
        <w:rPr>
          <w:noProof/>
        </w:rPr>
        <w:t>Wiliam D (2013) ‘</w:t>
      </w:r>
      <w:hyperlink r:id="rId47"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r>
        <w:t>accessed 15 November 2022.</w:t>
      </w:r>
    </w:p>
    <w:sectPr w:rsidR="00D41B29" w:rsidRPr="003B19DF" w:rsidSect="000E3AC5">
      <w:footerReference w:type="even" r:id="rId48"/>
      <w:footerReference w:type="default" r:id="rId49"/>
      <w:headerReference w:type="first" r:id="rId50"/>
      <w:footerReference w:type="first" r:id="rId5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1928" w14:textId="77777777" w:rsidR="003A4003" w:rsidRDefault="003A4003" w:rsidP="00E51733">
      <w:r>
        <w:separator/>
      </w:r>
    </w:p>
  </w:endnote>
  <w:endnote w:type="continuationSeparator" w:id="0">
    <w:p w14:paraId="27AB70C3" w14:textId="77777777" w:rsidR="003A4003" w:rsidRDefault="003A4003" w:rsidP="00E51733">
      <w:r>
        <w:continuationSeparator/>
      </w:r>
    </w:p>
  </w:endnote>
  <w:endnote w:type="continuationNotice" w:id="1">
    <w:p w14:paraId="31C3DD15" w14:textId="77777777" w:rsidR="00CB3249" w:rsidRDefault="00CB32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20BE" w14:textId="705CB131"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D06D4">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1613" w14:textId="2C4E3BF6"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995305">
      <w:t xml:space="preserve">Philosophy – </w:t>
    </w:r>
    <w:r w:rsidR="00C312DC">
      <w:t>A</w:t>
    </w:r>
    <w:r w:rsidR="00995305">
      <w:t>ssessment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58B0" w14:textId="77777777" w:rsidR="00DA3FDE" w:rsidRPr="001047D1" w:rsidRDefault="00677835" w:rsidP="001047D1">
    <w:pPr>
      <w:pStyle w:val="Logo"/>
    </w:pPr>
    <w:r w:rsidRPr="001047D1">
      <w:t>education.nsw.gov.au</w:t>
    </w:r>
    <w:r w:rsidRPr="001047D1">
      <w:ptab w:relativeTo="margin" w:alignment="right" w:leader="none"/>
    </w:r>
    <w:r w:rsidRPr="001047D1">
      <w:rPr>
        <w:noProof/>
      </w:rPr>
      <w:drawing>
        <wp:inline distT="0" distB="0" distL="0" distR="0" wp14:anchorId="79922A40" wp14:editId="776BD900">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5C1D" w14:textId="77777777" w:rsidR="003A4003" w:rsidRDefault="003A4003" w:rsidP="00E51733">
      <w:r>
        <w:separator/>
      </w:r>
    </w:p>
  </w:footnote>
  <w:footnote w:type="continuationSeparator" w:id="0">
    <w:p w14:paraId="36E816ED" w14:textId="77777777" w:rsidR="003A4003" w:rsidRDefault="003A4003" w:rsidP="00E51733">
      <w:r>
        <w:continuationSeparator/>
      </w:r>
    </w:p>
  </w:footnote>
  <w:footnote w:type="continuationNotice" w:id="1">
    <w:p w14:paraId="53E0DD47" w14:textId="77777777" w:rsidR="00CB3249" w:rsidRDefault="00CB32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0813"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FA"/>
    <w:rsid w:val="00002419"/>
    <w:rsid w:val="000075E2"/>
    <w:rsid w:val="00013FF2"/>
    <w:rsid w:val="00015AAC"/>
    <w:rsid w:val="000252CB"/>
    <w:rsid w:val="00042CB9"/>
    <w:rsid w:val="00045F0D"/>
    <w:rsid w:val="0004750C"/>
    <w:rsid w:val="000571E3"/>
    <w:rsid w:val="00061D5B"/>
    <w:rsid w:val="00074F0F"/>
    <w:rsid w:val="000801CC"/>
    <w:rsid w:val="00081700"/>
    <w:rsid w:val="0009588B"/>
    <w:rsid w:val="000C24ED"/>
    <w:rsid w:val="000D3BBE"/>
    <w:rsid w:val="000D3F39"/>
    <w:rsid w:val="000D7466"/>
    <w:rsid w:val="000E3AC5"/>
    <w:rsid w:val="000E55FE"/>
    <w:rsid w:val="000E7036"/>
    <w:rsid w:val="000F79BD"/>
    <w:rsid w:val="00100EB2"/>
    <w:rsid w:val="001038BF"/>
    <w:rsid w:val="0010442A"/>
    <w:rsid w:val="001047D1"/>
    <w:rsid w:val="00106E69"/>
    <w:rsid w:val="00107026"/>
    <w:rsid w:val="00112528"/>
    <w:rsid w:val="00156B7D"/>
    <w:rsid w:val="00172041"/>
    <w:rsid w:val="00190C6F"/>
    <w:rsid w:val="001A2D64"/>
    <w:rsid w:val="001A3009"/>
    <w:rsid w:val="001A3E1F"/>
    <w:rsid w:val="001C4388"/>
    <w:rsid w:val="001C7E97"/>
    <w:rsid w:val="001D5230"/>
    <w:rsid w:val="001E390D"/>
    <w:rsid w:val="001F460F"/>
    <w:rsid w:val="001F46D3"/>
    <w:rsid w:val="002004ED"/>
    <w:rsid w:val="00202E10"/>
    <w:rsid w:val="002105AD"/>
    <w:rsid w:val="002159DF"/>
    <w:rsid w:val="00215C47"/>
    <w:rsid w:val="00241AAE"/>
    <w:rsid w:val="00246E32"/>
    <w:rsid w:val="00247EBA"/>
    <w:rsid w:val="00250FAC"/>
    <w:rsid w:val="0025178D"/>
    <w:rsid w:val="00260DBE"/>
    <w:rsid w:val="00261781"/>
    <w:rsid w:val="0026548C"/>
    <w:rsid w:val="00266207"/>
    <w:rsid w:val="0027305A"/>
    <w:rsid w:val="0027370C"/>
    <w:rsid w:val="00285EAA"/>
    <w:rsid w:val="00290C80"/>
    <w:rsid w:val="00291932"/>
    <w:rsid w:val="00293923"/>
    <w:rsid w:val="002A28B4"/>
    <w:rsid w:val="002A2B8C"/>
    <w:rsid w:val="002A35CF"/>
    <w:rsid w:val="002A475D"/>
    <w:rsid w:val="002B467C"/>
    <w:rsid w:val="002D4D48"/>
    <w:rsid w:val="002F7CFE"/>
    <w:rsid w:val="00306C23"/>
    <w:rsid w:val="00310B7E"/>
    <w:rsid w:val="00337A5B"/>
    <w:rsid w:val="00340DD9"/>
    <w:rsid w:val="0034117B"/>
    <w:rsid w:val="003560E4"/>
    <w:rsid w:val="00360E17"/>
    <w:rsid w:val="0036209C"/>
    <w:rsid w:val="00383021"/>
    <w:rsid w:val="00384330"/>
    <w:rsid w:val="00385DFB"/>
    <w:rsid w:val="00387558"/>
    <w:rsid w:val="003930E4"/>
    <w:rsid w:val="00393BAD"/>
    <w:rsid w:val="003A4003"/>
    <w:rsid w:val="003A5190"/>
    <w:rsid w:val="003B19DF"/>
    <w:rsid w:val="003B240E"/>
    <w:rsid w:val="003C627B"/>
    <w:rsid w:val="003D13EF"/>
    <w:rsid w:val="003E3B3A"/>
    <w:rsid w:val="003E47E4"/>
    <w:rsid w:val="003F3069"/>
    <w:rsid w:val="00401084"/>
    <w:rsid w:val="00405440"/>
    <w:rsid w:val="00407A17"/>
    <w:rsid w:val="00407EF0"/>
    <w:rsid w:val="00412F2B"/>
    <w:rsid w:val="004178B3"/>
    <w:rsid w:val="00417F01"/>
    <w:rsid w:val="004252B4"/>
    <w:rsid w:val="00430F12"/>
    <w:rsid w:val="00433D9F"/>
    <w:rsid w:val="0044411D"/>
    <w:rsid w:val="004662AB"/>
    <w:rsid w:val="00480185"/>
    <w:rsid w:val="0048642E"/>
    <w:rsid w:val="004B484F"/>
    <w:rsid w:val="004B539A"/>
    <w:rsid w:val="004C5931"/>
    <w:rsid w:val="004C731C"/>
    <w:rsid w:val="004E036B"/>
    <w:rsid w:val="004E7B2B"/>
    <w:rsid w:val="004F48DD"/>
    <w:rsid w:val="004F6AF2"/>
    <w:rsid w:val="00506DFA"/>
    <w:rsid w:val="00511040"/>
    <w:rsid w:val="00511863"/>
    <w:rsid w:val="0052654A"/>
    <w:rsid w:val="00526795"/>
    <w:rsid w:val="00541FBB"/>
    <w:rsid w:val="0056228C"/>
    <w:rsid w:val="005649D2"/>
    <w:rsid w:val="0058102D"/>
    <w:rsid w:val="00583731"/>
    <w:rsid w:val="005934B4"/>
    <w:rsid w:val="005A34DB"/>
    <w:rsid w:val="005A67CA"/>
    <w:rsid w:val="005A6AAA"/>
    <w:rsid w:val="005B0A47"/>
    <w:rsid w:val="005B10F2"/>
    <w:rsid w:val="005B184F"/>
    <w:rsid w:val="005B77E0"/>
    <w:rsid w:val="005C14A7"/>
    <w:rsid w:val="005D49FE"/>
    <w:rsid w:val="005E1F63"/>
    <w:rsid w:val="005E3ECC"/>
    <w:rsid w:val="005F658C"/>
    <w:rsid w:val="0061045D"/>
    <w:rsid w:val="00625493"/>
    <w:rsid w:val="00626BBF"/>
    <w:rsid w:val="0064065A"/>
    <w:rsid w:val="0064273E"/>
    <w:rsid w:val="00643879"/>
    <w:rsid w:val="00643CC4"/>
    <w:rsid w:val="006460B8"/>
    <w:rsid w:val="00651B50"/>
    <w:rsid w:val="00662E0E"/>
    <w:rsid w:val="00666EE6"/>
    <w:rsid w:val="00670F4E"/>
    <w:rsid w:val="00677835"/>
    <w:rsid w:val="00680388"/>
    <w:rsid w:val="0068187E"/>
    <w:rsid w:val="006876B1"/>
    <w:rsid w:val="00696410"/>
    <w:rsid w:val="006A3884"/>
    <w:rsid w:val="006B5FC6"/>
    <w:rsid w:val="006C52D9"/>
    <w:rsid w:val="006D00B0"/>
    <w:rsid w:val="006D1CF3"/>
    <w:rsid w:val="006E54D3"/>
    <w:rsid w:val="006F3E04"/>
    <w:rsid w:val="007029C6"/>
    <w:rsid w:val="007114CE"/>
    <w:rsid w:val="00717237"/>
    <w:rsid w:val="0073382A"/>
    <w:rsid w:val="00746DCE"/>
    <w:rsid w:val="00763861"/>
    <w:rsid w:val="00766D19"/>
    <w:rsid w:val="007967E9"/>
    <w:rsid w:val="007A65FC"/>
    <w:rsid w:val="007B020C"/>
    <w:rsid w:val="007B25AE"/>
    <w:rsid w:val="007B523A"/>
    <w:rsid w:val="007C61E6"/>
    <w:rsid w:val="007F066A"/>
    <w:rsid w:val="007F6BE6"/>
    <w:rsid w:val="0080248A"/>
    <w:rsid w:val="00804F58"/>
    <w:rsid w:val="008073B1"/>
    <w:rsid w:val="008108DD"/>
    <w:rsid w:val="008559F3"/>
    <w:rsid w:val="00856CA3"/>
    <w:rsid w:val="00865BC1"/>
    <w:rsid w:val="0087496A"/>
    <w:rsid w:val="00890EEE"/>
    <w:rsid w:val="008A4CF6"/>
    <w:rsid w:val="008A5FD8"/>
    <w:rsid w:val="008B02DC"/>
    <w:rsid w:val="008C2A67"/>
    <w:rsid w:val="008C6BD5"/>
    <w:rsid w:val="008D3938"/>
    <w:rsid w:val="008D774B"/>
    <w:rsid w:val="008E3DE9"/>
    <w:rsid w:val="008F0C05"/>
    <w:rsid w:val="00905449"/>
    <w:rsid w:val="009107ED"/>
    <w:rsid w:val="009108D5"/>
    <w:rsid w:val="009138BF"/>
    <w:rsid w:val="00931D1C"/>
    <w:rsid w:val="0093679E"/>
    <w:rsid w:val="00941C04"/>
    <w:rsid w:val="0096542F"/>
    <w:rsid w:val="009739C8"/>
    <w:rsid w:val="00982157"/>
    <w:rsid w:val="009831C3"/>
    <w:rsid w:val="009836BF"/>
    <w:rsid w:val="00993CC3"/>
    <w:rsid w:val="00995305"/>
    <w:rsid w:val="009B1280"/>
    <w:rsid w:val="009C2DB5"/>
    <w:rsid w:val="009C5B0E"/>
    <w:rsid w:val="009D1FAD"/>
    <w:rsid w:val="009D5430"/>
    <w:rsid w:val="009F5A91"/>
    <w:rsid w:val="009F703C"/>
    <w:rsid w:val="00A016EE"/>
    <w:rsid w:val="00A1057C"/>
    <w:rsid w:val="00A119B4"/>
    <w:rsid w:val="00A12C29"/>
    <w:rsid w:val="00A16172"/>
    <w:rsid w:val="00A170A2"/>
    <w:rsid w:val="00A423D3"/>
    <w:rsid w:val="00A52147"/>
    <w:rsid w:val="00A534B8"/>
    <w:rsid w:val="00A54063"/>
    <w:rsid w:val="00A5409F"/>
    <w:rsid w:val="00A57460"/>
    <w:rsid w:val="00A63054"/>
    <w:rsid w:val="00A71A61"/>
    <w:rsid w:val="00A913D0"/>
    <w:rsid w:val="00A936D9"/>
    <w:rsid w:val="00AB099B"/>
    <w:rsid w:val="00AB1340"/>
    <w:rsid w:val="00AB2F2E"/>
    <w:rsid w:val="00AB39A3"/>
    <w:rsid w:val="00AC13C5"/>
    <w:rsid w:val="00AD3C8E"/>
    <w:rsid w:val="00B176A3"/>
    <w:rsid w:val="00B179BA"/>
    <w:rsid w:val="00B2036D"/>
    <w:rsid w:val="00B23F99"/>
    <w:rsid w:val="00B26C50"/>
    <w:rsid w:val="00B37D1D"/>
    <w:rsid w:val="00B46033"/>
    <w:rsid w:val="00B6356C"/>
    <w:rsid w:val="00B65452"/>
    <w:rsid w:val="00B6613D"/>
    <w:rsid w:val="00B72931"/>
    <w:rsid w:val="00B80AAD"/>
    <w:rsid w:val="00B93FDA"/>
    <w:rsid w:val="00BA35BD"/>
    <w:rsid w:val="00BA7230"/>
    <w:rsid w:val="00BA7AAB"/>
    <w:rsid w:val="00BB7CCF"/>
    <w:rsid w:val="00BC71FD"/>
    <w:rsid w:val="00BC7849"/>
    <w:rsid w:val="00BD2793"/>
    <w:rsid w:val="00BF35D4"/>
    <w:rsid w:val="00BF365E"/>
    <w:rsid w:val="00BF732E"/>
    <w:rsid w:val="00C03DC7"/>
    <w:rsid w:val="00C1097D"/>
    <w:rsid w:val="00C10A5C"/>
    <w:rsid w:val="00C17204"/>
    <w:rsid w:val="00C26AC8"/>
    <w:rsid w:val="00C312DC"/>
    <w:rsid w:val="00C35E79"/>
    <w:rsid w:val="00C436AB"/>
    <w:rsid w:val="00C60E2C"/>
    <w:rsid w:val="00C62B29"/>
    <w:rsid w:val="00C664FC"/>
    <w:rsid w:val="00C7209F"/>
    <w:rsid w:val="00C9588F"/>
    <w:rsid w:val="00CA0226"/>
    <w:rsid w:val="00CB2145"/>
    <w:rsid w:val="00CB3249"/>
    <w:rsid w:val="00CB66B0"/>
    <w:rsid w:val="00CB7840"/>
    <w:rsid w:val="00CD06D4"/>
    <w:rsid w:val="00CD6723"/>
    <w:rsid w:val="00CF73E9"/>
    <w:rsid w:val="00D06247"/>
    <w:rsid w:val="00D136E3"/>
    <w:rsid w:val="00D15A52"/>
    <w:rsid w:val="00D31E35"/>
    <w:rsid w:val="00D41B29"/>
    <w:rsid w:val="00D56F8D"/>
    <w:rsid w:val="00D6098C"/>
    <w:rsid w:val="00D61CE0"/>
    <w:rsid w:val="00D6740C"/>
    <w:rsid w:val="00D678DB"/>
    <w:rsid w:val="00D963BE"/>
    <w:rsid w:val="00D967F3"/>
    <w:rsid w:val="00DA1B0D"/>
    <w:rsid w:val="00DC74E1"/>
    <w:rsid w:val="00DD2F4E"/>
    <w:rsid w:val="00DD422F"/>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6CA0"/>
    <w:rsid w:val="00E73BF5"/>
    <w:rsid w:val="00E836F5"/>
    <w:rsid w:val="00E94927"/>
    <w:rsid w:val="00EA69C9"/>
    <w:rsid w:val="00EE5947"/>
    <w:rsid w:val="00F142B0"/>
    <w:rsid w:val="00F14D7F"/>
    <w:rsid w:val="00F20AC8"/>
    <w:rsid w:val="00F3454B"/>
    <w:rsid w:val="00F36A5A"/>
    <w:rsid w:val="00F467CF"/>
    <w:rsid w:val="00F522E3"/>
    <w:rsid w:val="00F66145"/>
    <w:rsid w:val="00F67719"/>
    <w:rsid w:val="00F72F2A"/>
    <w:rsid w:val="00F81980"/>
    <w:rsid w:val="00F83A0D"/>
    <w:rsid w:val="00FA3555"/>
    <w:rsid w:val="00FA606B"/>
    <w:rsid w:val="00FA7432"/>
    <w:rsid w:val="00FB2957"/>
    <w:rsid w:val="00FC1B39"/>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518E"/>
  <w15:chartTrackingRefBased/>
  <w15:docId w15:val="{FE58269E-8BDB-494C-A2B4-64FAF63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22"/>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basedOn w:val="Normal"/>
    <w:next w:val="Normal"/>
    <w:uiPriority w:val="12"/>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paragraph" w:styleId="Revision">
    <w:name w:val="Revision"/>
    <w:hidden/>
    <w:uiPriority w:val="99"/>
    <w:semiHidden/>
    <w:rsid w:val="00CB3249"/>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B3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Tool/Card/621" TargetMode="External"/><Relationship Id="rId18" Type="http://schemas.openxmlformats.org/officeDocument/2006/relationships/hyperlink" Target="https://app.education.nsw.gov.au/digital-learning-selector/LearningActivity/Card/645" TargetMode="External"/><Relationship Id="rId26" Type="http://schemas.openxmlformats.org/officeDocument/2006/relationships/hyperlink" Target="https://education.nsw.gov.au/teaching-and-learning/curriculum/literacy-and-numeracy/resources-for-schools/eald/enhanced-teaching-and-learning-cycle" TargetMode="External"/><Relationship Id="rId39" Type="http://schemas.openxmlformats.org/officeDocument/2006/relationships/hyperlink" Target="https://education.nsw.gov.au/teaching-and-learning/curriculum/statewide-staffrooms" TargetMode="External"/><Relationship Id="rId21" Type="http://schemas.openxmlformats.org/officeDocument/2006/relationships/hyperlink" Target="https://app.education.nsw.gov.au/digital-learning-selector/LearningActivity/Card/564" TargetMode="External"/><Relationship Id="rId34" Type="http://schemas.openxmlformats.org/officeDocument/2006/relationships/hyperlink" Target="https://education.nsw.gov.au/teaching-and-learning/high-potential-and-gifted-education/supporting-educators/evaluate" TargetMode="External"/><Relationship Id="rId42" Type="http://schemas.openxmlformats.org/officeDocument/2006/relationships/hyperlink" Target="https://www.aitsl.edu.au/teach/improve-practice/feedback" TargetMode="External"/><Relationship Id="rId47" Type="http://schemas.openxmlformats.org/officeDocument/2006/relationships/hyperlink" Target="https://www.researchgate.net/publication/258423377_Assessment_The_bridge_between_teaching_and_learning" TargetMode="External"/><Relationship Id="rId50" Type="http://schemas.openxmlformats.org/officeDocument/2006/relationships/header" Target="header1.xml"/><Relationship Id="rId55"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pp.education.nsw.gov.au/digital-learning-selector/LearningActivity/Card/549" TargetMode="External"/><Relationship Id="rId29" Type="http://schemas.openxmlformats.org/officeDocument/2006/relationships/hyperlink" Target="https://education.nsw.gov.au/teaching-and-learning/curriculum/literacy-and-numeracy/resources-for-schools/eald" TargetMode="External"/><Relationship Id="rId11" Type="http://schemas.openxmlformats.org/officeDocument/2006/relationships/hyperlink" Target="https://app.education.nsw.gov.au/digital-learning-selector/LearningActivity/Card/575" TargetMode="External"/><Relationship Id="rId24" Type="http://schemas.openxmlformats.org/officeDocument/2006/relationships/hyperlink" Target="https://education.nsw.gov.au/campaigns/inclusive-practice-hub/primary-school/teaching-strategies/differentiation" TargetMode="External"/><Relationship Id="rId32" Type="http://schemas.openxmlformats.org/officeDocument/2006/relationships/hyperlink" Target="https://education.nsw.gov.au/campaigns/inclusive-practice-hub/primary-school/teaching-strategies/differentiation" TargetMode="External"/><Relationship Id="rId37" Type="http://schemas.openxmlformats.org/officeDocument/2006/relationships/hyperlink" Target="mailto:secondaryteachingandlearning@det.nsw.edu.au" TargetMode="External"/><Relationship Id="rId40" Type="http://schemas.openxmlformats.org/officeDocument/2006/relationships/hyperlink" Target="https://education.nsw.gov.au/teaching-and-learning/learning-from-home/teaching-at-home/teaching-and-learning-resources/universal-design-for-learning" TargetMode="External"/><Relationship Id="rId45" Type="http://schemas.openxmlformats.org/officeDocument/2006/relationships/hyperlink" Target="https://education.nsw.gov.au/about-us/educational-data/cese/publications/practical-guides-for-educators-/what-works-best-in-practic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app.education.nsw.gov.au/digital-learning-selector/LearningActivity/Card/543" TargetMode="External"/><Relationship Id="rId19" Type="http://schemas.openxmlformats.org/officeDocument/2006/relationships/hyperlink" Target="https://app.education.nsw.gov.au/digital-learning-selector/LearningActivity/Card/562" TargetMode="External"/><Relationship Id="rId31" Type="http://schemas.openxmlformats.org/officeDocument/2006/relationships/hyperlink" Target="https://education.nsw.gov.au/teaching-and-learning/learning-from-home/teaching-at-home/teaching-and-learning-resources/universal-design-for-learning" TargetMode="External"/><Relationship Id="rId44" Type="http://schemas.openxmlformats.org/officeDocument/2006/relationships/hyperlink" Target="https://education.nsw.gov.au/about-us/educational-data/cese/publications/research-reports/what-works-best-2020-updat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education.nsw.gov.au/digital-learning-selector/LearningActivity/Card/622" TargetMode="External"/><Relationship Id="rId14" Type="http://schemas.openxmlformats.org/officeDocument/2006/relationships/hyperlink" Target="https://app.education.nsw.gov.au/digital-learning-selector/LearningTool/Card/587" TargetMode="External"/><Relationship Id="rId22" Type="http://schemas.openxmlformats.org/officeDocument/2006/relationships/hyperlink" Target="https://education.nsw.gov.au/about-us/educational-data/cese/publications/research-reports/what-works-best-2020-update" TargetMode="External"/><Relationship Id="rId27" Type="http://schemas.openxmlformats.org/officeDocument/2006/relationships/hyperlink" Target="https://education.nsw.gov.au/teaching-and-learning/curriculum/multicultural-education/english-as-an-additional-language-or-dialect/planning-eald-support/english-language-proficiency" TargetMode="External"/><Relationship Id="rId30" Type="http://schemas.openxmlformats.org/officeDocument/2006/relationships/hyperlink" Target="https://education.nsw.gov.au/teaching-and-learning/disability-learning-and-support/personalised-support-for-learning/adjustments-to-teaching-and-learning" TargetMode="External"/><Relationship Id="rId35" Type="http://schemas.openxmlformats.org/officeDocument/2006/relationships/hyperlink" Target="https://education.nsw.gov.au/teaching-and-learning/high-potential-and-gifted-education/supporting-educators/implement/differentiation-adjustment-strategies" TargetMode="External"/><Relationship Id="rId43" Type="http://schemas.openxmlformats.org/officeDocument/2006/relationships/hyperlink" Target="https://educationstandards.nsw.edu.au/wps/portal/nesa/teacher-accreditation/meeting-requirements/the-standards/proficient-teacher" TargetMode="External"/><Relationship Id="rId48" Type="http://schemas.openxmlformats.org/officeDocument/2006/relationships/footer" Target="footer1.xml"/><Relationship Id="rId56" Type="http://schemas.openxmlformats.org/officeDocument/2006/relationships/customXml" Target="../customXml/item3.xml"/><Relationship Id="rId8" Type="http://schemas.openxmlformats.org/officeDocument/2006/relationships/hyperlink" Target="https://forms.office.com/Pages/ResponsePage.aspx?id=muagBYpBwUecJZOHJhv5kbKo2q_ZUXlHndJMnh2Wd8NUOUk0VTIzUDVVSlVFQVM5MkdOMkJGTjVKNCQlQCN0PWcu"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app.education.nsw.gov.au/digital-learning-selector/LearningActivity/Card/557" TargetMode="External"/><Relationship Id="rId17" Type="http://schemas.openxmlformats.org/officeDocument/2006/relationships/hyperlink" Target="https://app.education.nsw.gov.au/digital-learning-selector/LearningActivity/Browser?cache_id=1d29b" TargetMode="External"/><Relationship Id="rId25" Type="http://schemas.openxmlformats.org/officeDocument/2006/relationships/hyperlink" Target="https://education.nsw.gov.au/teaching-and-learning/aec/aboriginal-education-in-nsw-public-schools" TargetMode="External"/><Relationship Id="rId33" Type="http://schemas.openxmlformats.org/officeDocument/2006/relationships/hyperlink" Target="https://education.nsw.gov.au/teaching-and-learning/high-potential-and-gifted-education/supporting-educators/assess-and-identify" TargetMode="External"/><Relationship Id="rId38" Type="http://schemas.openxmlformats.org/officeDocument/2006/relationships/hyperlink" Target="https://educationstandards.nsw.edu.au/wps/portal/nesa/teacher-accreditation/meeting-requirements/the-standards/proficient-teacher" TargetMode="External"/><Relationship Id="rId46" Type="http://schemas.openxmlformats.org/officeDocument/2006/relationships/hyperlink" Target="https://education.nsw.gov.au/policy-library/policies/pd-2005-0290" TargetMode="External"/><Relationship Id="rId20" Type="http://schemas.openxmlformats.org/officeDocument/2006/relationships/hyperlink" Target="https://app.education.nsw.gov.au/digital-learning-selector/LearningActivity/Card/583" TargetMode="External"/><Relationship Id="rId41" Type="http://schemas.openxmlformats.org/officeDocument/2006/relationships/hyperlink" Target="https://education.nsw.gov.au/about-us/copyright" TargetMode="External"/><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itsl.edu.au/teach/improve-practice/feedback" TargetMode="External"/><Relationship Id="rId23" Type="http://schemas.openxmlformats.org/officeDocument/2006/relationships/hyperlink" Target="https://education.nsw.gov.au/teaching-and-learning/professional-learning/teacher-quality-and-accreditation/strong-start-great-teachers/refining-practice/differentiating-learning" TargetMode="External"/><Relationship Id="rId28" Type="http://schemas.openxmlformats.org/officeDocument/2006/relationships/hyperlink" Target="https://education.nsw.gov.au/teaching-and-learning/curriculum/multicultural-education/english-as-an-additional-language-or-dialect/planning-eald-support/english-language-proficiency" TargetMode="External"/><Relationship Id="rId36" Type="http://schemas.openxmlformats.org/officeDocument/2006/relationships/hyperlink" Target="https://schoolsnsw.sharepoint.com/sites/HPGEHub/SitePages/Home.aspx" TargetMode="External"/><Relationship Id="rId4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785E8-4494-4CB2-96B4-1A95D04E47CB}"/>
</file>

<file path=customXml/itemProps2.xml><?xml version="1.0" encoding="utf-8"?>
<ds:datastoreItem xmlns:ds="http://schemas.openxmlformats.org/officeDocument/2006/customXml" ds:itemID="{DB4FCB4B-5826-45F9-8854-714AC7950DB7}"/>
</file>

<file path=customXml/itemProps3.xml><?xml version="1.0" encoding="utf-8"?>
<ds:datastoreItem xmlns:ds="http://schemas.openxmlformats.org/officeDocument/2006/customXml" ds:itemID="{64347034-7A7E-43FC-9233-F1E16993226D}"/>
</file>

<file path=docProps/app.xml><?xml version="1.0" encoding="utf-8"?>
<Properties xmlns="http://schemas.openxmlformats.org/officeDocument/2006/extended-properties" xmlns:vt="http://schemas.openxmlformats.org/officeDocument/2006/docPropsVTypes">
  <Template>Normal.dotm</Template>
  <TotalTime>9</TotalTime>
  <Pages>11</Pages>
  <Words>3218</Words>
  <Characters>19378</Characters>
  <Application>Microsoft Office Word</Application>
  <DocSecurity>0</DocSecurity>
  <Lines>352</Lines>
  <Paragraphs>168</Paragraphs>
  <ScaleCrop>false</ScaleCrop>
  <HeadingPairs>
    <vt:vector size="2" baseType="variant">
      <vt:variant>
        <vt:lpstr>Title</vt:lpstr>
      </vt:variant>
      <vt:variant>
        <vt:i4>1</vt:i4>
      </vt:variant>
    </vt:vector>
  </HeadingPairs>
  <TitlesOfParts>
    <vt:vector size="1" baseType="lpstr">
      <vt:lpstr>DAE-philosophy-assessment-advice</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assessment advice</dc:title>
  <dc:subject/>
  <dc:creator>NSW Department of Education</dc:creator>
  <cp:keywords/>
  <dc:description/>
  <dcterms:created xsi:type="dcterms:W3CDTF">2022-11-16T05:38:00Z</dcterms:created>
  <dcterms:modified xsi:type="dcterms:W3CDTF">2022-11-16T06:18:00Z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