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6521" w14:textId="311F12A2" w:rsidR="00B53FCE" w:rsidRPr="006B4F4E" w:rsidRDefault="00404C5A" w:rsidP="006B4F4E">
      <w:pPr>
        <w:pStyle w:val="Heading1"/>
      </w:pPr>
      <w:r w:rsidRPr="006B4F4E">
        <w:t>Big History</w:t>
      </w:r>
      <w:r w:rsidR="00343281" w:rsidRPr="006B4F4E">
        <w:t xml:space="preserve"> – </w:t>
      </w:r>
      <w:r w:rsidR="00D1693E" w:rsidRPr="006B4F4E">
        <w:t>2</w:t>
      </w:r>
      <w:r w:rsidR="00343281" w:rsidRPr="006B4F4E">
        <w:t>00</w:t>
      </w:r>
      <w:r w:rsidR="004B1BAA" w:rsidRPr="006B4F4E">
        <w:t>-</w:t>
      </w:r>
      <w:r w:rsidR="00343281" w:rsidRPr="006B4F4E">
        <w:t>hour sample scope and sequence</w:t>
      </w:r>
    </w:p>
    <w:p w14:paraId="427E6DC4" w14:textId="39783589" w:rsidR="00343281" w:rsidRDefault="00343281" w:rsidP="00343281">
      <w:r w:rsidRPr="00343281">
        <w:t>This example is provided as a guide only. Schools will operate their department approved electives based on school and students</w:t>
      </w:r>
      <w:r w:rsidR="00F47A96">
        <w:t>’</w:t>
      </w:r>
      <w:r w:rsidRPr="00343281">
        <w:t xml:space="preserve"> needs and local context.</w:t>
      </w:r>
    </w:p>
    <w:p w14:paraId="0745DCB0" w14:textId="0F532E9C" w:rsidR="00343281" w:rsidRDefault="00343281" w:rsidP="00343281">
      <w:pPr>
        <w:pStyle w:val="Caption"/>
      </w:pPr>
      <w:r>
        <w:t xml:space="preserve">Table </w:t>
      </w:r>
      <w:r w:rsidR="00E52D42">
        <w:fldChar w:fldCharType="begin"/>
      </w:r>
      <w:r w:rsidR="00E52D42">
        <w:instrText xml:space="preserve"> SEQ Table \* ARABIC </w:instrText>
      </w:r>
      <w:r w:rsidR="00E52D42">
        <w:fldChar w:fldCharType="separate"/>
      </w:r>
      <w:r w:rsidR="00831071">
        <w:rPr>
          <w:noProof/>
        </w:rPr>
        <w:t>1</w:t>
      </w:r>
      <w:r w:rsidR="00E52D42">
        <w:rPr>
          <w:noProof/>
        </w:rPr>
        <w:fldChar w:fldCharType="end"/>
      </w:r>
      <w:r>
        <w:t xml:space="preserve"> – </w:t>
      </w:r>
      <w:r w:rsidR="00404C5A">
        <w:t xml:space="preserve">Big History </w:t>
      </w:r>
      <w:r w:rsidR="00D1693E">
        <w:t>2</w:t>
      </w:r>
      <w:r w:rsidRPr="00343281">
        <w:t>00-hour scope and sequence</w:t>
      </w:r>
      <w:r w:rsidR="00805B45">
        <w:t xml:space="preserve"> (Year 9)</w:t>
      </w:r>
    </w:p>
    <w:tbl>
      <w:tblPr>
        <w:tblStyle w:val="Tableheader"/>
        <w:tblW w:w="5000" w:type="pct"/>
        <w:tblLook w:val="04A0" w:firstRow="1" w:lastRow="0" w:firstColumn="1" w:lastColumn="0" w:noHBand="0" w:noVBand="1"/>
        <w:tblDescription w:val="Core topics, timing, outcomes and assessment details for the 200-hour scope and sequence."/>
      </w:tblPr>
      <w:tblGrid>
        <w:gridCol w:w="3314"/>
        <w:gridCol w:w="2965"/>
        <w:gridCol w:w="5315"/>
        <w:gridCol w:w="2968"/>
      </w:tblGrid>
      <w:tr w:rsidR="00343281" w14:paraId="167299FB" w14:textId="77777777" w:rsidTr="00524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14:paraId="1E2FEF4E" w14:textId="77777777" w:rsidR="00343281" w:rsidRDefault="00343281" w:rsidP="00343281">
            <w:r w:rsidRPr="006338EF">
              <w:t>Topic</w:t>
            </w:r>
          </w:p>
        </w:tc>
        <w:tc>
          <w:tcPr>
            <w:tcW w:w="1018" w:type="pct"/>
          </w:tcPr>
          <w:p w14:paraId="2FFC52FC"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1825" w:type="pct"/>
          </w:tcPr>
          <w:p w14:paraId="7E086A9B"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1019" w:type="pct"/>
          </w:tcPr>
          <w:p w14:paraId="23EEAD14"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7C131B" w14:paraId="5DFD8481" w14:textId="77777777" w:rsidTr="00524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14:paraId="4589F120" w14:textId="6E80D811" w:rsidR="007C131B" w:rsidRDefault="007C131B" w:rsidP="007C131B">
            <w:pPr>
              <w:rPr>
                <w:b w:val="0"/>
              </w:rPr>
            </w:pPr>
            <w:r>
              <w:t>What is Big History?</w:t>
            </w:r>
          </w:p>
          <w:p w14:paraId="57F42247" w14:textId="7762AF11" w:rsidR="007C131B" w:rsidRDefault="007C131B" w:rsidP="007C131B">
            <w:r>
              <w:t>20 hours</w:t>
            </w:r>
          </w:p>
        </w:tc>
        <w:tc>
          <w:tcPr>
            <w:tcW w:w="1018" w:type="pct"/>
          </w:tcPr>
          <w:p w14:paraId="6CC746B1" w14:textId="77777777" w:rsidR="007C131B" w:rsidRDefault="007C131B" w:rsidP="007C131B">
            <w:pPr>
              <w:cnfStyle w:val="000000100000" w:firstRow="0" w:lastRow="0" w:firstColumn="0" w:lastColumn="0" w:oddVBand="0" w:evenVBand="0" w:oddHBand="1" w:evenHBand="0" w:firstRowFirstColumn="0" w:firstRowLastColumn="0" w:lastRowFirstColumn="0" w:lastRowLastColumn="0"/>
            </w:pPr>
            <w:r>
              <w:t>Term 1 – Year 9</w:t>
            </w:r>
          </w:p>
          <w:p w14:paraId="1C31AEED" w14:textId="33EFF64D" w:rsidR="007C131B" w:rsidRDefault="007C131B" w:rsidP="007C131B">
            <w:pPr>
              <w:cnfStyle w:val="000000100000" w:firstRow="0" w:lastRow="0" w:firstColumn="0" w:lastColumn="0" w:oddVBand="0" w:evenVBand="0" w:oddHBand="1" w:evenHBand="0" w:firstRowFirstColumn="0" w:firstRowLastColumn="0" w:lastRowFirstColumn="0" w:lastRowLastColumn="0"/>
            </w:pPr>
            <w:r>
              <w:t>8 weeks</w:t>
            </w:r>
          </w:p>
        </w:tc>
        <w:tc>
          <w:tcPr>
            <w:tcW w:w="1825" w:type="pct"/>
          </w:tcPr>
          <w:p w14:paraId="39108421" w14:textId="0C9A9069" w:rsidR="007C131B" w:rsidRPr="009268C3" w:rsidRDefault="007C131B" w:rsidP="007C131B">
            <w:pPr>
              <w:cnfStyle w:val="000000100000" w:firstRow="0" w:lastRow="0" w:firstColumn="0" w:lastColumn="0" w:oddVBand="0" w:evenVBand="0" w:oddHBand="1" w:evenHBand="0" w:firstRowFirstColumn="0" w:firstRowLastColumn="0" w:lastRowFirstColumn="0" w:lastRowLastColumn="0"/>
            </w:pPr>
            <w:r>
              <w:t>BH5-1, BH5-3, BH5-5, BH5-6, BH5-8, BH5-9</w:t>
            </w:r>
          </w:p>
        </w:tc>
        <w:tc>
          <w:tcPr>
            <w:tcW w:w="1019" w:type="pct"/>
          </w:tcPr>
          <w:p w14:paraId="0D179D63" w14:textId="1D9B5413" w:rsidR="007C131B" w:rsidRPr="009268C3" w:rsidRDefault="007C131B" w:rsidP="007C131B">
            <w:pPr>
              <w:cnfStyle w:val="000000100000" w:firstRow="0" w:lastRow="0" w:firstColumn="0" w:lastColumn="0" w:oddVBand="0" w:evenVBand="0" w:oddHBand="1" w:evenHBand="0" w:firstRowFirstColumn="0" w:firstRowLastColumn="0" w:lastRowFirstColumn="0" w:lastRowLastColumn="0"/>
            </w:pPr>
            <w:r>
              <w:t>Not formally assessed</w:t>
            </w:r>
          </w:p>
        </w:tc>
      </w:tr>
      <w:tr w:rsidR="007C131B" w14:paraId="62DD3F18" w14:textId="77777777" w:rsidTr="00524087">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61D122C7" w14:textId="4525B6C4" w:rsidR="007C131B" w:rsidRDefault="007C131B" w:rsidP="007C131B">
            <w:pPr>
              <w:rPr>
                <w:b w:val="0"/>
              </w:rPr>
            </w:pPr>
            <w:r>
              <w:t xml:space="preserve">Big </w:t>
            </w:r>
            <w:r w:rsidR="008C4B4C">
              <w:t>B</w:t>
            </w:r>
            <w:r>
              <w:t>ang</w:t>
            </w:r>
          </w:p>
          <w:p w14:paraId="2F3004EF" w14:textId="2F11E952" w:rsidR="007C131B" w:rsidRDefault="007C131B" w:rsidP="007C131B">
            <w:r>
              <w:t>10 hours</w:t>
            </w:r>
          </w:p>
        </w:tc>
        <w:tc>
          <w:tcPr>
            <w:tcW w:w="1018" w:type="pct"/>
          </w:tcPr>
          <w:p w14:paraId="6AF5298D" w14:textId="7D5C484E" w:rsidR="007C131B" w:rsidRDefault="007C131B" w:rsidP="007C131B">
            <w:pPr>
              <w:cnfStyle w:val="000000010000" w:firstRow="0" w:lastRow="0" w:firstColumn="0" w:lastColumn="0" w:oddVBand="0" w:evenVBand="0" w:oddHBand="0" w:evenHBand="1" w:firstRowFirstColumn="0" w:firstRowLastColumn="0" w:lastRowFirstColumn="0" w:lastRowLastColumn="0"/>
            </w:pPr>
            <w:r>
              <w:t>Term</w:t>
            </w:r>
            <w:r w:rsidR="00D9430B">
              <w:t>s</w:t>
            </w:r>
            <w:r>
              <w:t xml:space="preserve"> 1</w:t>
            </w:r>
            <w:r w:rsidR="00D9430B">
              <w:t xml:space="preserve"> and </w:t>
            </w:r>
            <w:r>
              <w:t>2 – Year 9</w:t>
            </w:r>
          </w:p>
          <w:p w14:paraId="3007D952" w14:textId="5A47FF75" w:rsidR="007C131B" w:rsidRDefault="007C131B" w:rsidP="007C131B">
            <w:pPr>
              <w:cnfStyle w:val="000000010000" w:firstRow="0" w:lastRow="0" w:firstColumn="0" w:lastColumn="0" w:oddVBand="0" w:evenVBand="0" w:oddHBand="0" w:evenHBand="1" w:firstRowFirstColumn="0" w:firstRowLastColumn="0" w:lastRowFirstColumn="0" w:lastRowLastColumn="0"/>
            </w:pPr>
            <w:r>
              <w:t>4 weeks</w:t>
            </w:r>
          </w:p>
        </w:tc>
        <w:tc>
          <w:tcPr>
            <w:tcW w:w="1825" w:type="pct"/>
          </w:tcPr>
          <w:p w14:paraId="3828E705" w14:textId="47D8512E" w:rsidR="007C131B" w:rsidRDefault="007C131B" w:rsidP="007C131B">
            <w:pPr>
              <w:cnfStyle w:val="000000010000" w:firstRow="0" w:lastRow="0" w:firstColumn="0" w:lastColumn="0" w:oddVBand="0" w:evenVBand="0" w:oddHBand="0" w:evenHBand="1" w:firstRowFirstColumn="0" w:firstRowLastColumn="0" w:lastRowFirstColumn="0" w:lastRowLastColumn="0"/>
            </w:pPr>
            <w:r>
              <w:t>BH5-</w:t>
            </w:r>
            <w:r w:rsidR="000447BC">
              <w:t>1</w:t>
            </w:r>
            <w:r>
              <w:t>, BH5-2, BH5-4, BH5-6, BH5-8, BH5-9</w:t>
            </w:r>
          </w:p>
        </w:tc>
        <w:tc>
          <w:tcPr>
            <w:tcW w:w="1019" w:type="pct"/>
          </w:tcPr>
          <w:p w14:paraId="180A6BFB" w14:textId="41E4595E" w:rsidR="007C131B" w:rsidRDefault="007C131B" w:rsidP="007C131B">
            <w:pPr>
              <w:cnfStyle w:val="000000010000" w:firstRow="0" w:lastRow="0" w:firstColumn="0" w:lastColumn="0" w:oddVBand="0" w:evenVBand="0" w:oddHBand="0" w:evenHBand="1" w:firstRowFirstColumn="0" w:firstRowLastColumn="0" w:lastRowFirstColumn="0" w:lastRowLastColumn="0"/>
            </w:pPr>
            <w:r>
              <w:t>Origin stories</w:t>
            </w:r>
          </w:p>
        </w:tc>
      </w:tr>
      <w:tr w:rsidR="007C131B" w14:paraId="17A23455" w14:textId="77777777" w:rsidTr="00524087">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14BEBA7E" w14:textId="77777777" w:rsidR="007C131B" w:rsidRDefault="007C131B" w:rsidP="007C131B">
            <w:pPr>
              <w:rPr>
                <w:b w:val="0"/>
              </w:rPr>
            </w:pPr>
            <w:r>
              <w:t>Stars and galaxies</w:t>
            </w:r>
          </w:p>
          <w:p w14:paraId="7561A5DC" w14:textId="74051D6E" w:rsidR="007C131B" w:rsidRDefault="007C131B" w:rsidP="007C131B">
            <w:r>
              <w:lastRenderedPageBreak/>
              <w:t>10 hours</w:t>
            </w:r>
          </w:p>
        </w:tc>
        <w:tc>
          <w:tcPr>
            <w:tcW w:w="1018" w:type="pct"/>
          </w:tcPr>
          <w:p w14:paraId="704534A7" w14:textId="77777777" w:rsidR="007C131B" w:rsidRDefault="007C131B" w:rsidP="007C131B">
            <w:pPr>
              <w:cnfStyle w:val="000000100000" w:firstRow="0" w:lastRow="0" w:firstColumn="0" w:lastColumn="0" w:oddVBand="0" w:evenVBand="0" w:oddHBand="1" w:evenHBand="0" w:firstRowFirstColumn="0" w:firstRowLastColumn="0" w:lastRowFirstColumn="0" w:lastRowLastColumn="0"/>
            </w:pPr>
            <w:r>
              <w:lastRenderedPageBreak/>
              <w:t>Term 2 – Year 9</w:t>
            </w:r>
          </w:p>
          <w:p w14:paraId="3E24CCA4" w14:textId="2A01CBC7" w:rsidR="007C131B" w:rsidRDefault="007C131B" w:rsidP="007C131B">
            <w:pPr>
              <w:cnfStyle w:val="000000100000" w:firstRow="0" w:lastRow="0" w:firstColumn="0" w:lastColumn="0" w:oddVBand="0" w:evenVBand="0" w:oddHBand="1" w:evenHBand="0" w:firstRowFirstColumn="0" w:firstRowLastColumn="0" w:lastRowFirstColumn="0" w:lastRowLastColumn="0"/>
            </w:pPr>
            <w:r>
              <w:lastRenderedPageBreak/>
              <w:t>4 weeks</w:t>
            </w:r>
          </w:p>
        </w:tc>
        <w:tc>
          <w:tcPr>
            <w:tcW w:w="1825" w:type="pct"/>
          </w:tcPr>
          <w:p w14:paraId="24CB9781" w14:textId="21F3545B" w:rsidR="007C131B" w:rsidRDefault="007C131B" w:rsidP="007C131B">
            <w:pPr>
              <w:cnfStyle w:val="000000100000" w:firstRow="0" w:lastRow="0" w:firstColumn="0" w:lastColumn="0" w:oddVBand="0" w:evenVBand="0" w:oddHBand="1" w:evenHBand="0" w:firstRowFirstColumn="0" w:firstRowLastColumn="0" w:lastRowFirstColumn="0" w:lastRowLastColumn="0"/>
            </w:pPr>
            <w:r>
              <w:lastRenderedPageBreak/>
              <w:t>BH5-1, BH5-2, BH5-3, BH5-5, BH5-10</w:t>
            </w:r>
          </w:p>
        </w:tc>
        <w:tc>
          <w:tcPr>
            <w:tcW w:w="1019" w:type="pct"/>
          </w:tcPr>
          <w:p w14:paraId="3180073B" w14:textId="0EF7F057" w:rsidR="007C131B" w:rsidRDefault="007C131B" w:rsidP="007C131B">
            <w:pPr>
              <w:cnfStyle w:val="000000100000" w:firstRow="0" w:lastRow="0" w:firstColumn="0" w:lastColumn="0" w:oddVBand="0" w:evenVBand="0" w:oddHBand="1" w:evenHBand="0" w:firstRowFirstColumn="0" w:firstRowLastColumn="0" w:lastRowFirstColumn="0" w:lastRowLastColumn="0"/>
            </w:pPr>
            <w:r>
              <w:t>Not formally assessed</w:t>
            </w:r>
          </w:p>
        </w:tc>
      </w:tr>
      <w:tr w:rsidR="007C131B" w14:paraId="14A46835" w14:textId="77777777" w:rsidTr="00524087">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034704DE" w14:textId="77777777" w:rsidR="007C131B" w:rsidRDefault="007C131B" w:rsidP="007C131B">
            <w:pPr>
              <w:rPr>
                <w:b w:val="0"/>
              </w:rPr>
            </w:pPr>
            <w:r>
              <w:t>New chemicals</w:t>
            </w:r>
          </w:p>
          <w:p w14:paraId="260D75BA" w14:textId="56926E85" w:rsidR="007C131B" w:rsidRDefault="007C131B" w:rsidP="007C131B">
            <w:r>
              <w:t>10 hours</w:t>
            </w:r>
          </w:p>
        </w:tc>
        <w:tc>
          <w:tcPr>
            <w:tcW w:w="1018" w:type="pct"/>
          </w:tcPr>
          <w:p w14:paraId="58CC05CE" w14:textId="6C1318FF" w:rsidR="007C131B" w:rsidRDefault="007C131B" w:rsidP="007C131B">
            <w:pPr>
              <w:cnfStyle w:val="000000010000" w:firstRow="0" w:lastRow="0" w:firstColumn="0" w:lastColumn="0" w:oddVBand="0" w:evenVBand="0" w:oddHBand="0" w:evenHBand="1" w:firstRowFirstColumn="0" w:firstRowLastColumn="0" w:lastRowFirstColumn="0" w:lastRowLastColumn="0"/>
            </w:pPr>
            <w:r>
              <w:t>Term</w:t>
            </w:r>
            <w:r w:rsidR="00D9430B">
              <w:t>s</w:t>
            </w:r>
            <w:r>
              <w:t xml:space="preserve"> 2</w:t>
            </w:r>
            <w:r w:rsidR="00D9430B">
              <w:t xml:space="preserve"> and </w:t>
            </w:r>
            <w:r>
              <w:t>3 – Year 9</w:t>
            </w:r>
          </w:p>
          <w:p w14:paraId="6D6A3AB5" w14:textId="2607A5A0" w:rsidR="007C131B" w:rsidRDefault="007C131B" w:rsidP="007C131B">
            <w:pPr>
              <w:cnfStyle w:val="000000010000" w:firstRow="0" w:lastRow="0" w:firstColumn="0" w:lastColumn="0" w:oddVBand="0" w:evenVBand="0" w:oddHBand="0" w:evenHBand="1" w:firstRowFirstColumn="0" w:firstRowLastColumn="0" w:lastRowFirstColumn="0" w:lastRowLastColumn="0"/>
            </w:pPr>
            <w:r>
              <w:t>4 weeks</w:t>
            </w:r>
          </w:p>
        </w:tc>
        <w:tc>
          <w:tcPr>
            <w:tcW w:w="1825" w:type="pct"/>
          </w:tcPr>
          <w:p w14:paraId="1F5B1F4D" w14:textId="0E69B349" w:rsidR="007C131B" w:rsidRDefault="007C131B" w:rsidP="007C131B">
            <w:pPr>
              <w:cnfStyle w:val="000000010000" w:firstRow="0" w:lastRow="0" w:firstColumn="0" w:lastColumn="0" w:oddVBand="0" w:evenVBand="0" w:oddHBand="0" w:evenHBand="1" w:firstRowFirstColumn="0" w:firstRowLastColumn="0" w:lastRowFirstColumn="0" w:lastRowLastColumn="0"/>
            </w:pPr>
            <w:r>
              <w:t>BH5-1, BH5-4, BH5-5, BH5-6, BH5-7</w:t>
            </w:r>
          </w:p>
        </w:tc>
        <w:tc>
          <w:tcPr>
            <w:tcW w:w="1019" w:type="pct"/>
          </w:tcPr>
          <w:p w14:paraId="05CC9608" w14:textId="080FA7ED" w:rsidR="007C131B" w:rsidRDefault="007C131B" w:rsidP="007C131B">
            <w:pPr>
              <w:cnfStyle w:val="000000010000" w:firstRow="0" w:lastRow="0" w:firstColumn="0" w:lastColumn="0" w:oddVBand="0" w:evenVBand="0" w:oddHBand="0" w:evenHBand="1" w:firstRowFirstColumn="0" w:firstRowLastColumn="0" w:lastRowFirstColumn="0" w:lastRowLastColumn="0"/>
            </w:pPr>
            <w:r>
              <w:t>Lifecycle of a chemical</w:t>
            </w:r>
          </w:p>
        </w:tc>
      </w:tr>
      <w:tr w:rsidR="007C131B" w14:paraId="411F810D" w14:textId="77777777" w:rsidTr="00524087">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4AA6D529" w14:textId="77777777" w:rsidR="007C131B" w:rsidRDefault="007C131B" w:rsidP="007C131B">
            <w:pPr>
              <w:rPr>
                <w:b w:val="0"/>
              </w:rPr>
            </w:pPr>
            <w:r>
              <w:t>Planetary bodies</w:t>
            </w:r>
          </w:p>
          <w:p w14:paraId="3FB2A842" w14:textId="7D4C6580" w:rsidR="007C131B" w:rsidRDefault="007C131B" w:rsidP="007C131B">
            <w:r>
              <w:t>20 hours</w:t>
            </w:r>
          </w:p>
        </w:tc>
        <w:tc>
          <w:tcPr>
            <w:tcW w:w="1018" w:type="pct"/>
          </w:tcPr>
          <w:p w14:paraId="5BA9EF9C" w14:textId="77777777" w:rsidR="007C131B" w:rsidRDefault="007C131B" w:rsidP="007C131B">
            <w:pPr>
              <w:cnfStyle w:val="000000100000" w:firstRow="0" w:lastRow="0" w:firstColumn="0" w:lastColumn="0" w:oddVBand="0" w:evenVBand="0" w:oddHBand="1" w:evenHBand="0" w:firstRowFirstColumn="0" w:firstRowLastColumn="0" w:lastRowFirstColumn="0" w:lastRowLastColumn="0"/>
            </w:pPr>
            <w:r>
              <w:t>Term 3 – Year 9</w:t>
            </w:r>
          </w:p>
          <w:p w14:paraId="43EDBA20" w14:textId="215A1C93" w:rsidR="007C131B" w:rsidRDefault="007C131B" w:rsidP="007C131B">
            <w:pPr>
              <w:cnfStyle w:val="000000100000" w:firstRow="0" w:lastRow="0" w:firstColumn="0" w:lastColumn="0" w:oddVBand="0" w:evenVBand="0" w:oddHBand="1" w:evenHBand="0" w:firstRowFirstColumn="0" w:firstRowLastColumn="0" w:lastRowFirstColumn="0" w:lastRowLastColumn="0"/>
            </w:pPr>
            <w:r>
              <w:t>8 weeks</w:t>
            </w:r>
          </w:p>
        </w:tc>
        <w:tc>
          <w:tcPr>
            <w:tcW w:w="1825" w:type="pct"/>
          </w:tcPr>
          <w:p w14:paraId="120A48C7" w14:textId="1906F245" w:rsidR="007C131B" w:rsidRDefault="007C131B" w:rsidP="007C131B">
            <w:pPr>
              <w:cnfStyle w:val="000000100000" w:firstRow="0" w:lastRow="0" w:firstColumn="0" w:lastColumn="0" w:oddVBand="0" w:evenVBand="0" w:oddHBand="1" w:evenHBand="0" w:firstRowFirstColumn="0" w:firstRowLastColumn="0" w:lastRowFirstColumn="0" w:lastRowLastColumn="0"/>
            </w:pPr>
            <w:r>
              <w:t>BH5-1, BH5-3, BH5-7, BH5-10</w:t>
            </w:r>
          </w:p>
        </w:tc>
        <w:tc>
          <w:tcPr>
            <w:tcW w:w="1019" w:type="pct"/>
          </w:tcPr>
          <w:p w14:paraId="2F96A408" w14:textId="3A8903C1" w:rsidR="007C131B" w:rsidRDefault="007C131B" w:rsidP="007C131B">
            <w:pPr>
              <w:cnfStyle w:val="000000100000" w:firstRow="0" w:lastRow="0" w:firstColumn="0" w:lastColumn="0" w:oddVBand="0" w:evenVBand="0" w:oddHBand="1" w:evenHBand="0" w:firstRowFirstColumn="0" w:firstRowLastColumn="0" w:lastRowFirstColumn="0" w:lastRowLastColumn="0"/>
            </w:pPr>
            <w:r>
              <w:t>Big history in objects</w:t>
            </w:r>
          </w:p>
        </w:tc>
      </w:tr>
      <w:tr w:rsidR="007C131B" w14:paraId="79BD2D6C" w14:textId="77777777" w:rsidTr="00524087">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76DED702" w14:textId="77777777" w:rsidR="007C131B" w:rsidRDefault="007C131B" w:rsidP="007C131B">
            <w:pPr>
              <w:rPr>
                <w:b w:val="0"/>
              </w:rPr>
            </w:pPr>
            <w:r>
              <w:t>Life</w:t>
            </w:r>
          </w:p>
          <w:p w14:paraId="5E16502F" w14:textId="5DEB5D23" w:rsidR="007C131B" w:rsidRDefault="007C131B" w:rsidP="007C131B">
            <w:r>
              <w:t>30 hours</w:t>
            </w:r>
          </w:p>
        </w:tc>
        <w:tc>
          <w:tcPr>
            <w:tcW w:w="1018" w:type="pct"/>
          </w:tcPr>
          <w:p w14:paraId="3561CFEA" w14:textId="23B49B2E" w:rsidR="007C131B" w:rsidRDefault="007C131B" w:rsidP="007C131B">
            <w:pPr>
              <w:cnfStyle w:val="000000010000" w:firstRow="0" w:lastRow="0" w:firstColumn="0" w:lastColumn="0" w:oddVBand="0" w:evenVBand="0" w:oddHBand="0" w:evenHBand="1" w:firstRowFirstColumn="0" w:firstRowLastColumn="0" w:lastRowFirstColumn="0" w:lastRowLastColumn="0"/>
            </w:pPr>
            <w:r>
              <w:t>Term</w:t>
            </w:r>
            <w:r w:rsidR="00D9430B">
              <w:t>s</w:t>
            </w:r>
            <w:r>
              <w:t xml:space="preserve"> 3</w:t>
            </w:r>
            <w:r w:rsidR="00D9430B">
              <w:t xml:space="preserve"> and </w:t>
            </w:r>
            <w:r>
              <w:t>4 – Year 9</w:t>
            </w:r>
          </w:p>
          <w:p w14:paraId="190F0A0C" w14:textId="047224D2" w:rsidR="007C131B" w:rsidRDefault="007C131B" w:rsidP="007C131B">
            <w:pPr>
              <w:cnfStyle w:val="000000010000" w:firstRow="0" w:lastRow="0" w:firstColumn="0" w:lastColumn="0" w:oddVBand="0" w:evenVBand="0" w:oddHBand="0" w:evenHBand="1" w:firstRowFirstColumn="0" w:firstRowLastColumn="0" w:lastRowFirstColumn="0" w:lastRowLastColumn="0"/>
            </w:pPr>
            <w:r>
              <w:t>12 weeks</w:t>
            </w:r>
          </w:p>
        </w:tc>
        <w:tc>
          <w:tcPr>
            <w:tcW w:w="1825" w:type="pct"/>
          </w:tcPr>
          <w:p w14:paraId="71012235" w14:textId="29FB337A" w:rsidR="007C131B" w:rsidRDefault="007C131B" w:rsidP="007C131B">
            <w:pPr>
              <w:cnfStyle w:val="000000010000" w:firstRow="0" w:lastRow="0" w:firstColumn="0" w:lastColumn="0" w:oddVBand="0" w:evenVBand="0" w:oddHBand="0" w:evenHBand="1" w:firstRowFirstColumn="0" w:firstRowLastColumn="0" w:lastRowFirstColumn="0" w:lastRowLastColumn="0"/>
            </w:pPr>
            <w:r>
              <w:t>BH5-1, BH5-3, BH5-5, BH5-8, BH5-9, BH5-10</w:t>
            </w:r>
          </w:p>
        </w:tc>
        <w:tc>
          <w:tcPr>
            <w:tcW w:w="1019" w:type="pct"/>
          </w:tcPr>
          <w:p w14:paraId="538A3FC4" w14:textId="24F2A916" w:rsidR="007C131B" w:rsidRDefault="007C131B" w:rsidP="007C131B">
            <w:pPr>
              <w:cnfStyle w:val="000000010000" w:firstRow="0" w:lastRow="0" w:firstColumn="0" w:lastColumn="0" w:oddVBand="0" w:evenVBand="0" w:oddHBand="0" w:evenHBand="1" w:firstRowFirstColumn="0" w:firstRowLastColumn="0" w:lastRowFirstColumn="0" w:lastRowLastColumn="0"/>
            </w:pPr>
            <w:r>
              <w:t>Invent a species</w:t>
            </w:r>
          </w:p>
        </w:tc>
      </w:tr>
    </w:tbl>
    <w:p w14:paraId="19A8CC39" w14:textId="77777777" w:rsidR="00831071" w:rsidRDefault="00831071">
      <w:pPr>
        <w:suppressAutoHyphens w:val="0"/>
        <w:spacing w:before="0" w:after="160" w:line="259" w:lineRule="auto"/>
        <w:rPr>
          <w:iCs/>
          <w:color w:val="002664"/>
          <w:sz w:val="18"/>
          <w:szCs w:val="18"/>
        </w:rPr>
      </w:pPr>
      <w:r>
        <w:br w:type="page"/>
      </w:r>
    </w:p>
    <w:p w14:paraId="41C50BF7" w14:textId="782E0CAA" w:rsidR="00BD5AE9" w:rsidRPr="00831071" w:rsidRDefault="00831071" w:rsidP="00831071">
      <w:pPr>
        <w:pStyle w:val="Caption"/>
        <w:rPr>
          <w:b/>
          <w:bCs/>
        </w:rPr>
      </w:pPr>
      <w:r>
        <w:lastRenderedPageBreak/>
        <w:t xml:space="preserve">Table </w:t>
      </w:r>
      <w:r w:rsidR="00E52D42">
        <w:fldChar w:fldCharType="begin"/>
      </w:r>
      <w:r w:rsidR="00E52D42">
        <w:instrText xml:space="preserve"> SEQ Table \* ARABIC </w:instrText>
      </w:r>
      <w:r w:rsidR="00E52D42">
        <w:fldChar w:fldCharType="separate"/>
      </w:r>
      <w:r>
        <w:rPr>
          <w:noProof/>
        </w:rPr>
        <w:t>2</w:t>
      </w:r>
      <w:r w:rsidR="00E52D42">
        <w:rPr>
          <w:noProof/>
        </w:rPr>
        <w:fldChar w:fldCharType="end"/>
      </w:r>
      <w:r>
        <w:t xml:space="preserve"> – Big History 2</w:t>
      </w:r>
      <w:r w:rsidRPr="00343281">
        <w:t>00-hour scope and sequence</w:t>
      </w:r>
      <w:r>
        <w:t xml:space="preserve"> (Year 10)</w:t>
      </w:r>
    </w:p>
    <w:tbl>
      <w:tblPr>
        <w:tblStyle w:val="Tableheader"/>
        <w:tblW w:w="5000" w:type="pct"/>
        <w:tblLook w:val="04A0" w:firstRow="1" w:lastRow="0" w:firstColumn="1" w:lastColumn="0" w:noHBand="0" w:noVBand="1"/>
        <w:tblDescription w:val="Core topics, timing, outcomes and assessment details for the 200-hour scope and sequence."/>
      </w:tblPr>
      <w:tblGrid>
        <w:gridCol w:w="3314"/>
        <w:gridCol w:w="2965"/>
        <w:gridCol w:w="5315"/>
        <w:gridCol w:w="2968"/>
      </w:tblGrid>
      <w:tr w:rsidR="00BD5AE9" w14:paraId="7E429BBD" w14:textId="77777777" w:rsidTr="004F2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14:paraId="5999D67E" w14:textId="77777777" w:rsidR="00BD5AE9" w:rsidRDefault="00BD5AE9" w:rsidP="004F20C9">
            <w:r w:rsidRPr="006338EF">
              <w:t>Topic</w:t>
            </w:r>
          </w:p>
        </w:tc>
        <w:tc>
          <w:tcPr>
            <w:tcW w:w="1018" w:type="pct"/>
          </w:tcPr>
          <w:p w14:paraId="7DC6829A" w14:textId="77777777" w:rsidR="00BD5AE9" w:rsidRDefault="00BD5AE9" w:rsidP="004F20C9">
            <w:pPr>
              <w:cnfStyle w:val="100000000000" w:firstRow="1" w:lastRow="0" w:firstColumn="0" w:lastColumn="0" w:oddVBand="0" w:evenVBand="0" w:oddHBand="0" w:evenHBand="0" w:firstRowFirstColumn="0" w:firstRowLastColumn="0" w:lastRowFirstColumn="0" w:lastRowLastColumn="0"/>
            </w:pPr>
            <w:r w:rsidRPr="006338EF">
              <w:t>Timing</w:t>
            </w:r>
          </w:p>
        </w:tc>
        <w:tc>
          <w:tcPr>
            <w:tcW w:w="1825" w:type="pct"/>
          </w:tcPr>
          <w:p w14:paraId="438D3E30" w14:textId="77777777" w:rsidR="00BD5AE9" w:rsidRDefault="00BD5AE9" w:rsidP="004F20C9">
            <w:pPr>
              <w:cnfStyle w:val="100000000000" w:firstRow="1" w:lastRow="0" w:firstColumn="0" w:lastColumn="0" w:oddVBand="0" w:evenVBand="0" w:oddHBand="0" w:evenHBand="0" w:firstRowFirstColumn="0" w:firstRowLastColumn="0" w:lastRowFirstColumn="0" w:lastRowLastColumn="0"/>
            </w:pPr>
            <w:r w:rsidRPr="006338EF">
              <w:t>Outcomes</w:t>
            </w:r>
          </w:p>
        </w:tc>
        <w:tc>
          <w:tcPr>
            <w:tcW w:w="1019" w:type="pct"/>
          </w:tcPr>
          <w:p w14:paraId="1C97952D" w14:textId="77777777" w:rsidR="00BD5AE9" w:rsidRDefault="00BD5AE9" w:rsidP="004F20C9">
            <w:pPr>
              <w:cnfStyle w:val="100000000000" w:firstRow="1" w:lastRow="0" w:firstColumn="0" w:lastColumn="0" w:oddVBand="0" w:evenVBand="0" w:oddHBand="0" w:evenHBand="0" w:firstRowFirstColumn="0" w:firstRowLastColumn="0" w:lastRowFirstColumn="0" w:lastRowLastColumn="0"/>
            </w:pPr>
            <w:r w:rsidRPr="006338EF">
              <w:t>Assessment</w:t>
            </w:r>
          </w:p>
        </w:tc>
      </w:tr>
      <w:tr w:rsidR="00831071" w14:paraId="141273A1" w14:textId="77777777" w:rsidTr="004F20C9">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65573E24" w14:textId="77777777" w:rsidR="00831071" w:rsidRDefault="00831071" w:rsidP="004F20C9">
            <w:pPr>
              <w:rPr>
                <w:b w:val="0"/>
              </w:rPr>
            </w:pPr>
            <w:r>
              <w:t>Humans</w:t>
            </w:r>
          </w:p>
          <w:p w14:paraId="5EF7C5AA" w14:textId="77777777" w:rsidR="00831071" w:rsidRDefault="00831071" w:rsidP="004F20C9">
            <w:r>
              <w:t>30 hours</w:t>
            </w:r>
          </w:p>
        </w:tc>
        <w:tc>
          <w:tcPr>
            <w:tcW w:w="1018" w:type="pct"/>
          </w:tcPr>
          <w:p w14:paraId="6266FBBF" w14:textId="77777777" w:rsidR="00831071" w:rsidRDefault="00831071" w:rsidP="004F20C9">
            <w:pPr>
              <w:cnfStyle w:val="000000100000" w:firstRow="0" w:lastRow="0" w:firstColumn="0" w:lastColumn="0" w:oddVBand="0" w:evenVBand="0" w:oddHBand="1" w:evenHBand="0" w:firstRowFirstColumn="0" w:firstRowLastColumn="0" w:lastRowFirstColumn="0" w:lastRowLastColumn="0"/>
            </w:pPr>
            <w:r>
              <w:t>Terms 1 and 2 – Year 10</w:t>
            </w:r>
          </w:p>
          <w:p w14:paraId="23D4CB4B" w14:textId="77777777" w:rsidR="00831071" w:rsidRDefault="00831071" w:rsidP="004F20C9">
            <w:pPr>
              <w:cnfStyle w:val="000000100000" w:firstRow="0" w:lastRow="0" w:firstColumn="0" w:lastColumn="0" w:oddVBand="0" w:evenVBand="0" w:oddHBand="1" w:evenHBand="0" w:firstRowFirstColumn="0" w:firstRowLastColumn="0" w:lastRowFirstColumn="0" w:lastRowLastColumn="0"/>
            </w:pPr>
            <w:r>
              <w:t>12 weeks</w:t>
            </w:r>
          </w:p>
        </w:tc>
        <w:tc>
          <w:tcPr>
            <w:tcW w:w="1825" w:type="pct"/>
          </w:tcPr>
          <w:p w14:paraId="3587CE38" w14:textId="77777777" w:rsidR="00831071" w:rsidRDefault="00831071" w:rsidP="004F20C9">
            <w:pPr>
              <w:cnfStyle w:val="000000100000" w:firstRow="0" w:lastRow="0" w:firstColumn="0" w:lastColumn="0" w:oddVBand="0" w:evenVBand="0" w:oddHBand="1" w:evenHBand="0" w:firstRowFirstColumn="0" w:firstRowLastColumn="0" w:lastRowFirstColumn="0" w:lastRowLastColumn="0"/>
            </w:pPr>
            <w:r>
              <w:t>BH5-1, BH5-2, BH5-3, BH5-4, BH5-7, BH5-8, BH5-9</w:t>
            </w:r>
          </w:p>
        </w:tc>
        <w:tc>
          <w:tcPr>
            <w:tcW w:w="1019" w:type="pct"/>
          </w:tcPr>
          <w:p w14:paraId="35FF093F" w14:textId="77777777" w:rsidR="00831071" w:rsidRDefault="00831071" w:rsidP="004F20C9">
            <w:pPr>
              <w:cnfStyle w:val="000000100000" w:firstRow="0" w:lastRow="0" w:firstColumn="0" w:lastColumn="0" w:oddVBand="0" w:evenVBand="0" w:oddHBand="1" w:evenHBand="0" w:firstRowFirstColumn="0" w:firstRowLastColumn="0" w:lastRowFirstColumn="0" w:lastRowLastColumn="0"/>
            </w:pPr>
            <w:r>
              <w:t>Research task</w:t>
            </w:r>
          </w:p>
        </w:tc>
      </w:tr>
      <w:tr w:rsidR="00831071" w14:paraId="6CDA0FA6" w14:textId="77777777" w:rsidTr="004F20C9">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22EAB4BE" w14:textId="77777777" w:rsidR="00831071" w:rsidRDefault="00831071" w:rsidP="004F20C9">
            <w:pPr>
              <w:rPr>
                <w:b w:val="0"/>
              </w:rPr>
            </w:pPr>
            <w:r>
              <w:t>Agriculture and civilisations</w:t>
            </w:r>
          </w:p>
          <w:p w14:paraId="21249AEB" w14:textId="77777777" w:rsidR="00831071" w:rsidRDefault="00831071" w:rsidP="004F20C9">
            <w:r>
              <w:t>30 hours</w:t>
            </w:r>
          </w:p>
        </w:tc>
        <w:tc>
          <w:tcPr>
            <w:tcW w:w="1018" w:type="pct"/>
          </w:tcPr>
          <w:p w14:paraId="1457DE33" w14:textId="77777777" w:rsidR="00831071" w:rsidRDefault="00831071" w:rsidP="004F20C9">
            <w:pPr>
              <w:cnfStyle w:val="000000010000" w:firstRow="0" w:lastRow="0" w:firstColumn="0" w:lastColumn="0" w:oddVBand="0" w:evenVBand="0" w:oddHBand="0" w:evenHBand="1" w:firstRowFirstColumn="0" w:firstRowLastColumn="0" w:lastRowFirstColumn="0" w:lastRowLastColumn="0"/>
            </w:pPr>
            <w:r>
              <w:t>Terms 2 and 3 – Year 10</w:t>
            </w:r>
          </w:p>
          <w:p w14:paraId="09F4002E" w14:textId="77777777" w:rsidR="00831071" w:rsidRDefault="00831071" w:rsidP="004F20C9">
            <w:pPr>
              <w:cnfStyle w:val="000000010000" w:firstRow="0" w:lastRow="0" w:firstColumn="0" w:lastColumn="0" w:oddVBand="0" w:evenVBand="0" w:oddHBand="0" w:evenHBand="1" w:firstRowFirstColumn="0" w:firstRowLastColumn="0" w:lastRowFirstColumn="0" w:lastRowLastColumn="0"/>
            </w:pPr>
            <w:r>
              <w:t>12 weeks</w:t>
            </w:r>
          </w:p>
        </w:tc>
        <w:tc>
          <w:tcPr>
            <w:tcW w:w="1825" w:type="pct"/>
          </w:tcPr>
          <w:p w14:paraId="70B79A48" w14:textId="74973FCC" w:rsidR="00831071" w:rsidRDefault="00831071" w:rsidP="004F20C9">
            <w:pPr>
              <w:cnfStyle w:val="000000010000" w:firstRow="0" w:lastRow="0" w:firstColumn="0" w:lastColumn="0" w:oddVBand="0" w:evenVBand="0" w:oddHBand="0" w:evenHBand="1" w:firstRowFirstColumn="0" w:firstRowLastColumn="0" w:lastRowFirstColumn="0" w:lastRowLastColumn="0"/>
            </w:pPr>
            <w:r>
              <w:t>BH5-2, BH5-3, BH5-4, BH5-5</w:t>
            </w:r>
            <w:r w:rsidR="006C741D">
              <w:t>,</w:t>
            </w:r>
            <w:r>
              <w:t xml:space="preserve"> BH5-7, BH5-8, BH5-9</w:t>
            </w:r>
          </w:p>
        </w:tc>
        <w:tc>
          <w:tcPr>
            <w:tcW w:w="1019" w:type="pct"/>
          </w:tcPr>
          <w:p w14:paraId="4EA6B77D" w14:textId="77777777" w:rsidR="00831071" w:rsidRDefault="00831071" w:rsidP="004F20C9">
            <w:pPr>
              <w:cnfStyle w:val="000000010000" w:firstRow="0" w:lastRow="0" w:firstColumn="0" w:lastColumn="0" w:oddVBand="0" w:evenVBand="0" w:oddHBand="0" w:evenHBand="1" w:firstRowFirstColumn="0" w:firstRowLastColumn="0" w:lastRowFirstColumn="0" w:lastRowLastColumn="0"/>
            </w:pPr>
            <w:r>
              <w:t>Invent a civilisation</w:t>
            </w:r>
          </w:p>
        </w:tc>
      </w:tr>
      <w:tr w:rsidR="00831071" w14:paraId="2B266116" w14:textId="77777777" w:rsidTr="004F20C9">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049739F6" w14:textId="77777777" w:rsidR="00831071" w:rsidRDefault="00831071" w:rsidP="004F20C9">
            <w:pPr>
              <w:rPr>
                <w:b w:val="0"/>
              </w:rPr>
            </w:pPr>
            <w:r>
              <w:t>Our connected world</w:t>
            </w:r>
          </w:p>
          <w:p w14:paraId="38974026" w14:textId="77777777" w:rsidR="00831071" w:rsidRDefault="00831071" w:rsidP="004F20C9">
            <w:r>
              <w:t>30 hours</w:t>
            </w:r>
          </w:p>
        </w:tc>
        <w:tc>
          <w:tcPr>
            <w:tcW w:w="1018" w:type="pct"/>
          </w:tcPr>
          <w:p w14:paraId="1D84CAF9" w14:textId="77777777" w:rsidR="00831071" w:rsidRDefault="00831071" w:rsidP="004F20C9">
            <w:pPr>
              <w:cnfStyle w:val="000000100000" w:firstRow="0" w:lastRow="0" w:firstColumn="0" w:lastColumn="0" w:oddVBand="0" w:evenVBand="0" w:oddHBand="1" w:evenHBand="0" w:firstRowFirstColumn="0" w:firstRowLastColumn="0" w:lastRowFirstColumn="0" w:lastRowLastColumn="0"/>
            </w:pPr>
            <w:r>
              <w:t>Terms 3 and 4 – Year 10</w:t>
            </w:r>
          </w:p>
          <w:p w14:paraId="0A6B6BC8" w14:textId="77777777" w:rsidR="00831071" w:rsidRDefault="00831071" w:rsidP="004F20C9">
            <w:pPr>
              <w:cnfStyle w:val="000000100000" w:firstRow="0" w:lastRow="0" w:firstColumn="0" w:lastColumn="0" w:oddVBand="0" w:evenVBand="0" w:oddHBand="1" w:evenHBand="0" w:firstRowFirstColumn="0" w:firstRowLastColumn="0" w:lastRowFirstColumn="0" w:lastRowLastColumn="0"/>
            </w:pPr>
            <w:r>
              <w:t>12 weeks</w:t>
            </w:r>
          </w:p>
        </w:tc>
        <w:tc>
          <w:tcPr>
            <w:tcW w:w="1825" w:type="pct"/>
          </w:tcPr>
          <w:p w14:paraId="56128968" w14:textId="77777777" w:rsidR="00831071" w:rsidRPr="007C131B" w:rsidRDefault="00831071" w:rsidP="004F20C9">
            <w:pPr>
              <w:cnfStyle w:val="000000100000" w:firstRow="0" w:lastRow="0" w:firstColumn="0" w:lastColumn="0" w:oddVBand="0" w:evenVBand="0" w:oddHBand="1" w:evenHBand="0" w:firstRowFirstColumn="0" w:firstRowLastColumn="0" w:lastRowFirstColumn="0" w:lastRowLastColumn="0"/>
            </w:pPr>
            <w:r w:rsidRPr="007C131B">
              <w:t>BH5-1, BH5-4, BH5-7, BH5-8, BH5-9, BH5-10</w:t>
            </w:r>
          </w:p>
        </w:tc>
        <w:tc>
          <w:tcPr>
            <w:tcW w:w="1019" w:type="pct"/>
          </w:tcPr>
          <w:p w14:paraId="202E4C00" w14:textId="77777777" w:rsidR="00831071" w:rsidRDefault="00831071" w:rsidP="004F20C9">
            <w:pPr>
              <w:cnfStyle w:val="000000100000" w:firstRow="0" w:lastRow="0" w:firstColumn="0" w:lastColumn="0" w:oddVBand="0" w:evenVBand="0" w:oddHBand="1" w:evenHBand="0" w:firstRowFirstColumn="0" w:firstRowLastColumn="0" w:lastRowFirstColumn="0" w:lastRowLastColumn="0"/>
            </w:pPr>
            <w:r>
              <w:t>Object file</w:t>
            </w:r>
          </w:p>
        </w:tc>
      </w:tr>
      <w:tr w:rsidR="00E30B46" w14:paraId="3EC8B8A4" w14:textId="77777777" w:rsidTr="004F20C9">
        <w:trPr>
          <w:cnfStyle w:val="000000010000" w:firstRow="0" w:lastRow="0" w:firstColumn="0" w:lastColumn="0" w:oddVBand="0" w:evenVBand="0" w:oddHBand="0" w:evenHBand="1"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38" w:type="pct"/>
          </w:tcPr>
          <w:p w14:paraId="6870AD43" w14:textId="77777777" w:rsidR="00E30B46" w:rsidRDefault="00E30B46" w:rsidP="004F20C9">
            <w:pPr>
              <w:rPr>
                <w:b w:val="0"/>
              </w:rPr>
            </w:pPr>
            <w:r>
              <w:t>The future</w:t>
            </w:r>
          </w:p>
          <w:p w14:paraId="355EF7C1" w14:textId="4500E7E1" w:rsidR="00E30B46" w:rsidRDefault="00E30B46" w:rsidP="004F20C9">
            <w:r>
              <w:t>10 hours</w:t>
            </w:r>
          </w:p>
        </w:tc>
        <w:tc>
          <w:tcPr>
            <w:tcW w:w="1018" w:type="pct"/>
          </w:tcPr>
          <w:p w14:paraId="70758860" w14:textId="77777777" w:rsidR="00E30B46" w:rsidRDefault="00E30B46" w:rsidP="004F20C9">
            <w:pPr>
              <w:cnfStyle w:val="000000010000" w:firstRow="0" w:lastRow="0" w:firstColumn="0" w:lastColumn="0" w:oddVBand="0" w:evenVBand="0" w:oddHBand="0" w:evenHBand="1" w:firstRowFirstColumn="0" w:firstRowLastColumn="0" w:lastRowFirstColumn="0" w:lastRowLastColumn="0"/>
            </w:pPr>
            <w:r>
              <w:t>Term 4 – Year 10</w:t>
            </w:r>
          </w:p>
          <w:p w14:paraId="17537830" w14:textId="5556F8B3" w:rsidR="00E30B46" w:rsidRDefault="00E30B46" w:rsidP="004F20C9">
            <w:pPr>
              <w:cnfStyle w:val="000000010000" w:firstRow="0" w:lastRow="0" w:firstColumn="0" w:lastColumn="0" w:oddVBand="0" w:evenVBand="0" w:oddHBand="0" w:evenHBand="1" w:firstRowFirstColumn="0" w:firstRowLastColumn="0" w:lastRowFirstColumn="0" w:lastRowLastColumn="0"/>
            </w:pPr>
            <w:r>
              <w:t>4 weeks</w:t>
            </w:r>
          </w:p>
        </w:tc>
        <w:tc>
          <w:tcPr>
            <w:tcW w:w="1825" w:type="pct"/>
          </w:tcPr>
          <w:p w14:paraId="78369171" w14:textId="5F635680" w:rsidR="00E30B46" w:rsidRPr="007C131B" w:rsidRDefault="00E30B46" w:rsidP="00E30B46">
            <w:pPr>
              <w:cnfStyle w:val="000000010000" w:firstRow="0" w:lastRow="0" w:firstColumn="0" w:lastColumn="0" w:oddVBand="0" w:evenVBand="0" w:oddHBand="0" w:evenHBand="1" w:firstRowFirstColumn="0" w:firstRowLastColumn="0" w:lastRowFirstColumn="0" w:lastRowLastColumn="0"/>
            </w:pPr>
            <w:r>
              <w:t xml:space="preserve">BH5-2, BH5-4, BH5-6, BH5-8, BH5-9, BH5-10 </w:t>
            </w:r>
          </w:p>
        </w:tc>
        <w:tc>
          <w:tcPr>
            <w:tcW w:w="1019" w:type="pct"/>
          </w:tcPr>
          <w:p w14:paraId="60768B3E" w14:textId="0A045B34" w:rsidR="00E30B46" w:rsidRDefault="00E30B46" w:rsidP="004F20C9">
            <w:pPr>
              <w:cnfStyle w:val="000000010000" w:firstRow="0" w:lastRow="0" w:firstColumn="0" w:lastColumn="0" w:oddVBand="0" w:evenVBand="0" w:oddHBand="0" w:evenHBand="1" w:firstRowFirstColumn="0" w:firstRowLastColumn="0" w:lastRowFirstColumn="0" w:lastRowLastColumn="0"/>
            </w:pPr>
            <w:r>
              <w:t>Not formally assessed</w:t>
            </w:r>
          </w:p>
        </w:tc>
      </w:tr>
    </w:tbl>
    <w:p w14:paraId="7A2B3FE3" w14:textId="3F68E3D7" w:rsidR="00524087" w:rsidRPr="00123495" w:rsidRDefault="00E52D42" w:rsidP="0059155F">
      <w:pPr>
        <w:pStyle w:val="Imageattributioncaption"/>
      </w:pPr>
      <w:hyperlink r:id="rId7" w:history="1">
        <w:r w:rsidR="00524087" w:rsidRPr="0059155F">
          <w:rPr>
            <w:rStyle w:val="Hyperlink"/>
          </w:rPr>
          <w:t>Big History course document</w:t>
        </w:r>
      </w:hyperlink>
      <w:r w:rsidR="00524087" w:rsidRPr="00123495">
        <w:t xml:space="preserve"> © NSW Department of Education for and on behalf of the Crown in the State of New South Wales, 2021.</w:t>
      </w:r>
    </w:p>
    <w:p w14:paraId="5CCA5D6C" w14:textId="6A7B38F5" w:rsidR="00D1693E" w:rsidRPr="00FE79C8" w:rsidRDefault="00D1693E" w:rsidP="00FE79C8">
      <w:r w:rsidRPr="00FE79C8">
        <w:br w:type="page"/>
      </w:r>
    </w:p>
    <w:p w14:paraId="71AD8175" w14:textId="1CDD7EF6" w:rsidR="0021723F" w:rsidRDefault="0021723F" w:rsidP="0021723F">
      <w:pPr>
        <w:pStyle w:val="Heading2"/>
      </w:pPr>
      <w:r>
        <w:lastRenderedPageBreak/>
        <w:t xml:space="preserve">Additional </w:t>
      </w:r>
      <w:r w:rsidR="0059155F">
        <w:t>information</w:t>
      </w:r>
    </w:p>
    <w:p w14:paraId="284C4FC1" w14:textId="0886B629" w:rsidR="0021723F" w:rsidRDefault="0021723F" w:rsidP="0021723F">
      <w:r>
        <w:t xml:space="preserve">The information below can be used to support teachers when using the </w:t>
      </w:r>
      <w:r w:rsidR="00752A9F">
        <w:t>sample scope and sequence</w:t>
      </w:r>
      <w:r>
        <w:t xml:space="preserve"> for</w:t>
      </w:r>
      <w:r w:rsidR="009F7332">
        <w:t xml:space="preserve"> Big History.</w:t>
      </w:r>
    </w:p>
    <w:p w14:paraId="147BC8C6" w14:textId="77777777" w:rsidR="001749BC" w:rsidRDefault="001749BC" w:rsidP="001749BC">
      <w:pPr>
        <w:pStyle w:val="Heading3"/>
      </w:pPr>
      <w:r>
        <w:t>Rationale</w:t>
      </w:r>
    </w:p>
    <w:p w14:paraId="72B6B87C" w14:textId="0DD1FC39" w:rsidR="00F47A96" w:rsidRPr="00037DA8" w:rsidRDefault="00F47A96" w:rsidP="00F47A96">
      <w:r w:rsidRPr="00037DA8">
        <w:t xml:space="preserve">This course is designed for students curious about seeking answers to big questions regarding the history and development of our universe, including the origin of our species. It promotes reasoned predictions of future events. Collaboration among students, teachers, </w:t>
      </w:r>
      <w:proofErr w:type="gramStart"/>
      <w:r w:rsidRPr="00037DA8">
        <w:t>scholars</w:t>
      </w:r>
      <w:proofErr w:type="gramEnd"/>
      <w:r w:rsidRPr="00037DA8">
        <w:t xml:space="preserve"> and scientists is the foundation of </w:t>
      </w:r>
      <w:r>
        <w:t>B</w:t>
      </w:r>
      <w:r w:rsidRPr="00037DA8">
        <w:t xml:space="preserve">ig </w:t>
      </w:r>
      <w:r>
        <w:t>H</w:t>
      </w:r>
      <w:r w:rsidRPr="00037DA8">
        <w:t>istory. It places human history in the broader context of the universe’s history.</w:t>
      </w:r>
    </w:p>
    <w:p w14:paraId="66D054AC" w14:textId="77777777" w:rsidR="00F47A96" w:rsidRPr="00037DA8" w:rsidRDefault="00F47A96" w:rsidP="00F47A96">
      <w:r w:rsidRPr="00037DA8">
        <w:t>Throughout history, humans have collaborated in creative endeavours leading to a dynamic body of knowledge which is continually refined and contested as evidence evolves. This knowledge provides explanations for various phenomena and enables sense to be made of the development of human society.</w:t>
      </w:r>
    </w:p>
    <w:p w14:paraId="614D2C6A" w14:textId="77777777" w:rsidR="00F47A96" w:rsidRPr="00037DA8" w:rsidRDefault="00F47A96" w:rsidP="00F47A96">
      <w:r w:rsidRPr="00037DA8">
        <w:t xml:space="preserve">In </w:t>
      </w:r>
      <w:r>
        <w:t>B</w:t>
      </w:r>
      <w:r w:rsidRPr="00037DA8">
        <w:t xml:space="preserve">ig </w:t>
      </w:r>
      <w:r>
        <w:t>H</w:t>
      </w:r>
      <w:r w:rsidRPr="00037DA8">
        <w:t>istory, students will develop deep knowledge, understanding and skills that will allow them to create new ideas and translate their ideas into practical applications. Through engaging with varying sources and perspectives, students will develop problem-solving, research and critical thinking skills, and demonstrate respect for differing viewpoints. Through the integrated study of the cosmos, life and humanity, students will use empirical evidence to develop a deeper appreciation of the evolution of knowledge systems and the complex relationship between evidence and ideas.</w:t>
      </w:r>
    </w:p>
    <w:p w14:paraId="68ADC7DB" w14:textId="77777777" w:rsidR="00F47A96" w:rsidRPr="00037DA8" w:rsidRDefault="00F47A96" w:rsidP="00F47A96">
      <w:r w:rsidRPr="00037DA8">
        <w:t xml:space="preserve">Big </w:t>
      </w:r>
      <w:r>
        <w:t>H</w:t>
      </w:r>
      <w:r w:rsidRPr="00037DA8">
        <w:t xml:space="preserve">istory addresses the need for students to use interdisciplinary understanding to solve problems and develop critical thinking skills to assess the validity of claims of knowledge. The course will build upon the learning across the curriculum content, including the general capabilities priorities from the NSW syllabus documents, that encompass the knowledge, skills, </w:t>
      </w:r>
      <w:proofErr w:type="gramStart"/>
      <w:r w:rsidRPr="00037DA8">
        <w:t>attitudes</w:t>
      </w:r>
      <w:proofErr w:type="gramEnd"/>
      <w:r w:rsidRPr="00037DA8">
        <w:t xml:space="preserve"> and behaviours to assist students to live and work successfully in the 21st century.</w:t>
      </w:r>
    </w:p>
    <w:p w14:paraId="7F03B603" w14:textId="77777777" w:rsidR="001749BC" w:rsidRDefault="001749BC" w:rsidP="005859B2">
      <w:pPr>
        <w:pStyle w:val="Heading3"/>
      </w:pPr>
      <w:r>
        <w:lastRenderedPageBreak/>
        <w:t>Aim</w:t>
      </w:r>
    </w:p>
    <w:p w14:paraId="043E33A3" w14:textId="4BC5DE43" w:rsidR="00F47A96" w:rsidRDefault="00F47A96" w:rsidP="00F47A96">
      <w:r>
        <w:t xml:space="preserve">This course aims to develop students’ understanding of the history of the universe from the ‘Big Bang’ to the modern day and beyond, through an exploration of the themes and patterns that can help us better understand the world we live in. Big History will develop students’ ability to synthesise complex information, hypothesise and develop arguments, develop key critical thinking </w:t>
      </w:r>
      <w:proofErr w:type="gramStart"/>
      <w:r>
        <w:t>skills</w:t>
      </w:r>
      <w:proofErr w:type="gramEnd"/>
      <w:r>
        <w:t xml:space="preserve"> and enhance their reading, writing and research skills in a multidisciplinary way.</w:t>
      </w:r>
    </w:p>
    <w:p w14:paraId="0D0424BA" w14:textId="40C0ACE3" w:rsidR="0021723F" w:rsidRDefault="0021723F" w:rsidP="0021723F">
      <w:pPr>
        <w:pStyle w:val="Heading3"/>
      </w:pPr>
      <w:r>
        <w:t>Purpose and audience</w:t>
      </w:r>
    </w:p>
    <w:p w14:paraId="73019F7A" w14:textId="77777777" w:rsidR="0021723F" w:rsidRDefault="0021723F" w:rsidP="0021723F">
      <w:r>
        <w:t>This resource is for teachers and leaders to provide examples of how outcomes can be mapped across the course. It also provides suggested patterns for assessment of learning at key stages in the course and models a possible sequence for core and option modules.</w:t>
      </w:r>
    </w:p>
    <w:p w14:paraId="204FF618" w14:textId="77777777" w:rsidR="0021723F" w:rsidRDefault="0021723F" w:rsidP="009B4602">
      <w:pPr>
        <w:pStyle w:val="Heading3"/>
      </w:pPr>
      <w:r>
        <w:t>When and how to use this document</w:t>
      </w:r>
    </w:p>
    <w:p w14:paraId="36A0CA6A" w14:textId="77777777" w:rsidR="0021723F" w:rsidRDefault="0021723F" w:rsidP="0021723F">
      <w:r>
        <w:t>Use this document when designing a pattern of study for students to achieve course outcomes. The timing and combination of outcomes and assessment can be tailored to meet the needs of students in different contexts.</w:t>
      </w:r>
    </w:p>
    <w:p w14:paraId="4A3FE868" w14:textId="77777777" w:rsidR="0060281A" w:rsidRPr="0060281A" w:rsidRDefault="0060281A" w:rsidP="0060281A">
      <w:r w:rsidRPr="0060281A">
        <w:br w:type="page"/>
      </w:r>
    </w:p>
    <w:p w14:paraId="3FD9EAED" w14:textId="261D39D2" w:rsidR="003D3697" w:rsidRDefault="003D3697" w:rsidP="0060281A">
      <w:pPr>
        <w:pStyle w:val="Heading2"/>
      </w:pPr>
      <w:r>
        <w:lastRenderedPageBreak/>
        <w:t>Support and alignment</w:t>
      </w:r>
    </w:p>
    <w:p w14:paraId="00BDB182" w14:textId="0C6AB229" w:rsidR="003D3697" w:rsidRDefault="003D3697" w:rsidP="003D3697">
      <w:r>
        <w:t xml:space="preserve">This resource has been designed to support schools with successful implementation of new curriculum, specifically the NSW Department of Education approved elective course, </w:t>
      </w:r>
      <w:r w:rsidRPr="00792EE6">
        <w:t xml:space="preserve">Big History © </w:t>
      </w:r>
      <w:r>
        <w:t>NSW Department of Education for and on behalf of the Crown in right of the State of New South Wales</w:t>
      </w:r>
      <w:r w:rsidR="00C24328">
        <w:t>, 2021</w:t>
      </w:r>
      <w:r>
        <w:t>.</w:t>
      </w:r>
    </w:p>
    <w:p w14:paraId="084F726A" w14:textId="1DF6CBCA" w:rsidR="003D3697" w:rsidRPr="006D36AA" w:rsidRDefault="003D3697" w:rsidP="003D3697">
      <w:r>
        <w:t>The resource is produced to assist schools with promoting and implementing the course for the first time. As the course may be taught by teachers from a range of key learning areas, the resource is designed to support teachers from a variety of KLA</w:t>
      </w:r>
      <w:r w:rsidR="00C03FAC">
        <w:t>s</w:t>
      </w:r>
      <w:r>
        <w:t>.</w:t>
      </w:r>
    </w:p>
    <w:p w14:paraId="6AE50A19" w14:textId="74417A93" w:rsidR="003D3697" w:rsidRDefault="003D3697" w:rsidP="003D3697">
      <w:r w:rsidRPr="708AD2A7">
        <w:rPr>
          <w:b/>
          <w:bCs/>
        </w:rPr>
        <w:t>Resource evaluation and support</w:t>
      </w:r>
      <w:r>
        <w:t xml:space="preserve">: </w:t>
      </w:r>
      <w:r w:rsidR="00C24328">
        <w:t xml:space="preserve">all </w:t>
      </w:r>
      <w:r>
        <w:t xml:space="preserve">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or to provide feedback, contact the Teaching and learning 7</w:t>
      </w:r>
      <w:r w:rsidR="007D5D06">
        <w:t>–</w:t>
      </w:r>
      <w:r>
        <w:t xml:space="preserve">12 curriculum team by emailing </w:t>
      </w:r>
      <w:hyperlink r:id="rId8" w:history="1">
        <w:r w:rsidRPr="006B7ECB">
          <w:rPr>
            <w:rStyle w:val="Hyperlink"/>
          </w:rPr>
          <w:t>secondaryteachingandlearning@det.nsw.edu.au</w:t>
        </w:r>
      </w:hyperlink>
      <w:r>
        <w:t>.</w:t>
      </w:r>
    </w:p>
    <w:p w14:paraId="6FC15242" w14:textId="7FC5A5DB" w:rsidR="003D3697" w:rsidRPr="00C82E19" w:rsidRDefault="003D3697" w:rsidP="003D3697">
      <w:pPr>
        <w:rPr>
          <w:rFonts w:eastAsia="Arial"/>
        </w:rPr>
      </w:pPr>
      <w:r w:rsidRPr="19B962B9">
        <w:rPr>
          <w:b/>
          <w:bCs/>
        </w:rPr>
        <w:t>Differentiation:</w:t>
      </w:r>
      <w:r w:rsidRPr="00F66A0C">
        <w:t xml:space="preserve"> </w:t>
      </w:r>
      <w:r w:rsidR="00C24328">
        <w:rPr>
          <w:rFonts w:eastAsia="Arial"/>
        </w:rPr>
        <w:t xml:space="preserve">further </w:t>
      </w:r>
      <w:r w:rsidRPr="19B962B9">
        <w:rPr>
          <w:rFonts w:eastAsia="Arial"/>
        </w:rPr>
        <w:t>advice to support Aboriginal and Torres Strait Islander students, EAL</w:t>
      </w:r>
      <w:r w:rsidR="00EA0CC3">
        <w:rPr>
          <w:rFonts w:eastAsia="Arial"/>
        </w:rPr>
        <w:t>/</w:t>
      </w:r>
      <w:r w:rsidRPr="19B962B9">
        <w:rPr>
          <w:rFonts w:eastAsia="Arial"/>
        </w:rPr>
        <w:t xml:space="preserve">D students, students with a disability and/or additional needs and High Potential and gifted students can be found on the </w:t>
      </w:r>
      <w:hyperlink r:id="rId9">
        <w:r w:rsidRPr="19B962B9">
          <w:rPr>
            <w:rStyle w:val="Hyperlink"/>
            <w:rFonts w:eastAsia="Arial"/>
          </w:rPr>
          <w:t>Planning</w:t>
        </w:r>
        <w:r w:rsidR="00EA0CC3">
          <w:rPr>
            <w:rStyle w:val="Hyperlink"/>
            <w:rFonts w:eastAsia="Arial"/>
          </w:rPr>
          <w:t>,</w:t>
        </w:r>
        <w:r w:rsidRPr="19B962B9">
          <w:rPr>
            <w:rStyle w:val="Hyperlink"/>
            <w:rFonts w:eastAsia="Arial"/>
          </w:rPr>
          <w:t xml:space="preserve"> programming and assessing 7</w:t>
        </w:r>
        <w:r w:rsidR="0025655F">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0" w:history="1">
        <w:r w:rsidRPr="00BD39B0">
          <w:rPr>
            <w:rStyle w:val="Hyperlink"/>
          </w:rPr>
          <w:t xml:space="preserve">Inclusion and differentiation </w:t>
        </w:r>
        <w:r w:rsidR="000968E7">
          <w:rPr>
            <w:rStyle w:val="Hyperlink"/>
          </w:rPr>
          <w:t xml:space="preserve">advice </w:t>
        </w:r>
        <w:r w:rsidRPr="00BD39B0">
          <w:rPr>
            <w:rStyle w:val="Hyperlink"/>
          </w:rPr>
          <w:t>7</w:t>
        </w:r>
        <w:r w:rsidR="0025655F">
          <w:rPr>
            <w:rStyle w:val="Hyperlink"/>
          </w:rPr>
          <w:t>–</w:t>
        </w:r>
        <w:r w:rsidRPr="00BD39B0">
          <w:rPr>
            <w:rStyle w:val="Hyperlink"/>
          </w:rPr>
          <w:t>10</w:t>
        </w:r>
      </w:hyperlink>
      <w:r>
        <w:t xml:space="preserve"> webpage.</w:t>
      </w:r>
    </w:p>
    <w:p w14:paraId="667DA93B" w14:textId="0F0855A3" w:rsidR="003D3697" w:rsidRDefault="003D3697" w:rsidP="003D3697">
      <w:r w:rsidRPr="19B962B9">
        <w:rPr>
          <w:b/>
          <w:bCs/>
        </w:rPr>
        <w:t>Assessment</w:t>
      </w:r>
      <w:r>
        <w:t xml:space="preserve">: </w:t>
      </w:r>
      <w:r w:rsidRPr="19B962B9">
        <w:rPr>
          <w:rFonts w:eastAsia="Arial"/>
        </w:rPr>
        <w:t xml:space="preserve">further advice to support formative assessment is available on the </w:t>
      </w:r>
      <w:hyperlink r:id="rId11">
        <w:r w:rsidRPr="19B962B9">
          <w:rPr>
            <w:rStyle w:val="Hyperlink"/>
            <w:rFonts w:eastAsia="Arial"/>
          </w:rPr>
          <w:t>Planning</w:t>
        </w:r>
        <w:r w:rsidR="00EA0CC3">
          <w:rPr>
            <w:rStyle w:val="Hyperlink"/>
            <w:rFonts w:eastAsia="Arial"/>
          </w:rPr>
          <w:t>,</w:t>
        </w:r>
        <w:r w:rsidRPr="19B962B9">
          <w:rPr>
            <w:rStyle w:val="Hyperlink"/>
            <w:rFonts w:eastAsia="Arial"/>
          </w:rPr>
          <w:t xml:space="preserve"> programming and assessing 7</w:t>
        </w:r>
        <w:r w:rsidR="0025655F">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2" w:history="1">
        <w:r w:rsidRPr="00D15E22">
          <w:rPr>
            <w:rStyle w:val="Hyperlink"/>
          </w:rPr>
          <w:t>Classroom assessment advice 7</w:t>
        </w:r>
        <w:r w:rsidR="0025655F">
          <w:rPr>
            <w:rStyle w:val="Hyperlink"/>
          </w:rPr>
          <w:t>–</w:t>
        </w:r>
        <w:r w:rsidRPr="00D15E22">
          <w:rPr>
            <w:rStyle w:val="Hyperlink"/>
          </w:rPr>
          <w:t>10</w:t>
        </w:r>
      </w:hyperlink>
      <w:r>
        <w:t xml:space="preserve">. For summative assessment tasks, the </w:t>
      </w:r>
      <w:hyperlink r:id="rId13" w:history="1">
        <w:r w:rsidR="000968E7">
          <w:rPr>
            <w:rStyle w:val="Hyperlink"/>
          </w:rPr>
          <w:t>A</w:t>
        </w:r>
        <w:r w:rsidRPr="00E95D83">
          <w:rPr>
            <w:rStyle w:val="Hyperlink"/>
          </w:rPr>
          <w:t>ssessment task advice 7</w:t>
        </w:r>
        <w:r w:rsidR="0025655F">
          <w:rPr>
            <w:rStyle w:val="Hyperlink"/>
          </w:rPr>
          <w:t>–</w:t>
        </w:r>
        <w:r w:rsidRPr="00E95D83">
          <w:rPr>
            <w:rStyle w:val="Hyperlink"/>
          </w:rPr>
          <w:t>10</w:t>
        </w:r>
      </w:hyperlink>
      <w:r>
        <w:t xml:space="preserve"> webpage is available.</w:t>
      </w:r>
    </w:p>
    <w:p w14:paraId="7DD234FD" w14:textId="73D94CA9" w:rsidR="003D3697" w:rsidRDefault="003D3697" w:rsidP="003D3697">
      <w:r w:rsidRPr="708AD2A7">
        <w:rPr>
          <w:b/>
          <w:bCs/>
        </w:rPr>
        <w:t>Professional learning</w:t>
      </w:r>
      <w:r>
        <w:t xml:space="preserve">: </w:t>
      </w:r>
      <w:r w:rsidR="00C24328">
        <w:t>relevant</w:t>
      </w:r>
      <w:r w:rsidR="003D7535">
        <w:t xml:space="preserve"> </w:t>
      </w:r>
      <w:r>
        <w:t xml:space="preserve">professional learning is available on the </w:t>
      </w:r>
      <w:hyperlink r:id="rId14" w:history="1">
        <w:r w:rsidR="000968E7">
          <w:rPr>
            <w:rStyle w:val="Hyperlink"/>
          </w:rPr>
          <w:t>T</w:t>
        </w:r>
        <w:r w:rsidRPr="00017708">
          <w:rPr>
            <w:rStyle w:val="Hyperlink"/>
          </w:rPr>
          <w:t xml:space="preserve">eaching and </w:t>
        </w:r>
        <w:r w:rsidR="000968E7">
          <w:rPr>
            <w:rStyle w:val="Hyperlink"/>
          </w:rPr>
          <w:t>L</w:t>
        </w:r>
        <w:r w:rsidRPr="00017708">
          <w:rPr>
            <w:rStyle w:val="Hyperlink"/>
          </w:rPr>
          <w:t>earning 7</w:t>
        </w:r>
        <w:r w:rsidR="0025655F">
          <w:rPr>
            <w:rStyle w:val="Hyperlink"/>
          </w:rPr>
          <w:t>–</w:t>
        </w:r>
        <w:r w:rsidRPr="00017708">
          <w:rPr>
            <w:rStyle w:val="Hyperlink"/>
          </w:rPr>
          <w:t>12 statewide staffroom</w:t>
        </w:r>
      </w:hyperlink>
      <w:r>
        <w:t>.</w:t>
      </w:r>
    </w:p>
    <w:p w14:paraId="0447D815" w14:textId="7375707A" w:rsidR="003D3697" w:rsidRDefault="003D3697" w:rsidP="003D3697">
      <w:r w:rsidRPr="002E7C6F">
        <w:rPr>
          <w:b/>
          <w:bCs/>
        </w:rPr>
        <w:t>Consulted with</w:t>
      </w:r>
      <w:r>
        <w:t>:</w:t>
      </w:r>
      <w:r w:rsidRPr="00302419">
        <w:t xml:space="preserve"> </w:t>
      </w:r>
      <w:r w:rsidRPr="00A3213E">
        <w:t>Aboriginal Outcomes and Partnerships, Inclusion and Wellbeing</w:t>
      </w:r>
      <w:r>
        <w:t xml:space="preserve"> and</w:t>
      </w:r>
      <w:r w:rsidRPr="00A3213E">
        <w:t xml:space="preserve"> EAL/D</w:t>
      </w:r>
      <w:r>
        <w:t>.</w:t>
      </w:r>
    </w:p>
    <w:p w14:paraId="53394F01" w14:textId="0A4AB43A" w:rsidR="003D3697" w:rsidRDefault="003D3697" w:rsidP="003D3697">
      <w:r w:rsidRPr="507A67F0">
        <w:rPr>
          <w:b/>
          <w:bCs/>
        </w:rPr>
        <w:t>Alignment to system priorities and/or needs</w:t>
      </w:r>
      <w:r>
        <w:t xml:space="preserve">: </w:t>
      </w:r>
      <w:hyperlink r:id="rId15">
        <w:r w:rsidRPr="507A67F0">
          <w:rPr>
            <w:rStyle w:val="Hyperlink"/>
          </w:rPr>
          <w:t>School Excellence Policy</w:t>
        </w:r>
      </w:hyperlink>
      <w:r>
        <w:t>.</w:t>
      </w:r>
    </w:p>
    <w:p w14:paraId="5898CE1A" w14:textId="26BA4ACE" w:rsidR="003D3697" w:rsidRDefault="003D3697" w:rsidP="003D3697">
      <w:r w:rsidRPr="002E7C6F">
        <w:rPr>
          <w:b/>
          <w:bCs/>
        </w:rPr>
        <w:lastRenderedPageBreak/>
        <w:t>Alignment to the School Excellence Framework</w:t>
      </w:r>
      <w:r>
        <w:t xml:space="preserve">: </w:t>
      </w:r>
      <w:r w:rsidR="00C24328">
        <w:t xml:space="preserve">this </w:t>
      </w:r>
      <w:r>
        <w:t xml:space="preserve">resource supports the </w:t>
      </w:r>
      <w:hyperlink r:id="rId16" w:history="1">
        <w:r w:rsidRPr="00D336ED">
          <w:rPr>
            <w:rStyle w:val="Hyperlink"/>
          </w:rPr>
          <w:t>School Excellence Framework</w:t>
        </w:r>
      </w:hyperlink>
      <w:r>
        <w:t xml:space="preserve"> elements of curriculum (curriculum provision) and effective classroom practice (lesson planning, explicit teaching).</w:t>
      </w:r>
    </w:p>
    <w:p w14:paraId="79279522" w14:textId="6985B36C" w:rsidR="003D3697" w:rsidRDefault="003D3697" w:rsidP="003D3697">
      <w:r w:rsidRPr="2ECF50A1">
        <w:rPr>
          <w:b/>
          <w:bCs/>
        </w:rPr>
        <w:t>Alignment to Australian Professional Teaching Standards</w:t>
      </w:r>
      <w:r>
        <w:t xml:space="preserve">: </w:t>
      </w:r>
      <w:r w:rsidR="00C24328">
        <w:t xml:space="preserve">this </w:t>
      </w:r>
      <w:r>
        <w:t>resource supports teachers to address 2.2.2, 2.3.2, 3.2.2, 7.2.2</w:t>
      </w:r>
      <w:r w:rsidR="002A6D22">
        <w:t>.</w:t>
      </w:r>
    </w:p>
    <w:p w14:paraId="7E912372" w14:textId="1283BF5A" w:rsidR="003D3697" w:rsidRDefault="003D3697" w:rsidP="003D3697">
      <w:r w:rsidRPr="00C2134A">
        <w:rPr>
          <w:b/>
          <w:bCs/>
        </w:rPr>
        <w:t>Creation date</w:t>
      </w:r>
      <w:r>
        <w:t>: 26 October 2021</w:t>
      </w:r>
      <w:r w:rsidR="000221D5">
        <w:t>.</w:t>
      </w:r>
    </w:p>
    <w:p w14:paraId="2277C28C" w14:textId="01A9C8B7" w:rsidR="0021723F" w:rsidRPr="002741A6" w:rsidRDefault="0021723F" w:rsidP="0021723F">
      <w:r w:rsidRPr="002741A6">
        <w:rPr>
          <w:b/>
          <w:bCs/>
        </w:rPr>
        <w:t xml:space="preserve">Evidence </w:t>
      </w:r>
      <w:r w:rsidR="008E2B51">
        <w:rPr>
          <w:b/>
          <w:bCs/>
        </w:rPr>
        <w:t>b</w:t>
      </w:r>
      <w:r w:rsidRPr="002741A6">
        <w:rPr>
          <w:b/>
          <w:bCs/>
        </w:rPr>
        <w:t>ase</w:t>
      </w:r>
      <w:r w:rsidRPr="002741A6">
        <w:t>:</w:t>
      </w:r>
    </w:p>
    <w:p w14:paraId="2C96FCEA" w14:textId="58018910" w:rsidR="00726B92" w:rsidRPr="002741A6" w:rsidRDefault="008B104F" w:rsidP="00726B92">
      <w:bookmarkStart w:id="0" w:name="_Hlk117858813"/>
      <w:r>
        <w:t>‘</w:t>
      </w:r>
      <w:r w:rsidR="00726B92" w:rsidRPr="002741A6">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w:t>
      </w:r>
      <w:r>
        <w:t>’</w:t>
      </w:r>
      <w:r w:rsidR="00726B92" w:rsidRPr="002741A6">
        <w:t xml:space="preserve"> (NESA 2020:xi).</w:t>
      </w:r>
    </w:p>
    <w:p w14:paraId="377158CD" w14:textId="0C0FCAA4" w:rsidR="00726B92" w:rsidRPr="002741A6" w:rsidRDefault="00726B92" w:rsidP="00726B92">
      <w:r w:rsidRPr="002741A6">
        <w:t xml:space="preserve">NESA registration process for the NSW government schooling system indicates ‘the scope and sequence of learning/units of work mapped against the content and outcomes.’ (NESA 2021a:11) </w:t>
      </w:r>
      <w:r w:rsidR="008E2B51">
        <w:t>Department</w:t>
      </w:r>
      <w:r w:rsidRPr="002741A6">
        <w:t xml:space="preserve"> approved electives need to maintain this approach. The sample scope and sequence shows an option to ‘plan the scope and sequence of lessons from the syllabus to systematically build student understanding of skills, concepts and content knowledge’ (CESE 2020a:11).</w:t>
      </w:r>
    </w:p>
    <w:p w14:paraId="1268885E" w14:textId="77777777" w:rsidR="00726B92" w:rsidRPr="002741A6" w:rsidRDefault="00726B92" w:rsidP="00726B92">
      <w:r w:rsidRPr="002741A6">
        <w:t>The scope and sequence is a sample, as ‘international evidence that increased local decision making in relation to the curriculum is associated with higher levels of student performance’ (NESA 2020:52).</w:t>
      </w:r>
    </w:p>
    <w:p w14:paraId="4F443419" w14:textId="453F5C35" w:rsidR="00726B92" w:rsidRDefault="00726B92" w:rsidP="00726B92">
      <w:r w:rsidRPr="002741A6">
        <w:t>NESA also acknowledge the importance of a quality scope and sequence to support teaching and learning. They indicate that essential elements to be included in a school’s documented curriculum are ‘a scope and sequence and associated learning programs for each course, including teaching activities mapped against NESA syllabus outcomes and content, and including registration and evaluation’ (NSW Department of Education 20</w:t>
      </w:r>
      <w:r w:rsidR="00F47A96" w:rsidRPr="002741A6">
        <w:t>21</w:t>
      </w:r>
      <w:r w:rsidRPr="002741A6">
        <w:t>:7).</w:t>
      </w:r>
    </w:p>
    <w:bookmarkEnd w:id="0"/>
    <w:p w14:paraId="068F7488" w14:textId="77777777" w:rsidR="00726B92" w:rsidRDefault="00726B92" w:rsidP="00726B92">
      <w:r>
        <w:t>This sample scope and sequence aligns with this advice.</w:t>
      </w:r>
    </w:p>
    <w:p w14:paraId="17582618" w14:textId="77777777" w:rsidR="0021723F" w:rsidRPr="008834C9" w:rsidRDefault="0021723F" w:rsidP="008834C9">
      <w:r w:rsidRPr="008834C9">
        <w:br w:type="page"/>
      </w:r>
    </w:p>
    <w:p w14:paraId="2BBA17F3" w14:textId="77777777" w:rsidR="0021723F" w:rsidRDefault="0021723F" w:rsidP="0021723F">
      <w:pPr>
        <w:pStyle w:val="Heading2"/>
      </w:pPr>
      <w:r>
        <w:lastRenderedPageBreak/>
        <w:t>References</w:t>
      </w:r>
    </w:p>
    <w:bookmarkStart w:id="1" w:name="_Hlk117858800"/>
    <w:bookmarkStart w:id="2" w:name="_Hlk155681138"/>
    <w:p w14:paraId="780D8033" w14:textId="794B1746" w:rsidR="00CB5B41" w:rsidRPr="00123495" w:rsidRDefault="0059155F" w:rsidP="00CB5B41">
      <w:r>
        <w:fldChar w:fldCharType="begin"/>
      </w:r>
      <w:r>
        <w:instrText>HYPERLINK "https://education.nsw.gov.au/teaching-and-learning/curriculum/department-approved-courses/big-history"</w:instrText>
      </w:r>
      <w:r>
        <w:fldChar w:fldCharType="separate"/>
      </w:r>
      <w:r w:rsidR="00CB5B41" w:rsidRPr="0059155F">
        <w:rPr>
          <w:rStyle w:val="Hyperlink"/>
        </w:rPr>
        <w:t>Big History course document</w:t>
      </w:r>
      <w:r>
        <w:fldChar w:fldCharType="end"/>
      </w:r>
      <w:r w:rsidR="00CB5B41" w:rsidRPr="00123495">
        <w:t xml:space="preserve"> © NSW Department of Education for and on behalf of the Crown in the State of New South Wales, 2021.</w:t>
      </w:r>
    </w:p>
    <w:p w14:paraId="58D5091E" w14:textId="77777777" w:rsidR="000630BD" w:rsidRPr="00776103" w:rsidRDefault="000630BD" w:rsidP="000630BD">
      <w:bookmarkStart w:id="3" w:name="_Hlk155702612"/>
      <w:r w:rsidRPr="00776103">
        <w:t xml:space="preserve">CESE (Centre for Education Statistics and Evaluation) (2020a) </w:t>
      </w:r>
      <w:hyperlink r:id="rId17" w:tgtFrame="_blank" w:tooltip="https://education.nsw.gov.au/about-us/educational-data/cese/publications/research-reports/what-works-best-2020-update" w:history="1">
        <w:r w:rsidRPr="00776103">
          <w:rPr>
            <w:rStyle w:val="Hyperlink"/>
            <w:i/>
            <w:iCs/>
          </w:rPr>
          <w:t>What works best: 2020 update</w:t>
        </w:r>
      </w:hyperlink>
      <w:r w:rsidRPr="00776103">
        <w:t>, NSW Department of Education, accessed 15 November 2022.</w:t>
      </w:r>
    </w:p>
    <w:p w14:paraId="7FCB9EB5" w14:textId="77777777" w:rsidR="000630BD" w:rsidRPr="00776103" w:rsidRDefault="000630BD" w:rsidP="000630BD">
      <w:bookmarkStart w:id="4" w:name="_Hlk135313877"/>
      <w:r w:rsidRPr="00776103">
        <w:t xml:space="preserve">CESE (Centre for Education Statistics and Evaluation) (2020b) </w:t>
      </w:r>
      <w:hyperlink r:id="rId18" w:tgtFrame="_blank" w:tooltip="https://education.nsw.gov.au/about-us/educational-data/cese/publications/practical-guides-for-educators-/what-works-best-in-practice" w:history="1">
        <w:r w:rsidRPr="00776103">
          <w:rPr>
            <w:rStyle w:val="Hyperlink"/>
            <w:i/>
            <w:iCs/>
          </w:rPr>
          <w:t>What works best in practice</w:t>
        </w:r>
      </w:hyperlink>
      <w:r w:rsidRPr="00776103">
        <w:t xml:space="preserve">, NSW Department of Education, accessed </w:t>
      </w:r>
      <w:bookmarkEnd w:id="4"/>
      <w:r w:rsidRPr="00776103">
        <w:t>15 November 2022.</w:t>
      </w:r>
    </w:p>
    <w:bookmarkEnd w:id="3"/>
    <w:p w14:paraId="3C20FF30" w14:textId="320C7734" w:rsidR="002F5FEF" w:rsidRDefault="002F5FEF" w:rsidP="002F5FEF">
      <w:r w:rsidRPr="006E6ABF">
        <w:t xml:space="preserve">NESA (NSW Education Standards Authority) (2020) </w:t>
      </w:r>
      <w:hyperlink r:id="rId19" w:history="1">
        <w:r w:rsidRPr="006E6ABF">
          <w:rPr>
            <w:rStyle w:val="Hyperlink"/>
            <w:i/>
            <w:iCs/>
          </w:rPr>
          <w:t>Nurturing Wonder and Igniting Passion, designs for a new school curriculum: NSW Curriculum Review</w:t>
        </w:r>
        <w:r w:rsidRPr="006E6ABF">
          <w:rPr>
            <w:rStyle w:val="Hyperlink"/>
          </w:rPr>
          <w:t xml:space="preserve"> [PDF 1.12MB]</w:t>
        </w:r>
      </w:hyperlink>
      <w:r w:rsidRPr="006E6ABF">
        <w:t>, NESA, accessed 1</w:t>
      </w:r>
      <w:r w:rsidR="00F47A96" w:rsidRPr="006E6ABF">
        <w:t>5</w:t>
      </w:r>
      <w:r w:rsidRPr="006E6ABF">
        <w:t xml:space="preserve"> November 2022.</w:t>
      </w:r>
    </w:p>
    <w:p w14:paraId="58EAB432" w14:textId="64F30FC5" w:rsidR="002F5FEF" w:rsidRDefault="002F5FEF" w:rsidP="002F5FEF">
      <w:r w:rsidRPr="0097267E">
        <w:t xml:space="preserve">NESA (NSW Education Standards Authority) (2021a) </w:t>
      </w:r>
      <w:bookmarkStart w:id="5" w:name="_Hlk155709828"/>
      <w:r w:rsidRPr="0097267E">
        <w:t>‘</w:t>
      </w:r>
      <w:hyperlink r:id="rId20" w:history="1">
        <w:r w:rsidR="00776103">
          <w:rPr>
            <w:rStyle w:val="Hyperlink"/>
          </w:rPr>
          <w:t>NSW Registration Process for the Government Schooling System Manual</w:t>
        </w:r>
      </w:hyperlink>
      <w:r w:rsidRPr="0097267E">
        <w:t>’</w:t>
      </w:r>
      <w:bookmarkEnd w:id="5"/>
      <w:r w:rsidRPr="0097267E">
        <w:t>, NESA, accessed 1</w:t>
      </w:r>
      <w:r w:rsidR="00F47A96" w:rsidRPr="0097267E">
        <w:t>5</w:t>
      </w:r>
      <w:r w:rsidRPr="0097267E">
        <w:t xml:space="preserve"> November 2022.</w:t>
      </w:r>
    </w:p>
    <w:p w14:paraId="3F0FC140" w14:textId="467C6811" w:rsidR="002F5FEF" w:rsidRDefault="002F5FEF" w:rsidP="002F5FEF">
      <w:r w:rsidRPr="006D7690">
        <w:t>NESA (NSW Education Standards Authority) (2021b) ‘</w:t>
      </w:r>
      <w:hyperlink r:id="rId21" w:history="1">
        <w:r w:rsidRPr="006D7690">
          <w:rPr>
            <w:rStyle w:val="Hyperlink"/>
          </w:rPr>
          <w:t>Advice on scope and sequences</w:t>
        </w:r>
      </w:hyperlink>
      <w:r w:rsidRPr="006D7690">
        <w:t xml:space="preserve">’, </w:t>
      </w:r>
      <w:r w:rsidRPr="006D7690">
        <w:rPr>
          <w:rStyle w:val="Emphasis"/>
        </w:rPr>
        <w:t>Programming</w:t>
      </w:r>
      <w:r w:rsidRPr="006D7690">
        <w:t>, NESA website, accessed 1</w:t>
      </w:r>
      <w:r w:rsidR="00F47A96" w:rsidRPr="006D7690">
        <w:t>5</w:t>
      </w:r>
      <w:r w:rsidRPr="006D7690">
        <w:t xml:space="preserve"> November 2022.</w:t>
      </w:r>
    </w:p>
    <w:bookmarkEnd w:id="1"/>
    <w:p w14:paraId="3B6ED8D4" w14:textId="653C3A07" w:rsidR="004B1BAA" w:rsidRDefault="00F47A96" w:rsidP="002F5FEF">
      <w:r w:rsidRPr="0075416D">
        <w:t>State of New South Wales (Department of Education) (2021) ‘</w:t>
      </w:r>
      <w:hyperlink r:id="rId22" w:history="1">
        <w:r w:rsidR="00DB3A0F" w:rsidRPr="0075416D">
          <w:rPr>
            <w:rStyle w:val="Hyperlink"/>
          </w:rPr>
          <w:t>Curriculum Policy Standards: Implementation document for Curriculum planning and programming, assessing and reporting to parents K</w:t>
        </w:r>
        <w:r w:rsidR="0097041C" w:rsidRPr="0075416D">
          <w:rPr>
            <w:rStyle w:val="Hyperlink"/>
          </w:rPr>
          <w:t>–</w:t>
        </w:r>
        <w:r w:rsidR="00DB3A0F" w:rsidRPr="0075416D">
          <w:rPr>
            <w:rStyle w:val="Hyperlink"/>
          </w:rPr>
          <w:t>12 policy</w:t>
        </w:r>
      </w:hyperlink>
      <w:r w:rsidRPr="0075416D">
        <w:t>’, NSW Department of Education, accessed 15 November 2022.</w:t>
      </w:r>
      <w:bookmarkEnd w:id="2"/>
    </w:p>
    <w:p w14:paraId="25E6C099" w14:textId="77777777" w:rsidR="00940C39" w:rsidRDefault="00940C39" w:rsidP="002F5FEF">
      <w:pPr>
        <w:sectPr w:rsidR="00940C39" w:rsidSect="00805B45">
          <w:headerReference w:type="even" r:id="rId23"/>
          <w:headerReference w:type="default" r:id="rId24"/>
          <w:footerReference w:type="even" r:id="rId25"/>
          <w:footerReference w:type="default" r:id="rId26"/>
          <w:headerReference w:type="first" r:id="rId27"/>
          <w:footerReference w:type="first" r:id="rId28"/>
          <w:pgSz w:w="16838" w:h="11906" w:orient="landscape"/>
          <w:pgMar w:top="1134" w:right="1134" w:bottom="993" w:left="1134" w:header="709" w:footer="709" w:gutter="0"/>
          <w:cols w:space="708"/>
          <w:titlePg/>
          <w:docGrid w:linePitch="360"/>
        </w:sectPr>
      </w:pPr>
    </w:p>
    <w:p w14:paraId="23746024" w14:textId="18F85820" w:rsidR="00940C39" w:rsidRPr="00E80FFD" w:rsidRDefault="00940C39" w:rsidP="00940C39">
      <w:pPr>
        <w:spacing w:before="0" w:after="0"/>
        <w:rPr>
          <w:rStyle w:val="Strong"/>
          <w:szCs w:val="22"/>
        </w:rPr>
      </w:pPr>
      <w:r w:rsidRPr="00E80FFD">
        <w:rPr>
          <w:rStyle w:val="Strong"/>
          <w:szCs w:val="22"/>
        </w:rPr>
        <w:lastRenderedPageBreak/>
        <w:t xml:space="preserve">© State of New South Wales (Department of Education), </w:t>
      </w:r>
      <w:r w:rsidR="004A741D">
        <w:rPr>
          <w:rStyle w:val="Strong"/>
          <w:szCs w:val="22"/>
        </w:rPr>
        <w:t>2024</w:t>
      </w:r>
    </w:p>
    <w:p w14:paraId="42991C5F" w14:textId="77777777" w:rsidR="00940C39" w:rsidRPr="00E80FFD" w:rsidRDefault="00940C39" w:rsidP="00940C39">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6E23372" w14:textId="77777777" w:rsidR="00940C39" w:rsidRDefault="00940C39" w:rsidP="00940C39">
      <w:r w:rsidRPr="00E80FFD">
        <w:t>Copyright material available in this resource</w:t>
      </w:r>
      <w:r>
        <w:t xml:space="preserve"> and owned by the NSW Department of Education is licensed under a </w:t>
      </w:r>
      <w:hyperlink r:id="rId29" w:history="1">
        <w:r w:rsidRPr="003B3E41">
          <w:rPr>
            <w:rStyle w:val="Hyperlink"/>
          </w:rPr>
          <w:t>Creative Commons Attribution 4.0 International (CC BY 4.0) license</w:t>
        </w:r>
      </w:hyperlink>
      <w:r>
        <w:t>.</w:t>
      </w:r>
    </w:p>
    <w:p w14:paraId="2EDC421B" w14:textId="547DCBA0" w:rsidR="00940C39" w:rsidRDefault="00940C39" w:rsidP="00940C39">
      <w:pPr>
        <w:spacing w:line="276" w:lineRule="auto"/>
      </w:pPr>
      <w:r>
        <w:rPr>
          <w:noProof/>
        </w:rPr>
        <w:drawing>
          <wp:inline distT="0" distB="0" distL="0" distR="0" wp14:anchorId="36F1BF87" wp14:editId="734D8238">
            <wp:extent cx="1228725" cy="428625"/>
            <wp:effectExtent l="0" t="0" r="9525" b="9525"/>
            <wp:docPr id="32" name="Picture 32" descr="Creative Commons Attribution license 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2E0C74C" w14:textId="77777777" w:rsidR="00940C39" w:rsidRPr="00E80FFD" w:rsidRDefault="00940C39" w:rsidP="00940C39">
      <w:r w:rsidRPr="002D3434">
        <w:t xml:space="preserve">This license allows you to share and </w:t>
      </w:r>
      <w:r w:rsidRPr="00E80FFD">
        <w:t>adapt the material for any purpose, even commercially.</w:t>
      </w:r>
    </w:p>
    <w:p w14:paraId="144A7F03" w14:textId="0A598ACF" w:rsidR="00940C39" w:rsidRPr="00E80FFD" w:rsidRDefault="00940C39" w:rsidP="00940C39">
      <w:r w:rsidRPr="00E80FFD">
        <w:t xml:space="preserve">Attribution should be given to © State of New South Wales (Department of Education), </w:t>
      </w:r>
      <w:r w:rsidR="004A741D">
        <w:t>2024</w:t>
      </w:r>
      <w:r w:rsidRPr="00E80FFD">
        <w:t>.</w:t>
      </w:r>
    </w:p>
    <w:p w14:paraId="08F745BF" w14:textId="77777777" w:rsidR="00940C39" w:rsidRPr="002D3434" w:rsidRDefault="00940C39" w:rsidP="00940C39">
      <w:r w:rsidRPr="00E80FFD">
        <w:t>Material in this resource not available</w:t>
      </w:r>
      <w:r w:rsidRPr="002D3434">
        <w:t xml:space="preserve"> under a Creative Commons license:</w:t>
      </w:r>
    </w:p>
    <w:p w14:paraId="113B77F2" w14:textId="77777777" w:rsidR="00940C39" w:rsidRPr="002D3434" w:rsidRDefault="00940C39" w:rsidP="009E3204">
      <w:pPr>
        <w:pStyle w:val="ListBullet"/>
        <w:numPr>
          <w:ilvl w:val="0"/>
          <w:numId w:val="1"/>
        </w:numPr>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3175444D" w14:textId="77777777" w:rsidR="00940C39" w:rsidRPr="002D3434" w:rsidRDefault="00940C39" w:rsidP="009E3204">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7AC9F916" w14:textId="77777777" w:rsidR="00940C39" w:rsidRPr="003B3E41" w:rsidRDefault="00940C39" w:rsidP="00940C39">
      <w:pPr>
        <w:pStyle w:val="FeatureBox2"/>
        <w:spacing w:line="276" w:lineRule="auto"/>
        <w:rPr>
          <w:rStyle w:val="Strong"/>
        </w:rPr>
      </w:pPr>
      <w:r w:rsidRPr="003B3E41">
        <w:rPr>
          <w:rStyle w:val="Strong"/>
        </w:rPr>
        <w:t>Links to third-party material and websites</w:t>
      </w:r>
    </w:p>
    <w:p w14:paraId="3165CD42" w14:textId="77777777" w:rsidR="00940C39" w:rsidRDefault="00940C39" w:rsidP="00940C3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63D9483" w14:textId="30C3CA76" w:rsidR="00940C39" w:rsidRPr="00343281" w:rsidRDefault="00940C39" w:rsidP="00940C3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940C39" w:rsidRPr="00343281" w:rsidSect="00AF19C2">
      <w:headerReference w:type="first" r:id="rId31"/>
      <w:footerReference w:type="first" r:id="rId3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F0CD" w14:textId="77777777" w:rsidR="00BA5138" w:rsidRDefault="00BA5138" w:rsidP="00E51733">
      <w:r>
        <w:separator/>
      </w:r>
    </w:p>
  </w:endnote>
  <w:endnote w:type="continuationSeparator" w:id="0">
    <w:p w14:paraId="79FADBEE" w14:textId="77777777" w:rsidR="00BA5138" w:rsidRDefault="00BA5138"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9454" w14:textId="33BD4AA7" w:rsidR="00FE79C8" w:rsidRPr="00123A38" w:rsidRDefault="00FE79C8" w:rsidP="00FE79C8">
    <w:pPr>
      <w:pStyle w:val="Footer"/>
    </w:pPr>
    <w:r>
      <w:t xml:space="preserve">© NSW Department of Education, </w:t>
    </w:r>
    <w:r>
      <w:fldChar w:fldCharType="begin"/>
    </w:r>
    <w:r>
      <w:instrText xml:space="preserve"> DATE  \@ "MMM-yy"  \* MERGEFORMAT </w:instrText>
    </w:r>
    <w:r>
      <w:fldChar w:fldCharType="separate"/>
    </w:r>
    <w:r w:rsidR="009E3204">
      <w:rPr>
        <w:noProof/>
      </w:rPr>
      <w:t>Jan-24</w:t>
    </w:r>
    <w:r>
      <w:fldChar w:fldCharType="end"/>
    </w:r>
    <w:r>
      <w:ptab w:relativeTo="margin" w:alignment="right" w:leader="none"/>
    </w:r>
    <w:r>
      <w:rPr>
        <w:b/>
        <w:noProof/>
        <w:sz w:val="28"/>
        <w:szCs w:val="28"/>
      </w:rPr>
      <w:drawing>
        <wp:inline distT="0" distB="0" distL="0" distR="0" wp14:anchorId="14630B39" wp14:editId="36B23FBB">
          <wp:extent cx="571500" cy="190500"/>
          <wp:effectExtent l="0" t="0" r="0" b="0"/>
          <wp:docPr id="164079920" name="Picture 16407992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0C2E" w14:textId="6AC65E26" w:rsidR="00FE79C8" w:rsidRPr="00123A38" w:rsidRDefault="00FE79C8" w:rsidP="00FE79C8">
    <w:pPr>
      <w:pStyle w:val="Footer"/>
    </w:pPr>
    <w:r>
      <w:t xml:space="preserve">© NSW Department of Education, </w:t>
    </w:r>
    <w:r>
      <w:fldChar w:fldCharType="begin"/>
    </w:r>
    <w:r>
      <w:instrText xml:space="preserve"> DATE  \@ "MMM-yy"  \* MERGEFORMAT </w:instrText>
    </w:r>
    <w:r>
      <w:fldChar w:fldCharType="separate"/>
    </w:r>
    <w:r w:rsidR="009E3204">
      <w:rPr>
        <w:noProof/>
      </w:rPr>
      <w:t>Jan-24</w:t>
    </w:r>
    <w:r>
      <w:fldChar w:fldCharType="end"/>
    </w:r>
    <w:r>
      <w:ptab w:relativeTo="margin" w:alignment="right" w:leader="none"/>
    </w:r>
    <w:r>
      <w:rPr>
        <w:b/>
        <w:noProof/>
        <w:sz w:val="28"/>
        <w:szCs w:val="28"/>
      </w:rPr>
      <w:drawing>
        <wp:inline distT="0" distB="0" distL="0" distR="0" wp14:anchorId="3E500100" wp14:editId="1E4330FF">
          <wp:extent cx="571500" cy="190500"/>
          <wp:effectExtent l="0" t="0" r="0" b="0"/>
          <wp:docPr id="980132500" name="Picture 98013250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E2ED" w14:textId="77777777" w:rsidR="00CF0DEE" w:rsidRDefault="00CF0DEE" w:rsidP="00CF0DEE">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5F12" w14:textId="77777777" w:rsidR="00BF3675" w:rsidRPr="0055252E" w:rsidRDefault="00BF3675"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1804" w14:textId="77777777" w:rsidR="00BA5138" w:rsidRDefault="00BA5138" w:rsidP="00E51733">
      <w:r>
        <w:separator/>
      </w:r>
    </w:p>
  </w:footnote>
  <w:footnote w:type="continuationSeparator" w:id="0">
    <w:p w14:paraId="5DFB1254" w14:textId="77777777" w:rsidR="00BA5138" w:rsidRDefault="00BA5138"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8916" w14:textId="0E1AF8AB" w:rsidR="00CF0DEE" w:rsidRDefault="00CF0DEE" w:rsidP="00CF0DEE">
    <w:pPr>
      <w:pStyle w:val="Documentname"/>
    </w:pPr>
    <w:r>
      <w:t xml:space="preserve">Big History – 200-hour sample scope and sequence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73E7" w14:textId="77777777" w:rsidR="00FE79C8" w:rsidRDefault="00FE79C8" w:rsidP="00FE79C8">
    <w:pPr>
      <w:pStyle w:val="Documentname"/>
    </w:pPr>
    <w:r>
      <w:t xml:space="preserve">Big History – 200-hour sample scope and sequence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2FA5" w14:textId="77777777" w:rsidR="006B4F4E" w:rsidRPr="00FA6449" w:rsidRDefault="006B4F4E" w:rsidP="006B4F4E">
    <w:pPr>
      <w:pStyle w:val="Header"/>
    </w:pPr>
    <w:r w:rsidRPr="009D43DD">
      <mc:AlternateContent>
        <mc:Choice Requires="wps">
          <w:drawing>
            <wp:anchor distT="0" distB="0" distL="114300" distR="114300" simplePos="0" relativeHeight="251659264" behindDoc="1" locked="0" layoutInCell="1" allowOverlap="1" wp14:anchorId="4A89BA7C" wp14:editId="20C41678">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81862C" w14:textId="77777777" w:rsidR="006B4F4E" w:rsidRDefault="006B4F4E" w:rsidP="006B4F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9BA7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981862C" w14:textId="77777777" w:rsidR="006B4F4E" w:rsidRDefault="006B4F4E" w:rsidP="006B4F4E"/>
                </w:txbxContent>
              </v:textbox>
            </v:rect>
          </w:pict>
        </mc:Fallback>
      </mc:AlternateContent>
    </w:r>
    <w:r w:rsidRPr="009D43DD">
      <w:t>NSW Department of Education</w:t>
    </w:r>
    <w:r w:rsidRPr="009D43DD">
      <w:ptab w:relativeTo="margin" w:alignment="right" w:leader="none"/>
    </w:r>
    <w:r w:rsidRPr="008426B6">
      <w:drawing>
        <wp:inline distT="0" distB="0" distL="0" distR="0" wp14:anchorId="1D9EB0E5" wp14:editId="6BF4F69D">
          <wp:extent cx="597741" cy="649155"/>
          <wp:effectExtent l="0" t="0" r="0" b="0"/>
          <wp:docPr id="955405496" name="Graphic 95540549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98EC" w14:textId="77777777" w:rsidR="00BF3675" w:rsidRPr="0055252E" w:rsidRDefault="00BF3675"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19848041">
    <w:abstractNumId w:val="1"/>
  </w:num>
  <w:num w:numId="2" w16cid:durableId="142048576">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2141070303">
    <w:abstractNumId w:val="0"/>
  </w:num>
  <w:num w:numId="4" w16cid:durableId="1632519430">
    <w:abstractNumId w:val="1"/>
  </w:num>
  <w:num w:numId="5" w16cid:durableId="1921600858">
    <w:abstractNumId w:val="4"/>
  </w:num>
  <w:num w:numId="6" w16cid:durableId="124349340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5A"/>
    <w:rsid w:val="00013FF2"/>
    <w:rsid w:val="000221D5"/>
    <w:rsid w:val="000252CB"/>
    <w:rsid w:val="000408FE"/>
    <w:rsid w:val="000447BC"/>
    <w:rsid w:val="00045F0D"/>
    <w:rsid w:val="0004750C"/>
    <w:rsid w:val="00047862"/>
    <w:rsid w:val="00061818"/>
    <w:rsid w:val="00061D5B"/>
    <w:rsid w:val="000630BD"/>
    <w:rsid w:val="00074F0F"/>
    <w:rsid w:val="0009273E"/>
    <w:rsid w:val="000968E7"/>
    <w:rsid w:val="000C1B93"/>
    <w:rsid w:val="000C24ED"/>
    <w:rsid w:val="000D38C5"/>
    <w:rsid w:val="000D3BBE"/>
    <w:rsid w:val="000D525D"/>
    <w:rsid w:val="000D7466"/>
    <w:rsid w:val="000E283C"/>
    <w:rsid w:val="00112528"/>
    <w:rsid w:val="001430A2"/>
    <w:rsid w:val="00156619"/>
    <w:rsid w:val="001749BC"/>
    <w:rsid w:val="00190C6F"/>
    <w:rsid w:val="001A2D64"/>
    <w:rsid w:val="001A3009"/>
    <w:rsid w:val="001C4034"/>
    <w:rsid w:val="001C7E97"/>
    <w:rsid w:val="001D5230"/>
    <w:rsid w:val="001E664E"/>
    <w:rsid w:val="002105AD"/>
    <w:rsid w:val="0021723F"/>
    <w:rsid w:val="00242577"/>
    <w:rsid w:val="0025592F"/>
    <w:rsid w:val="0025655F"/>
    <w:rsid w:val="002650CF"/>
    <w:rsid w:val="0026548C"/>
    <w:rsid w:val="00266207"/>
    <w:rsid w:val="0027370C"/>
    <w:rsid w:val="002741A6"/>
    <w:rsid w:val="002A28B4"/>
    <w:rsid w:val="002A2B8C"/>
    <w:rsid w:val="002A35CF"/>
    <w:rsid w:val="002A475D"/>
    <w:rsid w:val="002A6D22"/>
    <w:rsid w:val="002D49E7"/>
    <w:rsid w:val="002D7CC1"/>
    <w:rsid w:val="002F3BA2"/>
    <w:rsid w:val="002F5FEF"/>
    <w:rsid w:val="002F7CFE"/>
    <w:rsid w:val="00303085"/>
    <w:rsid w:val="00306C23"/>
    <w:rsid w:val="00333052"/>
    <w:rsid w:val="00340DD9"/>
    <w:rsid w:val="00343281"/>
    <w:rsid w:val="003552B5"/>
    <w:rsid w:val="00360E17"/>
    <w:rsid w:val="0036209C"/>
    <w:rsid w:val="00385DFB"/>
    <w:rsid w:val="003A5190"/>
    <w:rsid w:val="003B240E"/>
    <w:rsid w:val="003D0203"/>
    <w:rsid w:val="003D13EF"/>
    <w:rsid w:val="003D3697"/>
    <w:rsid w:val="003D7535"/>
    <w:rsid w:val="003E1F29"/>
    <w:rsid w:val="003E5031"/>
    <w:rsid w:val="00401084"/>
    <w:rsid w:val="00404C5A"/>
    <w:rsid w:val="00406601"/>
    <w:rsid w:val="00407EF0"/>
    <w:rsid w:val="00412F2B"/>
    <w:rsid w:val="004178B3"/>
    <w:rsid w:val="00430F12"/>
    <w:rsid w:val="004662AB"/>
    <w:rsid w:val="00472818"/>
    <w:rsid w:val="00480185"/>
    <w:rsid w:val="0048309D"/>
    <w:rsid w:val="0048642E"/>
    <w:rsid w:val="004A741D"/>
    <w:rsid w:val="004B1BAA"/>
    <w:rsid w:val="004B484F"/>
    <w:rsid w:val="004B5E17"/>
    <w:rsid w:val="004C02DA"/>
    <w:rsid w:val="004C11A9"/>
    <w:rsid w:val="004C5C6D"/>
    <w:rsid w:val="004F3965"/>
    <w:rsid w:val="004F48DD"/>
    <w:rsid w:val="004F6AF2"/>
    <w:rsid w:val="005048C2"/>
    <w:rsid w:val="00511863"/>
    <w:rsid w:val="00524087"/>
    <w:rsid w:val="00526795"/>
    <w:rsid w:val="0053424E"/>
    <w:rsid w:val="00541FBB"/>
    <w:rsid w:val="0055603F"/>
    <w:rsid w:val="005649D2"/>
    <w:rsid w:val="0058102D"/>
    <w:rsid w:val="00583731"/>
    <w:rsid w:val="005859B2"/>
    <w:rsid w:val="0059155F"/>
    <w:rsid w:val="005934B4"/>
    <w:rsid w:val="005A34D4"/>
    <w:rsid w:val="005A4832"/>
    <w:rsid w:val="005A67CA"/>
    <w:rsid w:val="005B184F"/>
    <w:rsid w:val="005B77E0"/>
    <w:rsid w:val="005C14A7"/>
    <w:rsid w:val="005C5B24"/>
    <w:rsid w:val="005D0140"/>
    <w:rsid w:val="005D49FE"/>
    <w:rsid w:val="005E1F63"/>
    <w:rsid w:val="0060281A"/>
    <w:rsid w:val="00626BBF"/>
    <w:rsid w:val="00635669"/>
    <w:rsid w:val="0064002C"/>
    <w:rsid w:val="0064273E"/>
    <w:rsid w:val="00643CC4"/>
    <w:rsid w:val="00677835"/>
    <w:rsid w:val="00680388"/>
    <w:rsid w:val="00696410"/>
    <w:rsid w:val="006A3884"/>
    <w:rsid w:val="006B3488"/>
    <w:rsid w:val="006B4F4E"/>
    <w:rsid w:val="006C741D"/>
    <w:rsid w:val="006D00B0"/>
    <w:rsid w:val="006D1CF3"/>
    <w:rsid w:val="006D7690"/>
    <w:rsid w:val="006E3A93"/>
    <w:rsid w:val="006E54D3"/>
    <w:rsid w:val="006E6ABF"/>
    <w:rsid w:val="006F1A11"/>
    <w:rsid w:val="00717237"/>
    <w:rsid w:val="00721B19"/>
    <w:rsid w:val="00726B92"/>
    <w:rsid w:val="007372D5"/>
    <w:rsid w:val="00752A9F"/>
    <w:rsid w:val="0075416D"/>
    <w:rsid w:val="00766D19"/>
    <w:rsid w:val="00776103"/>
    <w:rsid w:val="007979F3"/>
    <w:rsid w:val="007B020C"/>
    <w:rsid w:val="007B523A"/>
    <w:rsid w:val="007C131B"/>
    <w:rsid w:val="007C3548"/>
    <w:rsid w:val="007C61E6"/>
    <w:rsid w:val="007D5D06"/>
    <w:rsid w:val="007E580F"/>
    <w:rsid w:val="007F066A"/>
    <w:rsid w:val="007F6BE6"/>
    <w:rsid w:val="0080248A"/>
    <w:rsid w:val="00804F58"/>
    <w:rsid w:val="00805B45"/>
    <w:rsid w:val="008073B1"/>
    <w:rsid w:val="00831071"/>
    <w:rsid w:val="008318F3"/>
    <w:rsid w:val="008330BE"/>
    <w:rsid w:val="0084403C"/>
    <w:rsid w:val="008559F3"/>
    <w:rsid w:val="00856CA3"/>
    <w:rsid w:val="00865BC1"/>
    <w:rsid w:val="0087496A"/>
    <w:rsid w:val="008834C9"/>
    <w:rsid w:val="00890EEE"/>
    <w:rsid w:val="0089316E"/>
    <w:rsid w:val="008A4CF6"/>
    <w:rsid w:val="008B104F"/>
    <w:rsid w:val="008C4B4C"/>
    <w:rsid w:val="008E2B51"/>
    <w:rsid w:val="008E3DE9"/>
    <w:rsid w:val="00905013"/>
    <w:rsid w:val="009107ED"/>
    <w:rsid w:val="009138BF"/>
    <w:rsid w:val="00916983"/>
    <w:rsid w:val="009268C3"/>
    <w:rsid w:val="0093679E"/>
    <w:rsid w:val="00940C39"/>
    <w:rsid w:val="00946913"/>
    <w:rsid w:val="0097041C"/>
    <w:rsid w:val="0097267E"/>
    <w:rsid w:val="009739C8"/>
    <w:rsid w:val="00973DAE"/>
    <w:rsid w:val="00982157"/>
    <w:rsid w:val="009969E7"/>
    <w:rsid w:val="009B1280"/>
    <w:rsid w:val="009B4602"/>
    <w:rsid w:val="009C2DB5"/>
    <w:rsid w:val="009C5642"/>
    <w:rsid w:val="009C5B0E"/>
    <w:rsid w:val="009C604B"/>
    <w:rsid w:val="009E3204"/>
    <w:rsid w:val="009F7332"/>
    <w:rsid w:val="00A119B4"/>
    <w:rsid w:val="00A1563C"/>
    <w:rsid w:val="00A170A2"/>
    <w:rsid w:val="00A534B8"/>
    <w:rsid w:val="00A54063"/>
    <w:rsid w:val="00A5409F"/>
    <w:rsid w:val="00A57460"/>
    <w:rsid w:val="00A63054"/>
    <w:rsid w:val="00A6599C"/>
    <w:rsid w:val="00A86BAE"/>
    <w:rsid w:val="00AA5D9C"/>
    <w:rsid w:val="00AA5FAA"/>
    <w:rsid w:val="00AB099B"/>
    <w:rsid w:val="00AE56F7"/>
    <w:rsid w:val="00AF7049"/>
    <w:rsid w:val="00B2036D"/>
    <w:rsid w:val="00B26C50"/>
    <w:rsid w:val="00B45E26"/>
    <w:rsid w:val="00B46033"/>
    <w:rsid w:val="00B53FCE"/>
    <w:rsid w:val="00B65452"/>
    <w:rsid w:val="00B72931"/>
    <w:rsid w:val="00B80AAD"/>
    <w:rsid w:val="00BA5138"/>
    <w:rsid w:val="00BA7230"/>
    <w:rsid w:val="00BA7AAB"/>
    <w:rsid w:val="00BD36AB"/>
    <w:rsid w:val="00BD5AE9"/>
    <w:rsid w:val="00BE0BF3"/>
    <w:rsid w:val="00BF35D4"/>
    <w:rsid w:val="00BF3675"/>
    <w:rsid w:val="00BF732E"/>
    <w:rsid w:val="00C03FAC"/>
    <w:rsid w:val="00C04E85"/>
    <w:rsid w:val="00C24328"/>
    <w:rsid w:val="00C34666"/>
    <w:rsid w:val="00C436AB"/>
    <w:rsid w:val="00C62B29"/>
    <w:rsid w:val="00C65FF6"/>
    <w:rsid w:val="00C664FC"/>
    <w:rsid w:val="00CA0226"/>
    <w:rsid w:val="00CB2145"/>
    <w:rsid w:val="00CB5B41"/>
    <w:rsid w:val="00CB66B0"/>
    <w:rsid w:val="00CD6723"/>
    <w:rsid w:val="00CE5951"/>
    <w:rsid w:val="00CF0DEE"/>
    <w:rsid w:val="00CF73E9"/>
    <w:rsid w:val="00D07273"/>
    <w:rsid w:val="00D136E3"/>
    <w:rsid w:val="00D15A52"/>
    <w:rsid w:val="00D1693E"/>
    <w:rsid w:val="00D2720B"/>
    <w:rsid w:val="00D31E35"/>
    <w:rsid w:val="00D34903"/>
    <w:rsid w:val="00D35AC2"/>
    <w:rsid w:val="00D507E2"/>
    <w:rsid w:val="00D534B3"/>
    <w:rsid w:val="00D61CE0"/>
    <w:rsid w:val="00D678DB"/>
    <w:rsid w:val="00D81CA9"/>
    <w:rsid w:val="00D9430B"/>
    <w:rsid w:val="00D945BD"/>
    <w:rsid w:val="00DB3A0F"/>
    <w:rsid w:val="00DC74E1"/>
    <w:rsid w:val="00DD2F4E"/>
    <w:rsid w:val="00DD6CE8"/>
    <w:rsid w:val="00DE07A5"/>
    <w:rsid w:val="00DE2CE3"/>
    <w:rsid w:val="00DF1D68"/>
    <w:rsid w:val="00E04041"/>
    <w:rsid w:val="00E04DAF"/>
    <w:rsid w:val="00E112C7"/>
    <w:rsid w:val="00E116F8"/>
    <w:rsid w:val="00E2136A"/>
    <w:rsid w:val="00E30B46"/>
    <w:rsid w:val="00E4272D"/>
    <w:rsid w:val="00E47BA0"/>
    <w:rsid w:val="00E5058E"/>
    <w:rsid w:val="00E51733"/>
    <w:rsid w:val="00E52D42"/>
    <w:rsid w:val="00E56264"/>
    <w:rsid w:val="00E604B6"/>
    <w:rsid w:val="00E66CA0"/>
    <w:rsid w:val="00E836F5"/>
    <w:rsid w:val="00E84896"/>
    <w:rsid w:val="00E94D19"/>
    <w:rsid w:val="00EA0CC3"/>
    <w:rsid w:val="00EA58E9"/>
    <w:rsid w:val="00EA5E9B"/>
    <w:rsid w:val="00EB0B1A"/>
    <w:rsid w:val="00EB4078"/>
    <w:rsid w:val="00ED0D47"/>
    <w:rsid w:val="00F14D7F"/>
    <w:rsid w:val="00F20AC8"/>
    <w:rsid w:val="00F21FF2"/>
    <w:rsid w:val="00F3454B"/>
    <w:rsid w:val="00F35332"/>
    <w:rsid w:val="00F420E8"/>
    <w:rsid w:val="00F47A96"/>
    <w:rsid w:val="00F50B02"/>
    <w:rsid w:val="00F522E3"/>
    <w:rsid w:val="00F66145"/>
    <w:rsid w:val="00F66A0C"/>
    <w:rsid w:val="00F67719"/>
    <w:rsid w:val="00F81980"/>
    <w:rsid w:val="00FA3555"/>
    <w:rsid w:val="00FB66F9"/>
    <w:rsid w:val="00FD0A93"/>
    <w:rsid w:val="00FE5E0D"/>
    <w:rsid w:val="00FE72EF"/>
    <w:rsid w:val="00FE79C8"/>
    <w:rsid w:val="13E60225"/>
    <w:rsid w:val="507A67F0"/>
    <w:rsid w:val="7702962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7B55"/>
  <w15:chartTrackingRefBased/>
  <w15:docId w15:val="{9FD01BF5-6D3F-4860-8170-CECF8002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B4F4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B4F4E"/>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B4F4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B4F4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B4F4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B4F4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B4F4E"/>
    <w:pPr>
      <w:keepNext/>
      <w:spacing w:after="200" w:line="240" w:lineRule="auto"/>
    </w:pPr>
    <w:rPr>
      <w:iCs/>
      <w:color w:val="002664"/>
      <w:sz w:val="18"/>
      <w:szCs w:val="18"/>
    </w:rPr>
  </w:style>
  <w:style w:type="table" w:customStyle="1" w:styleId="Tableheader">
    <w:name w:val="ŠTable header"/>
    <w:basedOn w:val="TableNormal"/>
    <w:uiPriority w:val="99"/>
    <w:rsid w:val="006B4F4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B4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B4F4E"/>
    <w:pPr>
      <w:numPr>
        <w:numId w:val="6"/>
      </w:numPr>
    </w:pPr>
  </w:style>
  <w:style w:type="paragraph" w:styleId="ListNumber2">
    <w:name w:val="List Number 2"/>
    <w:aliases w:val="ŠList Number 2"/>
    <w:basedOn w:val="Normal"/>
    <w:uiPriority w:val="8"/>
    <w:qFormat/>
    <w:rsid w:val="006B4F4E"/>
    <w:pPr>
      <w:numPr>
        <w:numId w:val="5"/>
      </w:numPr>
    </w:pPr>
  </w:style>
  <w:style w:type="paragraph" w:styleId="ListBullet">
    <w:name w:val="List Bullet"/>
    <w:aliases w:val="ŠList Bullet"/>
    <w:basedOn w:val="Normal"/>
    <w:uiPriority w:val="9"/>
    <w:qFormat/>
    <w:rsid w:val="006B4F4E"/>
    <w:pPr>
      <w:numPr>
        <w:numId w:val="4"/>
      </w:numPr>
    </w:pPr>
  </w:style>
  <w:style w:type="paragraph" w:styleId="ListBullet2">
    <w:name w:val="List Bullet 2"/>
    <w:aliases w:val="ŠList Bullet 2"/>
    <w:basedOn w:val="Normal"/>
    <w:uiPriority w:val="10"/>
    <w:qFormat/>
    <w:rsid w:val="006B4F4E"/>
    <w:pPr>
      <w:numPr>
        <w:numId w:val="2"/>
      </w:numPr>
    </w:pPr>
  </w:style>
  <w:style w:type="character" w:styleId="SubtleReference">
    <w:name w:val="Subtle Reference"/>
    <w:aliases w:val="ŠSubtle Reference"/>
    <w:uiPriority w:val="31"/>
    <w:qFormat/>
    <w:rsid w:val="00C04E85"/>
    <w:rPr>
      <w:rFonts w:ascii="Arial" w:hAnsi="Arial"/>
      <w:sz w:val="22"/>
    </w:rPr>
  </w:style>
  <w:style w:type="paragraph" w:styleId="Quote">
    <w:name w:val="Quote"/>
    <w:aliases w:val="ŠQuote"/>
    <w:basedOn w:val="Normal"/>
    <w:next w:val="Normal"/>
    <w:link w:val="QuoteChar"/>
    <w:uiPriority w:val="29"/>
    <w:qFormat/>
    <w:rsid w:val="00C04E85"/>
    <w:pPr>
      <w:keepNext/>
      <w:spacing w:before="200" w:after="200" w:line="240" w:lineRule="atLeast"/>
      <w:ind w:left="567" w:right="567"/>
    </w:pPr>
  </w:style>
  <w:style w:type="paragraph" w:styleId="Date">
    <w:name w:val="Date"/>
    <w:aliases w:val="ŠDate"/>
    <w:basedOn w:val="Normal"/>
    <w:next w:val="Normal"/>
    <w:link w:val="DateChar"/>
    <w:uiPriority w:val="99"/>
    <w:rsid w:val="00C04E85"/>
    <w:pPr>
      <w:spacing w:before="0" w:after="0" w:line="720" w:lineRule="atLeast"/>
    </w:pPr>
  </w:style>
  <w:style w:type="character" w:customStyle="1" w:styleId="DateChar">
    <w:name w:val="Date Char"/>
    <w:aliases w:val="ŠDate Char"/>
    <w:basedOn w:val="DefaultParagraphFont"/>
    <w:link w:val="Date"/>
    <w:uiPriority w:val="99"/>
    <w:rsid w:val="00C04E85"/>
    <w:rPr>
      <w:rFonts w:ascii="Arial" w:hAnsi="Arial" w:cs="Arial"/>
      <w:sz w:val="24"/>
      <w:szCs w:val="24"/>
    </w:rPr>
  </w:style>
  <w:style w:type="paragraph" w:styleId="Signature">
    <w:name w:val="Signature"/>
    <w:aliases w:val="ŠSignature"/>
    <w:basedOn w:val="Normal"/>
    <w:link w:val="SignatureChar"/>
    <w:uiPriority w:val="99"/>
    <w:rsid w:val="00C04E85"/>
    <w:pPr>
      <w:spacing w:before="0" w:after="0" w:line="720" w:lineRule="atLeast"/>
    </w:pPr>
  </w:style>
  <w:style w:type="character" w:customStyle="1" w:styleId="SignatureChar">
    <w:name w:val="Signature Char"/>
    <w:aliases w:val="ŠSignature Char"/>
    <w:basedOn w:val="DefaultParagraphFont"/>
    <w:link w:val="Signature"/>
    <w:uiPriority w:val="99"/>
    <w:rsid w:val="00C04E85"/>
    <w:rPr>
      <w:rFonts w:ascii="Arial" w:hAnsi="Arial" w:cs="Arial"/>
      <w:sz w:val="24"/>
      <w:szCs w:val="24"/>
    </w:rPr>
  </w:style>
  <w:style w:type="character" w:styleId="Strong">
    <w:name w:val="Strong"/>
    <w:aliases w:val="ŠStrong,Bold"/>
    <w:qFormat/>
    <w:rsid w:val="006B4F4E"/>
    <w:rPr>
      <w:b/>
      <w:bCs/>
    </w:rPr>
  </w:style>
  <w:style w:type="character" w:customStyle="1" w:styleId="QuoteChar">
    <w:name w:val="Quote Char"/>
    <w:aliases w:val="ŠQuote Char"/>
    <w:basedOn w:val="DefaultParagraphFont"/>
    <w:link w:val="Quote"/>
    <w:uiPriority w:val="29"/>
    <w:rsid w:val="00C04E85"/>
    <w:rPr>
      <w:rFonts w:ascii="Arial" w:hAnsi="Arial" w:cs="Arial"/>
      <w:sz w:val="24"/>
      <w:szCs w:val="24"/>
    </w:rPr>
  </w:style>
  <w:style w:type="paragraph" w:customStyle="1" w:styleId="FeatureBox2">
    <w:name w:val="ŠFeature Box 2"/>
    <w:basedOn w:val="Normal"/>
    <w:next w:val="Normal"/>
    <w:uiPriority w:val="12"/>
    <w:qFormat/>
    <w:rsid w:val="006B4F4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C04E85"/>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6B4F4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B4F4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B4F4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B4F4E"/>
    <w:rPr>
      <w:color w:val="2F5496" w:themeColor="accent1" w:themeShade="BF"/>
      <w:u w:val="single"/>
    </w:rPr>
  </w:style>
  <w:style w:type="paragraph" w:customStyle="1" w:styleId="Logo">
    <w:name w:val="ŠLogo"/>
    <w:basedOn w:val="Normal"/>
    <w:uiPriority w:val="18"/>
    <w:qFormat/>
    <w:rsid w:val="006B4F4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B4F4E"/>
    <w:pPr>
      <w:tabs>
        <w:tab w:val="right" w:leader="dot" w:pos="14570"/>
      </w:tabs>
      <w:spacing w:before="0"/>
    </w:pPr>
    <w:rPr>
      <w:b/>
      <w:noProof/>
    </w:rPr>
  </w:style>
  <w:style w:type="paragraph" w:styleId="TOC2">
    <w:name w:val="toc 2"/>
    <w:aliases w:val="ŠTOC 2"/>
    <w:basedOn w:val="Normal"/>
    <w:next w:val="Normal"/>
    <w:uiPriority w:val="39"/>
    <w:unhideWhenUsed/>
    <w:rsid w:val="006B4F4E"/>
    <w:pPr>
      <w:tabs>
        <w:tab w:val="right" w:leader="dot" w:pos="14570"/>
      </w:tabs>
      <w:spacing w:before="0"/>
    </w:pPr>
    <w:rPr>
      <w:noProof/>
    </w:rPr>
  </w:style>
  <w:style w:type="paragraph" w:styleId="TOC3">
    <w:name w:val="toc 3"/>
    <w:aliases w:val="ŠTOC 3"/>
    <w:basedOn w:val="Normal"/>
    <w:next w:val="Normal"/>
    <w:uiPriority w:val="39"/>
    <w:unhideWhenUsed/>
    <w:rsid w:val="006B4F4E"/>
    <w:pPr>
      <w:spacing w:before="0"/>
      <w:ind w:left="244"/>
    </w:pPr>
  </w:style>
  <w:style w:type="paragraph" w:styleId="Title">
    <w:name w:val="Title"/>
    <w:aliases w:val="ŠTitle"/>
    <w:basedOn w:val="Normal"/>
    <w:next w:val="Normal"/>
    <w:link w:val="TitleChar"/>
    <w:uiPriority w:val="1"/>
    <w:rsid w:val="006B4F4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B4F4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B4F4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B4F4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B4F4E"/>
    <w:pPr>
      <w:spacing w:after="240"/>
      <w:outlineLvl w:val="9"/>
    </w:pPr>
    <w:rPr>
      <w:szCs w:val="40"/>
    </w:rPr>
  </w:style>
  <w:style w:type="paragraph" w:styleId="Footer">
    <w:name w:val="footer"/>
    <w:aliases w:val="ŠFooter"/>
    <w:basedOn w:val="Normal"/>
    <w:link w:val="FooterChar"/>
    <w:uiPriority w:val="19"/>
    <w:rsid w:val="006B4F4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B4F4E"/>
    <w:rPr>
      <w:rFonts w:ascii="Arial" w:hAnsi="Arial" w:cs="Arial"/>
      <w:sz w:val="18"/>
      <w:szCs w:val="18"/>
    </w:rPr>
  </w:style>
  <w:style w:type="paragraph" w:styleId="Header">
    <w:name w:val="header"/>
    <w:aliases w:val="ŠHeader"/>
    <w:basedOn w:val="Normal"/>
    <w:link w:val="HeaderChar"/>
    <w:uiPriority w:val="16"/>
    <w:rsid w:val="006B4F4E"/>
    <w:rPr>
      <w:noProof/>
      <w:color w:val="002664"/>
      <w:sz w:val="28"/>
      <w:szCs w:val="28"/>
    </w:rPr>
  </w:style>
  <w:style w:type="character" w:customStyle="1" w:styleId="HeaderChar">
    <w:name w:val="Header Char"/>
    <w:aliases w:val="ŠHeader Char"/>
    <w:basedOn w:val="DefaultParagraphFont"/>
    <w:link w:val="Header"/>
    <w:uiPriority w:val="16"/>
    <w:rsid w:val="006B4F4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B4F4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B4F4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B4F4E"/>
    <w:rPr>
      <w:rFonts w:ascii="Arial" w:hAnsi="Arial" w:cs="Arial"/>
      <w:b/>
      <w:szCs w:val="32"/>
    </w:rPr>
  </w:style>
  <w:style w:type="character" w:styleId="UnresolvedMention">
    <w:name w:val="Unresolved Mention"/>
    <w:basedOn w:val="DefaultParagraphFont"/>
    <w:uiPriority w:val="99"/>
    <w:semiHidden/>
    <w:unhideWhenUsed/>
    <w:rsid w:val="006B4F4E"/>
    <w:rPr>
      <w:color w:val="605E5C"/>
      <w:shd w:val="clear" w:color="auto" w:fill="E1DFDD"/>
    </w:rPr>
  </w:style>
  <w:style w:type="character" w:styleId="Emphasis">
    <w:name w:val="Emphasis"/>
    <w:aliases w:val="ŠEmphasis,Italic"/>
    <w:qFormat/>
    <w:rsid w:val="006B4F4E"/>
    <w:rPr>
      <w:i/>
      <w:iCs/>
    </w:rPr>
  </w:style>
  <w:style w:type="character" w:styleId="SubtleEmphasis">
    <w:name w:val="Subtle Emphasis"/>
    <w:basedOn w:val="DefaultParagraphFont"/>
    <w:uiPriority w:val="19"/>
    <w:semiHidden/>
    <w:qFormat/>
    <w:rsid w:val="006B4F4E"/>
    <w:rPr>
      <w:i/>
      <w:iCs/>
      <w:color w:val="404040" w:themeColor="text1" w:themeTint="BF"/>
    </w:rPr>
  </w:style>
  <w:style w:type="paragraph" w:styleId="TOC4">
    <w:name w:val="toc 4"/>
    <w:aliases w:val="ŠTOC 4"/>
    <w:basedOn w:val="Normal"/>
    <w:next w:val="Normal"/>
    <w:autoRedefine/>
    <w:uiPriority w:val="39"/>
    <w:unhideWhenUsed/>
    <w:rsid w:val="006B4F4E"/>
    <w:pPr>
      <w:spacing w:before="0"/>
      <w:ind w:left="488"/>
    </w:pPr>
  </w:style>
  <w:style w:type="character" w:styleId="CommentReference">
    <w:name w:val="annotation reference"/>
    <w:basedOn w:val="DefaultParagraphFont"/>
    <w:uiPriority w:val="99"/>
    <w:semiHidden/>
    <w:unhideWhenUsed/>
    <w:rsid w:val="006B4F4E"/>
    <w:rPr>
      <w:sz w:val="16"/>
      <w:szCs w:val="16"/>
    </w:rPr>
  </w:style>
  <w:style w:type="paragraph" w:styleId="CommentText">
    <w:name w:val="annotation text"/>
    <w:basedOn w:val="Normal"/>
    <w:link w:val="CommentTextChar"/>
    <w:uiPriority w:val="99"/>
    <w:unhideWhenUsed/>
    <w:rsid w:val="006B4F4E"/>
    <w:pPr>
      <w:spacing w:line="240" w:lineRule="auto"/>
    </w:pPr>
    <w:rPr>
      <w:sz w:val="20"/>
      <w:szCs w:val="20"/>
    </w:rPr>
  </w:style>
  <w:style w:type="character" w:customStyle="1" w:styleId="CommentTextChar">
    <w:name w:val="Comment Text Char"/>
    <w:basedOn w:val="DefaultParagraphFont"/>
    <w:link w:val="CommentText"/>
    <w:uiPriority w:val="99"/>
    <w:rsid w:val="006B4F4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B4F4E"/>
    <w:rPr>
      <w:b/>
      <w:bCs/>
    </w:rPr>
  </w:style>
  <w:style w:type="character" w:customStyle="1" w:styleId="CommentSubjectChar">
    <w:name w:val="Comment Subject Char"/>
    <w:basedOn w:val="CommentTextChar"/>
    <w:link w:val="CommentSubject"/>
    <w:uiPriority w:val="99"/>
    <w:semiHidden/>
    <w:rsid w:val="006B4F4E"/>
    <w:rPr>
      <w:rFonts w:ascii="Arial" w:hAnsi="Arial" w:cs="Arial"/>
      <w:b/>
      <w:bCs/>
      <w:sz w:val="20"/>
      <w:szCs w:val="20"/>
    </w:rPr>
  </w:style>
  <w:style w:type="paragraph" w:styleId="ListParagraph">
    <w:name w:val="List Paragraph"/>
    <w:aliases w:val="ŠList Paragraph"/>
    <w:basedOn w:val="Normal"/>
    <w:uiPriority w:val="34"/>
    <w:unhideWhenUsed/>
    <w:qFormat/>
    <w:rsid w:val="006B4F4E"/>
    <w:pPr>
      <w:ind w:left="567"/>
    </w:pPr>
  </w:style>
  <w:style w:type="paragraph" w:styleId="ListBullet3">
    <w:name w:val="List Bullet 3"/>
    <w:aliases w:val="ŠList Bullet 3"/>
    <w:basedOn w:val="Normal"/>
    <w:uiPriority w:val="10"/>
    <w:rsid w:val="006B4F4E"/>
    <w:pPr>
      <w:numPr>
        <w:numId w:val="3"/>
      </w:numPr>
    </w:pPr>
  </w:style>
  <w:style w:type="paragraph" w:styleId="ListNumber3">
    <w:name w:val="List Number 3"/>
    <w:aliases w:val="ŠList Number 3"/>
    <w:basedOn w:val="ListBullet3"/>
    <w:uiPriority w:val="8"/>
    <w:rsid w:val="006B4F4E"/>
    <w:pPr>
      <w:numPr>
        <w:ilvl w:val="2"/>
        <w:numId w:val="5"/>
      </w:numPr>
    </w:pPr>
  </w:style>
  <w:style w:type="character" w:styleId="PlaceholderText">
    <w:name w:val="Placeholder Text"/>
    <w:basedOn w:val="DefaultParagraphFont"/>
    <w:uiPriority w:val="99"/>
    <w:semiHidden/>
    <w:rsid w:val="006B4F4E"/>
    <w:rPr>
      <w:color w:val="808080"/>
    </w:rPr>
  </w:style>
  <w:style w:type="character" w:customStyle="1" w:styleId="BoldItalic">
    <w:name w:val="ŠBold Italic"/>
    <w:basedOn w:val="DefaultParagraphFont"/>
    <w:uiPriority w:val="1"/>
    <w:qFormat/>
    <w:rsid w:val="006B4F4E"/>
    <w:rPr>
      <w:b/>
      <w:i/>
      <w:iCs/>
    </w:rPr>
  </w:style>
  <w:style w:type="paragraph" w:customStyle="1" w:styleId="Documentname">
    <w:name w:val="ŠDocument name"/>
    <w:basedOn w:val="Normal"/>
    <w:next w:val="Normal"/>
    <w:uiPriority w:val="17"/>
    <w:qFormat/>
    <w:rsid w:val="006B4F4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B4F4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B4F4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B4F4E"/>
    <w:pPr>
      <w:spacing w:after="0"/>
    </w:pPr>
    <w:rPr>
      <w:sz w:val="18"/>
      <w:szCs w:val="18"/>
    </w:rPr>
  </w:style>
  <w:style w:type="paragraph" w:customStyle="1" w:styleId="Pulloutquote">
    <w:name w:val="ŠPull out quote"/>
    <w:basedOn w:val="Normal"/>
    <w:next w:val="Normal"/>
    <w:uiPriority w:val="20"/>
    <w:qFormat/>
    <w:rsid w:val="006B4F4E"/>
    <w:pPr>
      <w:keepNext/>
      <w:ind w:left="567" w:right="57"/>
    </w:pPr>
    <w:rPr>
      <w:szCs w:val="22"/>
    </w:rPr>
  </w:style>
  <w:style w:type="paragraph" w:customStyle="1" w:styleId="Subtitle0">
    <w:name w:val="ŠSubtitle"/>
    <w:basedOn w:val="Normal"/>
    <w:link w:val="SubtitleChar0"/>
    <w:uiPriority w:val="2"/>
    <w:qFormat/>
    <w:rsid w:val="006B4F4E"/>
    <w:pPr>
      <w:spacing w:before="360"/>
    </w:pPr>
    <w:rPr>
      <w:color w:val="002664"/>
      <w:sz w:val="44"/>
      <w:szCs w:val="48"/>
    </w:rPr>
  </w:style>
  <w:style w:type="character" w:customStyle="1" w:styleId="SubtitleChar0">
    <w:name w:val="ŠSubtitle Char"/>
    <w:basedOn w:val="DefaultParagraphFont"/>
    <w:link w:val="Subtitle0"/>
    <w:uiPriority w:val="2"/>
    <w:rsid w:val="006B4F4E"/>
    <w:rPr>
      <w:rFonts w:ascii="Arial" w:hAnsi="Arial" w:cs="Arial"/>
      <w:color w:val="002664"/>
      <w:sz w:val="44"/>
      <w:szCs w:val="48"/>
    </w:rPr>
  </w:style>
  <w:style w:type="paragraph" w:styleId="Revision">
    <w:name w:val="Revision"/>
    <w:hidden/>
    <w:uiPriority w:val="99"/>
    <w:semiHidden/>
    <w:rsid w:val="00C24328"/>
    <w:pPr>
      <w:spacing w:after="0" w:line="240" w:lineRule="auto"/>
    </w:pPr>
    <w:rPr>
      <w:rFonts w:ascii="Arial" w:hAnsi="Arial" w:cs="Arial"/>
      <w:szCs w:val="24"/>
    </w:rPr>
  </w:style>
  <w:style w:type="character" w:styleId="FollowedHyperlink">
    <w:name w:val="FollowedHyperlink"/>
    <w:basedOn w:val="DefaultParagraphFont"/>
    <w:uiPriority w:val="99"/>
    <w:semiHidden/>
    <w:unhideWhenUsed/>
    <w:rsid w:val="00970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lanning-programming-and-assessing-k-12/planning-programming-and-assessing-7-12/assessment-task-advice-7-10" TargetMode="External"/><Relationship Id="rId18" Type="http://schemas.openxmlformats.org/officeDocument/2006/relationships/hyperlink" Target="https://education.nsw.gov.au/about-us/educational-data/cese/publications/practical-guides-for-educators-/what-works-best-in-practic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ducationstandards.nsw.edu.au/wps/portal/nesa/k-10/understanding-the-curriculum/programming/advice-on-scope-and-sequences" TargetMode="External"/><Relationship Id="rId34" Type="http://schemas.openxmlformats.org/officeDocument/2006/relationships/theme" Target="theme/theme1.xml"/><Relationship Id="rId7" Type="http://schemas.openxmlformats.org/officeDocument/2006/relationships/hyperlink" Target="https://education.nsw.gov.au/teaching-and-learning/curriculum/department-approved-courses/big-history" TargetMode="External"/><Relationship Id="rId12" Type="http://schemas.openxmlformats.org/officeDocument/2006/relationships/hyperlink" Target="https://education.nsw.gov.au/teaching-and-learning/curriculum/planning-programming-and-assessing-k-12/planning-programming-and-assessing-7-12/classroom-assessment-advice-7-10-" TargetMode="External"/><Relationship Id="rId17" Type="http://schemas.openxmlformats.org/officeDocument/2006/relationships/hyperlink" Target="https://education.nsw.gov.au/about-us/educational-data/cese/publications/research-reports/what-works-best-2020-update"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nsw.gov.au/policy-library/policies/pd-2016-0468" TargetMode="External"/><Relationship Id="rId20" Type="http://schemas.openxmlformats.org/officeDocument/2006/relationships/hyperlink" Target="https://educationstandards.nsw.edu.au/wps/portal/nesa/regulation/government-schooling/registration-process-government-schooling" TargetMode="External"/><Relationship Id="rId29"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planning-programming-and-assessing-k-12/planning-programming-and-assessing-7-12" TargetMode="External"/><Relationship Id="rId24" Type="http://schemas.openxmlformats.org/officeDocument/2006/relationships/header" Target="header2.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education.nsw.gov.au/policy-library/policies/pd-2016-046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ducation.nsw.gov.au/teaching-and-learning/curriculum/planning-programming-and-assessing-k-12/planning-programming-and-assessing-7-12/inclusion-and-differentiation-advice-7-10" TargetMode="External"/><Relationship Id="rId19" Type="http://schemas.openxmlformats.org/officeDocument/2006/relationships/hyperlink" Target="https://www.nsw.gov.au/sites/default/files/2023-04/NSW-Curriculum-Review-Final-Report.pdf"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education.nsw.gov.au/teaching-and-learning/curriculum/planning-programming-and-assessing-k-12/planning-programming-and-assessing-7-12" TargetMode="External"/><Relationship Id="rId14" Type="http://schemas.openxmlformats.org/officeDocument/2006/relationships/hyperlink" Target="https://education.nsw.gov.au/teaching-and-learning/curriculum/statewide-staffrooms" TargetMode="External"/><Relationship Id="rId22" Type="http://schemas.openxmlformats.org/officeDocument/2006/relationships/hyperlink" Target="https://education.nsw.gov.au/policy-library/policies/pd-2005-0290" TargetMode="External"/><Relationship Id="rId27" Type="http://schemas.openxmlformats.org/officeDocument/2006/relationships/header" Target="header3.xml"/><Relationship Id="rId30" Type="http://schemas.openxmlformats.org/officeDocument/2006/relationships/image" Target="media/image1.png"/><Relationship Id="rId8" Type="http://schemas.openxmlformats.org/officeDocument/2006/relationships/hyperlink" Target="mailto:secondaryteachingandlearning@det.nsw.edu.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History – 200-hour sample scope and sequence</dc:title>
  <dc:subject/>
  <dc:creator>NSW Department of Education</dc:creator>
  <cp:keywords/>
  <dc:description/>
  <dcterms:created xsi:type="dcterms:W3CDTF">2024-01-15T23:00:00Z</dcterms:created>
  <dcterms:modified xsi:type="dcterms:W3CDTF">2024-01-15T23:01:00Z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2024-01-15T23:01:43Z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65e26508-1d7c-4037-a88d-aee23f29935c</vt:lpwstr>
  </property>
  <property fmtid="{D5CDD505-2E9C-101B-9397-08002B2CF9AE}" pid="8" name="MSIP_Label_b603dfd7-d93a-4381-a340-2995d8282205_ContentBits">
    <vt:lpwstr>0</vt:lpwstr>
  </property>
</Properties>
</file>