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F53E" w14:textId="14A508A7" w:rsidR="00CF4DFA" w:rsidRPr="00C31EDF" w:rsidRDefault="00DE42DA" w:rsidP="00CF4DFA">
      <w:pPr>
        <w:pStyle w:val="Heading1"/>
      </w:pPr>
      <w:r>
        <w:rPr>
          <w:color w:val="002060"/>
        </w:rPr>
        <w:t>Relocation Subsidy</w:t>
      </w:r>
      <w:r w:rsidR="00474594" w:rsidRPr="00336C64">
        <w:rPr>
          <w:color w:val="002060"/>
        </w:rPr>
        <w:br/>
      </w:r>
      <w:r w:rsidRPr="00DE42DA">
        <w:rPr>
          <w:b w:val="0"/>
          <w:color w:val="002060"/>
        </w:rPr>
        <w:t>On first appointment, re-employment or engagement as temporary teacher</w:t>
      </w:r>
    </w:p>
    <w:p w14:paraId="0053DBFA" w14:textId="036AE16A" w:rsidR="00DF1B20" w:rsidRDefault="00DE42DA" w:rsidP="00DE42DA">
      <w:pPr>
        <w:rPr>
          <w:lang w:eastAsia="zh-CN"/>
        </w:rPr>
      </w:pPr>
      <w:r w:rsidRPr="00DE42DA">
        <w:rPr>
          <w:lang w:eastAsia="zh-CN"/>
        </w:rPr>
        <w:t xml:space="preserve">Permanent and/or temporary teachers appointed to </w:t>
      </w:r>
      <w:r w:rsidR="002324BF">
        <w:rPr>
          <w:lang w:eastAsia="zh-CN"/>
        </w:rPr>
        <w:t xml:space="preserve">eligible </w:t>
      </w:r>
      <w:r w:rsidRPr="00DE42DA">
        <w:rPr>
          <w:lang w:eastAsia="zh-CN"/>
        </w:rPr>
        <w:t xml:space="preserve">schools may be entitled to Relocation Subsidy when it is </w:t>
      </w:r>
      <w:bookmarkStart w:id="0" w:name="_GoBack"/>
      <w:bookmarkEnd w:id="0"/>
      <w:r w:rsidRPr="00DE42DA">
        <w:rPr>
          <w:lang w:eastAsia="zh-CN"/>
        </w:rPr>
        <w:t>necessary for them to take up a new residence more than 150 kilometres from their existing residence.</w:t>
      </w:r>
      <w:r w:rsidR="002324BF">
        <w:rPr>
          <w:lang w:eastAsia="zh-CN"/>
        </w:rPr>
        <w:t xml:space="preserve"> The list of eligible schools can be found </w:t>
      </w:r>
      <w:hyperlink r:id="rId11" w:history="1">
        <w:r w:rsidR="002324BF" w:rsidRPr="002324BF">
          <w:rPr>
            <w:rStyle w:val="Hyperlink"/>
            <w:lang w:eastAsia="zh-CN"/>
          </w:rPr>
          <w:t>here</w:t>
        </w:r>
      </w:hyperlink>
      <w:r w:rsidR="002324BF">
        <w:rPr>
          <w:lang w:eastAsia="zh-CN"/>
        </w:rPr>
        <w:t>.</w:t>
      </w:r>
    </w:p>
    <w:p w14:paraId="4CF5400C" w14:textId="3B65B843" w:rsidR="00DE42DA" w:rsidRPr="00D1630D" w:rsidRDefault="00DE42DA" w:rsidP="00D1630D">
      <w:pPr>
        <w:pStyle w:val="Heading2"/>
        <w:rPr>
          <w:rStyle w:val="Strong"/>
          <w:bCs w:val="0"/>
        </w:rPr>
      </w:pPr>
      <w:r w:rsidRPr="00D1630D">
        <w:rPr>
          <w:rStyle w:val="Strong"/>
          <w:bCs w:val="0"/>
        </w:rPr>
        <w:t xml:space="preserve">Entitlement </w:t>
      </w:r>
    </w:p>
    <w:p w14:paraId="77A6E78B" w14:textId="7041E216" w:rsidR="00DE42DA" w:rsidRPr="00572F79" w:rsidRDefault="002324BF" w:rsidP="00DE42DA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Your entitlement to assistance depends on how far your appointment is from your existing residence:</w:t>
      </w:r>
    </w:p>
    <w:p w14:paraId="590DC1DF" w14:textId="1550A9D6" w:rsidR="00DE42DA" w:rsidRPr="006E6BBD" w:rsidRDefault="00DE42DA" w:rsidP="00DE42DA">
      <w:pPr>
        <w:pStyle w:val="ListParagraph"/>
        <w:numPr>
          <w:ilvl w:val="0"/>
          <w:numId w:val="6"/>
        </w:numPr>
        <w:rPr>
          <w:szCs w:val="22"/>
          <w:lang w:eastAsia="zh-CN"/>
        </w:rPr>
      </w:pPr>
      <w:r w:rsidRPr="006E6BBD">
        <w:rPr>
          <w:szCs w:val="22"/>
          <w:lang w:eastAsia="zh-CN"/>
        </w:rPr>
        <w:t>0 to 150 kilometres – No assistance</w:t>
      </w:r>
      <w:r w:rsidR="001B73A8" w:rsidRPr="006E6BBD">
        <w:rPr>
          <w:szCs w:val="22"/>
          <w:lang w:eastAsia="zh-CN"/>
        </w:rPr>
        <w:t>.</w:t>
      </w:r>
    </w:p>
    <w:p w14:paraId="7FD363F2" w14:textId="52902F63" w:rsidR="00DE42DA" w:rsidRPr="006E6BBD" w:rsidRDefault="00DE42DA" w:rsidP="00DE42DA">
      <w:pPr>
        <w:pStyle w:val="ListParagraph"/>
        <w:numPr>
          <w:ilvl w:val="0"/>
          <w:numId w:val="6"/>
        </w:numPr>
        <w:rPr>
          <w:szCs w:val="22"/>
          <w:lang w:eastAsia="zh-CN"/>
        </w:rPr>
      </w:pPr>
      <w:r w:rsidRPr="006E6BBD">
        <w:rPr>
          <w:szCs w:val="22"/>
          <w:lang w:eastAsia="zh-CN"/>
        </w:rPr>
        <w:t>151 to 200 kilometres – Assistance with the cost of travel only</w:t>
      </w:r>
      <w:r w:rsidR="001B73A8" w:rsidRPr="006E6BBD">
        <w:rPr>
          <w:szCs w:val="22"/>
          <w:lang w:eastAsia="zh-CN"/>
        </w:rPr>
        <w:t>,</w:t>
      </w:r>
      <w:r w:rsidRPr="006E6BBD">
        <w:rPr>
          <w:szCs w:val="22"/>
          <w:lang w:eastAsia="zh-CN"/>
        </w:rPr>
        <w:t xml:space="preserve"> at the rate of 12 cents per kilometre for the total journey</w:t>
      </w:r>
      <w:r w:rsidR="001B73A8" w:rsidRPr="006E6BBD">
        <w:rPr>
          <w:szCs w:val="22"/>
          <w:lang w:eastAsia="zh-CN"/>
        </w:rPr>
        <w:t>.</w:t>
      </w:r>
    </w:p>
    <w:p w14:paraId="6BAE363E" w14:textId="3864A8CE" w:rsidR="00DE42DA" w:rsidRPr="006E6BBD" w:rsidRDefault="00DE42DA" w:rsidP="00DE42DA">
      <w:pPr>
        <w:pStyle w:val="ListParagraph"/>
        <w:numPr>
          <w:ilvl w:val="0"/>
          <w:numId w:val="6"/>
        </w:numPr>
        <w:rPr>
          <w:szCs w:val="22"/>
          <w:lang w:eastAsia="zh-CN"/>
        </w:rPr>
      </w:pPr>
      <w:r w:rsidRPr="006E6BBD">
        <w:rPr>
          <w:szCs w:val="22"/>
          <w:lang w:eastAsia="zh-CN"/>
        </w:rPr>
        <w:t xml:space="preserve">201 kilometres or more – Assistance with the cost of travel at 12 cents per kilometre (one </w:t>
      </w:r>
      <w:proofErr w:type="gramStart"/>
      <w:r w:rsidRPr="006E6BBD">
        <w:rPr>
          <w:szCs w:val="22"/>
          <w:lang w:eastAsia="zh-CN"/>
        </w:rPr>
        <w:t>way</w:t>
      </w:r>
      <w:proofErr w:type="gramEnd"/>
      <w:r w:rsidRPr="006E6BBD">
        <w:rPr>
          <w:szCs w:val="22"/>
          <w:lang w:eastAsia="zh-CN"/>
        </w:rPr>
        <w:t xml:space="preserve">) plus assistance at the rate of $1.00 per kilometre (one way) towards the cost incurred </w:t>
      </w:r>
      <w:r w:rsidR="001B73A8" w:rsidRPr="006E6BBD">
        <w:rPr>
          <w:szCs w:val="22"/>
          <w:lang w:eastAsia="zh-CN"/>
        </w:rPr>
        <w:t xml:space="preserve">to </w:t>
      </w:r>
      <w:r w:rsidRPr="006E6BBD">
        <w:rPr>
          <w:szCs w:val="22"/>
          <w:lang w:eastAsia="zh-CN"/>
        </w:rPr>
        <w:t>engage a furniture removalist or hire a trailer or van to move personal and household effects</w:t>
      </w:r>
      <w:r w:rsidR="001B73A8" w:rsidRPr="006E6BBD">
        <w:rPr>
          <w:szCs w:val="22"/>
          <w:lang w:eastAsia="zh-CN"/>
        </w:rPr>
        <w:t>.</w:t>
      </w:r>
    </w:p>
    <w:p w14:paraId="52D8D03C" w14:textId="286FA124" w:rsidR="00DE42DA" w:rsidRPr="00616FD7" w:rsidRDefault="00DE42DA" w:rsidP="00D1630D">
      <w:pPr>
        <w:pStyle w:val="Heading2"/>
        <w:rPr>
          <w:rStyle w:val="Strong"/>
        </w:rPr>
      </w:pPr>
      <w:r w:rsidRPr="00D1630D">
        <w:rPr>
          <w:rStyle w:val="Strong"/>
          <w:bCs w:val="0"/>
        </w:rPr>
        <w:t>Conditions of Eligibility</w:t>
      </w:r>
      <w:r>
        <w:rPr>
          <w:rStyle w:val="Strong"/>
        </w:rPr>
        <w:br/>
      </w:r>
    </w:p>
    <w:p w14:paraId="34CCFA5A" w14:textId="45901B69" w:rsidR="00DE42DA" w:rsidRPr="00572F79" w:rsidRDefault="00DE42DA" w:rsidP="00DE42DA">
      <w:pPr>
        <w:pStyle w:val="ListParagraph"/>
        <w:numPr>
          <w:ilvl w:val="0"/>
          <w:numId w:val="7"/>
        </w:numPr>
        <w:rPr>
          <w:strike/>
          <w:lang w:eastAsia="zh-CN"/>
        </w:rPr>
      </w:pPr>
      <w:r w:rsidRPr="00616FD7">
        <w:rPr>
          <w:lang w:eastAsia="zh-CN"/>
        </w:rPr>
        <w:t xml:space="preserve">In all cases the distance factor will be determined </w:t>
      </w:r>
      <w:r w:rsidR="001B73A8" w:rsidRPr="00616FD7">
        <w:rPr>
          <w:lang w:eastAsia="zh-CN"/>
        </w:rPr>
        <w:t xml:space="preserve">by </w:t>
      </w:r>
      <w:r w:rsidRPr="00616FD7">
        <w:rPr>
          <w:lang w:eastAsia="zh-CN"/>
        </w:rPr>
        <w:t>the shortest practical route</w:t>
      </w:r>
      <w:r w:rsidR="00950E40">
        <w:rPr>
          <w:lang w:eastAsia="zh-CN"/>
        </w:rPr>
        <w:t>.</w:t>
      </w:r>
    </w:p>
    <w:p w14:paraId="36AD29A9" w14:textId="68F3954C" w:rsidR="00DE42DA" w:rsidRPr="00616FD7" w:rsidRDefault="00DE42DA" w:rsidP="00DE42DA">
      <w:pPr>
        <w:pStyle w:val="ListParagraph"/>
        <w:numPr>
          <w:ilvl w:val="0"/>
          <w:numId w:val="7"/>
        </w:numPr>
        <w:rPr>
          <w:lang w:eastAsia="zh-CN"/>
        </w:rPr>
      </w:pPr>
      <w:r w:rsidRPr="00616FD7">
        <w:rPr>
          <w:lang w:eastAsia="zh-CN"/>
        </w:rPr>
        <w:t>First class rail travel costs may be refunded on request in lieu of the travel subsidy</w:t>
      </w:r>
      <w:r w:rsidR="001B73A8" w:rsidRPr="00616FD7">
        <w:rPr>
          <w:lang w:eastAsia="zh-CN"/>
        </w:rPr>
        <w:t>.</w:t>
      </w:r>
    </w:p>
    <w:p w14:paraId="2C23FF81" w14:textId="63B36CAF" w:rsidR="00DE42DA" w:rsidRPr="00616FD7" w:rsidRDefault="00DE42DA" w:rsidP="00DE42DA">
      <w:pPr>
        <w:pStyle w:val="ListParagraph"/>
        <w:numPr>
          <w:ilvl w:val="0"/>
          <w:numId w:val="7"/>
        </w:numPr>
        <w:rPr>
          <w:lang w:eastAsia="zh-CN"/>
        </w:rPr>
      </w:pPr>
      <w:r w:rsidRPr="00616FD7">
        <w:rPr>
          <w:lang w:eastAsia="zh-CN"/>
        </w:rPr>
        <w:t>Motor vehicles used must be comprehensively insured and the policy endorsed to indemnify the Crown</w:t>
      </w:r>
      <w:r w:rsidR="001B73A8" w:rsidRPr="00616FD7">
        <w:rPr>
          <w:lang w:eastAsia="zh-CN"/>
        </w:rPr>
        <w:t>.</w:t>
      </w:r>
    </w:p>
    <w:p w14:paraId="7C0DB9CC" w14:textId="1D111C85" w:rsidR="00DE42DA" w:rsidRDefault="002324BF" w:rsidP="00DE42DA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You </w:t>
      </w:r>
      <w:r w:rsidR="00DE42DA">
        <w:rPr>
          <w:lang w:eastAsia="zh-CN"/>
        </w:rPr>
        <w:t xml:space="preserve">are required to sign </w:t>
      </w:r>
      <w:r w:rsidR="004E29DE">
        <w:rPr>
          <w:lang w:eastAsia="zh-CN"/>
        </w:rPr>
        <w:t xml:space="preserve">an </w:t>
      </w:r>
      <w:r w:rsidR="00DE42DA">
        <w:rPr>
          <w:lang w:eastAsia="zh-CN"/>
        </w:rPr>
        <w:t xml:space="preserve">undertaking to repay any amounts received if </w:t>
      </w:r>
      <w:r>
        <w:rPr>
          <w:lang w:eastAsia="zh-CN"/>
        </w:rPr>
        <w:t xml:space="preserve">you </w:t>
      </w:r>
      <w:r w:rsidR="00DE42DA">
        <w:rPr>
          <w:lang w:eastAsia="zh-CN"/>
        </w:rPr>
        <w:t>fail to complete 12 months of service (for permanent teachers) or the engagement period (for temporary teachers)</w:t>
      </w:r>
      <w:r w:rsidR="001B73A8">
        <w:rPr>
          <w:lang w:eastAsia="zh-CN"/>
        </w:rPr>
        <w:t>.</w:t>
      </w:r>
    </w:p>
    <w:p w14:paraId="359DC152" w14:textId="77777777" w:rsidR="00DE42DA" w:rsidRPr="00DE42DA" w:rsidRDefault="00DE42DA" w:rsidP="00DE42DA">
      <w:pPr>
        <w:rPr>
          <w:rStyle w:val="Strong"/>
          <w:lang w:eastAsia="zh-CN"/>
        </w:rPr>
      </w:pPr>
      <w:r w:rsidRPr="00DE42DA">
        <w:rPr>
          <w:rStyle w:val="Strong"/>
          <w:lang w:eastAsia="zh-CN"/>
        </w:rPr>
        <w:t xml:space="preserve">Documentation </w:t>
      </w:r>
    </w:p>
    <w:p w14:paraId="000E2429" w14:textId="33AF3D15" w:rsidR="00DE42DA" w:rsidRPr="00572F79" w:rsidRDefault="002324BF" w:rsidP="00DE42DA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Your claim</w:t>
      </w:r>
      <w:r w:rsidR="00DE42DA" w:rsidRPr="00572F79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must</w:t>
      </w:r>
      <w:r w:rsidR="00DE42DA" w:rsidRPr="00572F79">
        <w:rPr>
          <w:sz w:val="22"/>
          <w:szCs w:val="22"/>
          <w:lang w:eastAsia="zh-CN"/>
        </w:rPr>
        <w:t xml:space="preserve"> include:</w:t>
      </w:r>
    </w:p>
    <w:p w14:paraId="398DE34E" w14:textId="3B9AEAD0" w:rsidR="00DE42DA" w:rsidRPr="006E6BBD" w:rsidRDefault="00DE42DA" w:rsidP="00DE42DA">
      <w:pPr>
        <w:pStyle w:val="ListParagraph"/>
        <w:numPr>
          <w:ilvl w:val="0"/>
          <w:numId w:val="8"/>
        </w:numPr>
        <w:rPr>
          <w:szCs w:val="22"/>
          <w:lang w:eastAsia="zh-CN"/>
        </w:rPr>
      </w:pPr>
      <w:r w:rsidRPr="006E6BBD">
        <w:rPr>
          <w:szCs w:val="22"/>
          <w:lang w:eastAsia="zh-CN"/>
        </w:rPr>
        <w:t>Copy of appointment notice (permanent teachers) or engagement notice (temporary teachers)</w:t>
      </w:r>
    </w:p>
    <w:p w14:paraId="1355F9D6" w14:textId="18387182" w:rsidR="00DE42DA" w:rsidRPr="006E6BBD" w:rsidRDefault="00DE42DA" w:rsidP="00DE42DA">
      <w:pPr>
        <w:pStyle w:val="ListParagraph"/>
        <w:numPr>
          <w:ilvl w:val="0"/>
          <w:numId w:val="8"/>
        </w:numPr>
        <w:rPr>
          <w:szCs w:val="22"/>
          <w:lang w:eastAsia="zh-CN"/>
        </w:rPr>
      </w:pPr>
      <w:r w:rsidRPr="006E6BBD">
        <w:rPr>
          <w:szCs w:val="22"/>
          <w:lang w:eastAsia="zh-CN"/>
        </w:rPr>
        <w:t xml:space="preserve">Signed </w:t>
      </w:r>
      <w:hyperlink r:id="rId12" w:history="1">
        <w:r w:rsidRPr="006E6BBD">
          <w:rPr>
            <w:rStyle w:val="Hyperlink"/>
            <w:sz w:val="22"/>
            <w:szCs w:val="22"/>
            <w:lang w:eastAsia="zh-CN"/>
          </w:rPr>
          <w:t xml:space="preserve">Relocation Subsidy Claim </w:t>
        </w:r>
        <w:r w:rsidR="006E6BBD">
          <w:rPr>
            <w:rStyle w:val="Hyperlink"/>
            <w:sz w:val="22"/>
            <w:szCs w:val="22"/>
            <w:lang w:eastAsia="zh-CN"/>
          </w:rPr>
          <w:t>Form</w:t>
        </w:r>
      </w:hyperlink>
      <w:r w:rsidR="00B6394F" w:rsidRPr="006E6BBD">
        <w:rPr>
          <w:rStyle w:val="Hyperlink"/>
          <w:sz w:val="22"/>
          <w:szCs w:val="22"/>
          <w:lang w:eastAsia="zh-CN"/>
        </w:rPr>
        <w:t xml:space="preserve"> </w:t>
      </w:r>
    </w:p>
    <w:p w14:paraId="0442BD39" w14:textId="3C1851C2" w:rsidR="006E6BBD" w:rsidRDefault="006E6BBD" w:rsidP="00572F79">
      <w:pPr>
        <w:pStyle w:val="ListParagraph"/>
        <w:rPr>
          <w:szCs w:val="22"/>
          <w:lang w:eastAsia="zh-CN"/>
        </w:rPr>
      </w:pPr>
    </w:p>
    <w:p w14:paraId="0FE35163" w14:textId="5AB6044B" w:rsidR="00DE42DA" w:rsidRPr="00572F79" w:rsidRDefault="00DE42DA" w:rsidP="00DE42DA">
      <w:pPr>
        <w:rPr>
          <w:sz w:val="22"/>
          <w:szCs w:val="22"/>
          <w:lang w:eastAsia="zh-CN"/>
        </w:rPr>
      </w:pPr>
      <w:r w:rsidRPr="00572F79">
        <w:rPr>
          <w:sz w:val="22"/>
          <w:szCs w:val="22"/>
          <w:lang w:eastAsia="zh-CN"/>
        </w:rPr>
        <w:t>The processing of your claim may be delayed if:</w:t>
      </w:r>
    </w:p>
    <w:p w14:paraId="1EB5FDB6" w14:textId="03B83F1B" w:rsidR="00DE42DA" w:rsidRPr="006E6BBD" w:rsidRDefault="00DE42DA" w:rsidP="00DE42DA">
      <w:pPr>
        <w:pStyle w:val="ListParagraph"/>
        <w:numPr>
          <w:ilvl w:val="0"/>
          <w:numId w:val="9"/>
        </w:numPr>
        <w:rPr>
          <w:szCs w:val="22"/>
          <w:lang w:eastAsia="zh-CN"/>
        </w:rPr>
      </w:pPr>
      <w:r w:rsidRPr="006E6BBD">
        <w:rPr>
          <w:szCs w:val="22"/>
          <w:lang w:eastAsia="zh-CN"/>
        </w:rPr>
        <w:t>The required supporting documents are not attached</w:t>
      </w:r>
    </w:p>
    <w:p w14:paraId="31FF713B" w14:textId="6232C663" w:rsidR="00EE476A" w:rsidRPr="006E6BBD" w:rsidRDefault="00DE42DA" w:rsidP="00DE42DA">
      <w:pPr>
        <w:pStyle w:val="ListParagraph"/>
        <w:numPr>
          <w:ilvl w:val="0"/>
          <w:numId w:val="9"/>
        </w:numPr>
        <w:rPr>
          <w:szCs w:val="22"/>
          <w:lang w:eastAsia="zh-CN"/>
        </w:rPr>
      </w:pPr>
      <w:r w:rsidRPr="006E6BBD">
        <w:rPr>
          <w:szCs w:val="22"/>
          <w:lang w:eastAsia="zh-CN"/>
        </w:rPr>
        <w:t>The undertaking is not signed or is incomplete</w:t>
      </w:r>
    </w:p>
    <w:p w14:paraId="4161D23F" w14:textId="18FAA51E" w:rsidR="006679C7" w:rsidRPr="00572F79" w:rsidRDefault="00DE42DA" w:rsidP="00DE42DA">
      <w:pPr>
        <w:rPr>
          <w:sz w:val="22"/>
          <w:szCs w:val="22"/>
        </w:rPr>
      </w:pPr>
      <w:r w:rsidRPr="00572F79">
        <w:rPr>
          <w:rStyle w:val="Strong"/>
          <w:sz w:val="22"/>
          <w:szCs w:val="22"/>
        </w:rPr>
        <w:lastRenderedPageBreak/>
        <w:t>Note:</w:t>
      </w:r>
      <w:r w:rsidRPr="00572F79">
        <w:rPr>
          <w:sz w:val="22"/>
          <w:szCs w:val="22"/>
        </w:rPr>
        <w:t xml:space="preserve"> Relocation subsidy DOES NOT provide reimbursement for expenses, other than travel, which may have been incurred in relation to your first appointment or re-employment (i.e. meals, accommodation, telephone etc. are NOT refundable).</w:t>
      </w:r>
      <w:r w:rsidR="006679C7">
        <w:rPr>
          <w:sz w:val="22"/>
          <w:szCs w:val="22"/>
        </w:rPr>
        <w:t xml:space="preserve"> </w:t>
      </w:r>
      <w:r w:rsidR="006679C7" w:rsidRPr="00100293">
        <w:rPr>
          <w:rStyle w:val="Strong"/>
          <w:b w:val="0"/>
          <w:sz w:val="22"/>
        </w:rPr>
        <w:t xml:space="preserve">The department does not send out cheques, therefore this will be paid </w:t>
      </w:r>
      <w:r w:rsidR="006679C7" w:rsidRPr="006E6BBD">
        <w:rPr>
          <w:rStyle w:val="Strong"/>
          <w:b w:val="0"/>
          <w:sz w:val="22"/>
        </w:rPr>
        <w:t>by</w:t>
      </w:r>
      <w:r w:rsidR="006679C7" w:rsidRPr="00100293">
        <w:rPr>
          <w:rStyle w:val="Strong"/>
          <w:b w:val="0"/>
          <w:sz w:val="22"/>
        </w:rPr>
        <w:t xml:space="preserve"> EFT</w:t>
      </w:r>
      <w:r w:rsidR="006679C7" w:rsidRPr="006E6BBD">
        <w:rPr>
          <w:rStyle w:val="Strong"/>
          <w:b w:val="0"/>
          <w:sz w:val="22"/>
        </w:rPr>
        <w:t>.</w:t>
      </w:r>
    </w:p>
    <w:p w14:paraId="071402F1" w14:textId="680C535F" w:rsidR="00143D30" w:rsidRPr="00572F79" w:rsidRDefault="00DE42DA" w:rsidP="002918DA">
      <w:pPr>
        <w:rPr>
          <w:color w:val="FF0000"/>
          <w:sz w:val="22"/>
          <w:szCs w:val="22"/>
        </w:rPr>
      </w:pPr>
      <w:r w:rsidRPr="00572F79">
        <w:rPr>
          <w:sz w:val="22"/>
          <w:szCs w:val="22"/>
        </w:rPr>
        <w:t>For more information</w:t>
      </w:r>
      <w:r w:rsidR="00FF1A07" w:rsidRPr="00572F79">
        <w:rPr>
          <w:sz w:val="22"/>
          <w:szCs w:val="22"/>
        </w:rPr>
        <w:t xml:space="preserve">, </w:t>
      </w:r>
      <w:r w:rsidR="00FB06A8">
        <w:rPr>
          <w:sz w:val="22"/>
          <w:szCs w:val="22"/>
        </w:rPr>
        <w:t xml:space="preserve">please </w:t>
      </w:r>
      <w:r w:rsidR="00FF1A07" w:rsidRPr="00572F79">
        <w:rPr>
          <w:sz w:val="22"/>
          <w:szCs w:val="22"/>
        </w:rPr>
        <w:t>c</w:t>
      </w:r>
      <w:r w:rsidR="00143D30" w:rsidRPr="00572F79">
        <w:rPr>
          <w:sz w:val="22"/>
          <w:szCs w:val="22"/>
        </w:rPr>
        <w:t xml:space="preserve">ontact your local </w:t>
      </w:r>
      <w:r w:rsidR="001012E7" w:rsidRPr="00572F79">
        <w:rPr>
          <w:sz w:val="22"/>
          <w:szCs w:val="22"/>
        </w:rPr>
        <w:t xml:space="preserve">Educational </w:t>
      </w:r>
      <w:r w:rsidR="00143D30" w:rsidRPr="00572F79">
        <w:rPr>
          <w:sz w:val="22"/>
          <w:szCs w:val="22"/>
        </w:rPr>
        <w:t>Network Office</w:t>
      </w:r>
      <w:r w:rsidR="0020022C" w:rsidRPr="00572F79">
        <w:rPr>
          <w:sz w:val="22"/>
          <w:szCs w:val="22"/>
        </w:rPr>
        <w:t>.</w:t>
      </w:r>
    </w:p>
    <w:p w14:paraId="03C9FF3F" w14:textId="5E60B9A0" w:rsidR="00AD2E26" w:rsidRPr="00143D30" w:rsidRDefault="00AD2E26" w:rsidP="002918DA"/>
    <w:sectPr w:rsidR="00AD2E26" w:rsidRPr="00143D30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5BC8" w14:textId="77777777" w:rsidR="00CD0B24" w:rsidRDefault="00CD0B24" w:rsidP="00191F45">
      <w:r>
        <w:separator/>
      </w:r>
    </w:p>
    <w:p w14:paraId="6AF2E0D2" w14:textId="77777777" w:rsidR="00CD0B24" w:rsidRDefault="00CD0B24"/>
    <w:p w14:paraId="02A7B7FA" w14:textId="77777777" w:rsidR="00CD0B24" w:rsidRDefault="00CD0B24"/>
    <w:p w14:paraId="7749A3A5" w14:textId="77777777" w:rsidR="00CD0B24" w:rsidRDefault="00CD0B24"/>
  </w:endnote>
  <w:endnote w:type="continuationSeparator" w:id="0">
    <w:p w14:paraId="33576F08" w14:textId="77777777" w:rsidR="00CD0B24" w:rsidRDefault="00CD0B24" w:rsidP="00191F45">
      <w:r>
        <w:continuationSeparator/>
      </w:r>
    </w:p>
    <w:p w14:paraId="3C4B49CB" w14:textId="77777777" w:rsidR="00CD0B24" w:rsidRDefault="00CD0B24"/>
    <w:p w14:paraId="2F5AB9F4" w14:textId="77777777" w:rsidR="00CD0B24" w:rsidRDefault="00CD0B24"/>
    <w:p w14:paraId="469C8AE0" w14:textId="77777777" w:rsidR="00CD0B24" w:rsidRDefault="00CD0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0C05" w14:textId="30C4E95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E42DA">
      <w:rPr>
        <w:noProof/>
      </w:rPr>
      <w:t>4</w:t>
    </w:r>
    <w:r w:rsidRPr="002810D3">
      <w:fldChar w:fldCharType="end"/>
    </w:r>
    <w:r w:rsidRPr="002810D3">
      <w:tab/>
    </w:r>
    <w:r w:rsidR="00B013D0">
      <w:t xml:space="preserve">WWCC – </w:t>
    </w:r>
    <w:r w:rsidR="00074208" w:rsidRPr="00074208">
      <w:t xml:space="preserve">Quick guide for </w:t>
    </w:r>
    <w:r w:rsidR="007D4119">
      <w:t>Contractors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9E2C" w14:textId="119AF0C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F027A">
      <w:rPr>
        <w:noProof/>
      </w:rPr>
      <w:t>Feb-23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F027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D5E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8AA3309" wp14:editId="4474AAC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21D9" w14:textId="77777777" w:rsidR="00CD0B24" w:rsidRDefault="00CD0B24" w:rsidP="00191F45">
      <w:r>
        <w:separator/>
      </w:r>
    </w:p>
    <w:p w14:paraId="0E644575" w14:textId="77777777" w:rsidR="00CD0B24" w:rsidRDefault="00CD0B24"/>
    <w:p w14:paraId="37C95D81" w14:textId="77777777" w:rsidR="00CD0B24" w:rsidRDefault="00CD0B24"/>
    <w:p w14:paraId="4314DE57" w14:textId="77777777" w:rsidR="00CD0B24" w:rsidRDefault="00CD0B24"/>
  </w:footnote>
  <w:footnote w:type="continuationSeparator" w:id="0">
    <w:p w14:paraId="7F5D5925" w14:textId="77777777" w:rsidR="00CD0B24" w:rsidRDefault="00CD0B24" w:rsidP="00191F45">
      <w:r>
        <w:continuationSeparator/>
      </w:r>
    </w:p>
    <w:p w14:paraId="3B31DA6D" w14:textId="77777777" w:rsidR="00CD0B24" w:rsidRDefault="00CD0B24"/>
    <w:p w14:paraId="0295565A" w14:textId="77777777" w:rsidR="00CD0B24" w:rsidRDefault="00CD0B24"/>
    <w:p w14:paraId="361E6A80" w14:textId="77777777" w:rsidR="00CD0B24" w:rsidRDefault="00CD0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D5D1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FEA"/>
    <w:multiLevelType w:val="hybridMultilevel"/>
    <w:tmpl w:val="59A0D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412E43FE"/>
    <w:multiLevelType w:val="hybridMultilevel"/>
    <w:tmpl w:val="9896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912"/>
    <w:multiLevelType w:val="multilevel"/>
    <w:tmpl w:val="8AE2833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4E148F1"/>
    <w:multiLevelType w:val="hybridMultilevel"/>
    <w:tmpl w:val="A75E4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0784"/>
    <w:multiLevelType w:val="hybridMultilevel"/>
    <w:tmpl w:val="F0627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BC1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208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6CB5"/>
    <w:rsid w:val="000F7960"/>
    <w:rsid w:val="00100B59"/>
    <w:rsid w:val="00100DC5"/>
    <w:rsid w:val="00100E27"/>
    <w:rsid w:val="00100E5A"/>
    <w:rsid w:val="00101135"/>
    <w:rsid w:val="001012E7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3D3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5A5C"/>
    <w:rsid w:val="001B3065"/>
    <w:rsid w:val="001B33C0"/>
    <w:rsid w:val="001B4A46"/>
    <w:rsid w:val="001B5E34"/>
    <w:rsid w:val="001B73A8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22C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4B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0C4D"/>
    <w:rsid w:val="002918DA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0EED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E84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6C64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594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ABE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9A2"/>
    <w:rsid w:val="004E1C2A"/>
    <w:rsid w:val="004E29DE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B10"/>
    <w:rsid w:val="00504F5C"/>
    <w:rsid w:val="00505262"/>
    <w:rsid w:val="0050597B"/>
    <w:rsid w:val="00506DF8"/>
    <w:rsid w:val="00507451"/>
    <w:rsid w:val="00511F4D"/>
    <w:rsid w:val="00514CFE"/>
    <w:rsid w:val="00514D6B"/>
    <w:rsid w:val="0051574E"/>
    <w:rsid w:val="0051725F"/>
    <w:rsid w:val="00520095"/>
    <w:rsid w:val="00520645"/>
    <w:rsid w:val="0052168D"/>
    <w:rsid w:val="0052396A"/>
    <w:rsid w:val="00524125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F79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F2A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3C5F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6FD7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0995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9C7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CAC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1E1"/>
    <w:rsid w:val="006E560F"/>
    <w:rsid w:val="006E5B90"/>
    <w:rsid w:val="006E60D3"/>
    <w:rsid w:val="006E6BBD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A19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119"/>
    <w:rsid w:val="007D458F"/>
    <w:rsid w:val="007D5655"/>
    <w:rsid w:val="007D5A52"/>
    <w:rsid w:val="007D7CF5"/>
    <w:rsid w:val="007D7E58"/>
    <w:rsid w:val="007E41AD"/>
    <w:rsid w:val="007E5DC9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562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27A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0E40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55B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2E26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3D0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3CA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94F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FAD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B2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DFA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30D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5A8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2DA"/>
    <w:rsid w:val="00DE43F4"/>
    <w:rsid w:val="00DE53F8"/>
    <w:rsid w:val="00DE60E6"/>
    <w:rsid w:val="00DE6AF2"/>
    <w:rsid w:val="00DE6C9B"/>
    <w:rsid w:val="00DE74DC"/>
    <w:rsid w:val="00DE7D5A"/>
    <w:rsid w:val="00DF1B20"/>
    <w:rsid w:val="00DF1EC4"/>
    <w:rsid w:val="00DF247C"/>
    <w:rsid w:val="00DF3F4F"/>
    <w:rsid w:val="00DF707E"/>
    <w:rsid w:val="00DF70A1"/>
    <w:rsid w:val="00DF759D"/>
    <w:rsid w:val="00DF7972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061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76A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B07"/>
    <w:rsid w:val="00F47F5C"/>
    <w:rsid w:val="00F51928"/>
    <w:rsid w:val="00F543B3"/>
    <w:rsid w:val="00F5467A"/>
    <w:rsid w:val="00F5643A"/>
    <w:rsid w:val="00F56596"/>
    <w:rsid w:val="00F62236"/>
    <w:rsid w:val="00F642AF"/>
    <w:rsid w:val="00F65013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3E40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6A8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A07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195E2"/>
  <w14:defaultImageDpi w14:val="32767"/>
  <w15:docId w15:val="{BA53D62C-E8EE-4816-B749-8CFA517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nhideWhenUsed="1" w:qFormat="1"/>
    <w:lsdException w:name="Quote" w:uiPriority="1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19" w:qFormat="1"/>
    <w:lsdException w:name="Intense Reference" w:qFormat="1"/>
    <w:lsdException w:name="Book Title" w:qFormat="1"/>
    <w:lsdException w:name="Bibliography" w:semiHidden="1" w:uiPriority="0" w:unhideWhenUsed="1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D1630D"/>
    <w:pPr>
      <w:outlineLvl w:val="1"/>
    </w:pPr>
    <w:rPr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D1630D"/>
    <w:rPr>
      <w:rFonts w:ascii="Arial" w:hAnsi="Arial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jc w:val="left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link w:val="ListParagraphChar"/>
    <w:uiPriority w:val="99"/>
    <w:qFormat/>
    <w:rsid w:val="00320E84"/>
    <w:pPr>
      <w:spacing w:before="0" w:after="120"/>
      <w:ind w:left="720"/>
      <w:contextualSpacing/>
    </w:pPr>
    <w:rPr>
      <w:sz w:val="22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0E84"/>
    <w:rPr>
      <w:rFonts w:ascii="Arial" w:hAnsi="Arial"/>
      <w:sz w:val="22"/>
      <w:szCs w:val="19"/>
      <w:lang w:val="en-AU"/>
    </w:rPr>
  </w:style>
  <w:style w:type="paragraph" w:customStyle="1" w:styleId="paragraph">
    <w:name w:val="paragraph"/>
    <w:basedOn w:val="Normal"/>
    <w:rsid w:val="0032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20E84"/>
  </w:style>
  <w:style w:type="character" w:customStyle="1" w:styleId="eop">
    <w:name w:val="eop"/>
    <w:basedOn w:val="DefaultParagraphFont"/>
    <w:rsid w:val="00320E84"/>
  </w:style>
  <w:style w:type="character" w:customStyle="1" w:styleId="contextualspellingandgrammarerror">
    <w:name w:val="contextualspellingandgrammarerror"/>
    <w:basedOn w:val="DefaultParagraphFont"/>
    <w:rsid w:val="00320E84"/>
  </w:style>
  <w:style w:type="character" w:styleId="CommentReference">
    <w:name w:val="annotation reference"/>
    <w:basedOn w:val="DefaultParagraphFont"/>
    <w:uiPriority w:val="99"/>
    <w:semiHidden/>
    <w:unhideWhenUsed/>
    <w:rsid w:val="00320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E84"/>
    <w:pPr>
      <w:spacing w:before="0" w:after="120" w:line="240" w:lineRule="auto"/>
      <w:jc w:val="both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E84"/>
    <w:rPr>
      <w:rFonts w:ascii="Arial" w:eastAsiaTheme="minorEastAsia" w:hAnsi="Arial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84"/>
    <w:rPr>
      <w:rFonts w:ascii="Segoe UI" w:hAnsi="Segoe UI" w:cs="Segoe UI"/>
      <w:sz w:val="18"/>
      <w:szCs w:val="18"/>
      <w:lang w:val="en-AU"/>
    </w:rPr>
  </w:style>
  <w:style w:type="paragraph" w:customStyle="1" w:styleId="10DocumentTitle">
    <w:name w:val="1.0 Document Title"/>
    <w:basedOn w:val="Normal"/>
    <w:autoRedefine/>
    <w:uiPriority w:val="2"/>
    <w:qFormat/>
    <w:rsid w:val="00CF4DFA"/>
    <w:pPr>
      <w:spacing w:before="0" w:after="120"/>
    </w:pPr>
    <w:rPr>
      <w:b/>
      <w:noProof/>
      <w:color w:val="FFFFFF" w:themeColor="background1"/>
      <w:sz w:val="44"/>
      <w:szCs w:val="44"/>
    </w:rPr>
  </w:style>
  <w:style w:type="table" w:customStyle="1" w:styleId="TableGrid10">
    <w:name w:val="Table Grid1"/>
    <w:basedOn w:val="TableNormal"/>
    <w:next w:val="TableGrid"/>
    <w:uiPriority w:val="39"/>
    <w:rsid w:val="00AD2E26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A8"/>
    <w:pPr>
      <w:spacing w:before="240" w:after="0"/>
      <w:jc w:val="left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A8"/>
    <w:rPr>
      <w:rFonts w:ascii="Arial" w:eastAsiaTheme="minorEastAsia" w:hAnsi="Arial"/>
      <w:b/>
      <w:bCs/>
      <w:sz w:val="20"/>
      <w:szCs w:val="2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43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about-us/careers-at-education/media/documents/Relocation_Subsidy_Claim_For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content/dam/main-education/about-us/careers-at-education/media/documents/relocation_subsidy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carten1\Downloads\DoEBrandAsset(6)\DoE%20Blank%20Word%20Template\20200115-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4DC1D30ADDF49902C8370C176EDD5" ma:contentTypeVersion="10" ma:contentTypeDescription="Create a new document." ma:contentTypeScope="" ma:versionID="9f86dc2edd0f4d93686c19f9f6d72b66">
  <xsd:schema xmlns:xsd="http://www.w3.org/2001/XMLSchema" xmlns:xs="http://www.w3.org/2001/XMLSchema" xmlns:p="http://schemas.microsoft.com/office/2006/metadata/properties" xmlns:ns2="5c0b3d0e-542a-47ab-81a2-ed5827dcc28b" targetNamespace="http://schemas.microsoft.com/office/2006/metadata/properties" ma:root="true" ma:fieldsID="0497a432ef619472a6929aa85dbac040" ns2:_="">
    <xsd:import namespace="5c0b3d0e-542a-47ab-81a2-ed5827dc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3d0e-542a-47ab-81a2-ed5827dc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453AA-C5D3-4FCA-A9AB-01C29A987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b3d0e-542a-47ab-81a2-ed5827dc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4F849-6698-4D16-BBFD-109CBCA5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20200115-DOE-template.dotx</Template>
  <TotalTime>21</TotalTime>
  <Pages>2</Pages>
  <Words>298</Words>
  <Characters>2104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Mccarten, John</dc:creator>
  <cp:keywords/>
  <dc:description/>
  <cp:lastModifiedBy>John McCarten</cp:lastModifiedBy>
  <cp:revision>8</cp:revision>
  <cp:lastPrinted>2020-03-19T04:37:00Z</cp:lastPrinted>
  <dcterms:created xsi:type="dcterms:W3CDTF">2020-04-23T23:05:00Z</dcterms:created>
  <dcterms:modified xsi:type="dcterms:W3CDTF">2023-02-10T06:38:00Z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0x0101000144DC1D30ADDF49902C8370C176EDD5</vt:lpwstr>
  </property>
</Properties>
</file>